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7519" w:rsidRDefault="00FA7519">
      <w:pPr>
        <w:shd w:val="pct65" w:color="auto" w:fill="auto"/>
        <w:tabs>
          <w:tab w:val="left" w:pos="180"/>
          <w:tab w:val="center" w:pos="4320"/>
          <w:tab w:val="right" w:pos="8460"/>
        </w:tabs>
        <w:rPr>
          <w:rFonts w:ascii="Arial Black" w:hAnsi="Arial Black"/>
          <w:b/>
          <w:color w:val="FFFFFF"/>
          <w:sz w:val="40"/>
          <w:lang w:val="es-CL"/>
        </w:rPr>
      </w:pPr>
      <w:r>
        <w:rPr>
          <w:rFonts w:ascii="Arial Black" w:hAnsi="Arial Black"/>
          <w:b/>
          <w:color w:val="FFFFFF"/>
          <w:sz w:val="40"/>
        </w:rPr>
        <w:tab/>
      </w:r>
      <w:r>
        <w:rPr>
          <w:rFonts w:ascii="Arial Black" w:hAnsi="Arial Black"/>
          <w:b/>
          <w:color w:val="FFFFFF"/>
          <w:sz w:val="40"/>
        </w:rPr>
        <w:tab/>
      </w:r>
      <w:r w:rsidR="001755F2">
        <w:rPr>
          <w:rFonts w:ascii="Arial Black" w:hAnsi="Arial Black"/>
          <w:b/>
          <w:color w:val="FFFFFF"/>
          <w:sz w:val="40"/>
        </w:rPr>
        <w:t xml:space="preserve">DPGE-GO-1: </w:t>
      </w:r>
      <w:r>
        <w:rPr>
          <w:rFonts w:ascii="Arial Black" w:hAnsi="Arial Black"/>
          <w:b/>
          <w:color w:val="FFFFFF"/>
          <w:sz w:val="40"/>
          <w:lang w:val="es-CL"/>
        </w:rPr>
        <w:t>C</w:t>
      </w:r>
      <w:r w:rsidR="000D5A11">
        <w:rPr>
          <w:rFonts w:ascii="Arial Black" w:hAnsi="Arial Black"/>
          <w:b/>
          <w:color w:val="FFFFFF"/>
          <w:sz w:val="40"/>
          <w:lang w:val="es-CL"/>
        </w:rPr>
        <w:t>ontrol de Lectura</w:t>
      </w:r>
      <w:r>
        <w:rPr>
          <w:rFonts w:ascii="Arial Black" w:hAnsi="Arial Black"/>
          <w:b/>
          <w:color w:val="FFFFFF"/>
          <w:sz w:val="40"/>
          <w:lang w:val="es-CL"/>
        </w:rPr>
        <w:t xml:space="preserve"> 1</w:t>
      </w:r>
      <w:r>
        <w:rPr>
          <w:rFonts w:ascii="Arial Black" w:hAnsi="Arial Black"/>
          <w:b/>
          <w:color w:val="FFFFFF"/>
          <w:sz w:val="40"/>
          <w:lang w:val="es-CL"/>
        </w:rPr>
        <w:tab/>
      </w:r>
    </w:p>
    <w:p w:rsidR="00FA7519" w:rsidRDefault="00FA7519">
      <w:pPr>
        <w:rPr>
          <w:rStyle w:val="emailstyle16"/>
          <w:lang w:val="es-CL"/>
        </w:rPr>
      </w:pPr>
    </w:p>
    <w:p w:rsidR="00FA7519" w:rsidRDefault="00FA7519">
      <w:pPr>
        <w:rPr>
          <w:rStyle w:val="emailstyle16"/>
          <w:sz w:val="26"/>
          <w:lang w:val="es-CL"/>
        </w:rPr>
      </w:pPr>
      <w:r>
        <w:rPr>
          <w:rStyle w:val="emailstyle16"/>
          <w:sz w:val="26"/>
          <w:lang w:val="es-CL"/>
        </w:rPr>
        <w:t> </w:t>
      </w:r>
    </w:p>
    <w:p w:rsidR="00022E77" w:rsidRDefault="00022E77" w:rsidP="00A81350">
      <w:pPr>
        <w:numPr>
          <w:ilvl w:val="0"/>
          <w:numId w:val="1"/>
        </w:numPr>
        <w:tabs>
          <w:tab w:val="num" w:pos="720"/>
        </w:tabs>
        <w:jc w:val="both"/>
        <w:rPr>
          <w:lang w:val="es-CL"/>
        </w:rPr>
      </w:pPr>
      <w:r>
        <w:rPr>
          <w:lang w:val="es-CL"/>
        </w:rPr>
        <w:t xml:space="preserve">En el caso expuesto en la lectura del Harvard Business </w:t>
      </w:r>
      <w:proofErr w:type="spellStart"/>
      <w:r>
        <w:rPr>
          <w:lang w:val="es-CL"/>
        </w:rPr>
        <w:t>Review</w:t>
      </w:r>
      <w:proofErr w:type="spellEnd"/>
      <w:r>
        <w:rPr>
          <w:lang w:val="es-CL"/>
        </w:rPr>
        <w:t xml:space="preserve"> (HBR), </w:t>
      </w:r>
      <w:r w:rsidR="0025346C" w:rsidRPr="0025346C">
        <w:rPr>
          <w:lang w:val="es-CL"/>
        </w:rPr>
        <w:t>SUPPLY CHAIN MANAGEMENT, THE HONG KONG STYLE</w:t>
      </w:r>
      <w:r w:rsidR="0025346C">
        <w:rPr>
          <w:lang w:val="es-CL"/>
        </w:rPr>
        <w:t xml:space="preserve"> </w:t>
      </w:r>
      <w:r>
        <w:rPr>
          <w:lang w:val="es-CL"/>
        </w:rPr>
        <w:t>comente:</w:t>
      </w:r>
    </w:p>
    <w:p w:rsidR="008A5648" w:rsidRDefault="0025346C" w:rsidP="00022E77">
      <w:pPr>
        <w:numPr>
          <w:ilvl w:val="1"/>
          <w:numId w:val="1"/>
        </w:numPr>
        <w:jc w:val="both"/>
        <w:rPr>
          <w:lang w:val="es-CL"/>
        </w:rPr>
      </w:pPr>
      <w:r>
        <w:rPr>
          <w:lang w:val="es-CL"/>
        </w:rPr>
        <w:t>¿</w:t>
      </w:r>
      <w:r w:rsidR="00022E77">
        <w:rPr>
          <w:lang w:val="es-CL"/>
        </w:rPr>
        <w:t>Cómo relacionaría usted el siguiente gráfico</w:t>
      </w:r>
      <w:r>
        <w:rPr>
          <w:lang w:val="es-CL"/>
        </w:rPr>
        <w:t>,</w:t>
      </w:r>
      <w:r w:rsidR="00022E77">
        <w:rPr>
          <w:lang w:val="es-CL"/>
        </w:rPr>
        <w:t xml:space="preserve"> con </w:t>
      </w:r>
      <w:r>
        <w:rPr>
          <w:lang w:val="es-CL"/>
        </w:rPr>
        <w:t xml:space="preserve"> </w:t>
      </w:r>
      <w:r w:rsidR="00022E77">
        <w:rPr>
          <w:lang w:val="es-CL"/>
        </w:rPr>
        <w:t xml:space="preserve">la estrategia que implementaron </w:t>
      </w:r>
      <w:r>
        <w:rPr>
          <w:lang w:val="es-CL"/>
        </w:rPr>
        <w:t xml:space="preserve">para </w:t>
      </w:r>
      <w:r w:rsidR="00022E77">
        <w:rPr>
          <w:lang w:val="es-CL"/>
        </w:rPr>
        <w:t xml:space="preserve"> la forma de operar la caden</w:t>
      </w:r>
      <w:r>
        <w:rPr>
          <w:lang w:val="es-CL"/>
        </w:rPr>
        <w:t>a de actividades (</w:t>
      </w:r>
      <w:proofErr w:type="spellStart"/>
      <w:r>
        <w:rPr>
          <w:lang w:val="es-CL"/>
        </w:rPr>
        <w:t>Supply</w:t>
      </w:r>
      <w:proofErr w:type="spellEnd"/>
      <w:r>
        <w:rPr>
          <w:lang w:val="es-CL"/>
        </w:rPr>
        <w:t xml:space="preserve"> </w:t>
      </w:r>
      <w:proofErr w:type="spellStart"/>
      <w:r>
        <w:rPr>
          <w:lang w:val="es-CL"/>
        </w:rPr>
        <w:t>Chain</w:t>
      </w:r>
      <w:proofErr w:type="spellEnd"/>
      <w:r>
        <w:rPr>
          <w:lang w:val="es-CL"/>
        </w:rPr>
        <w:t>)?</w:t>
      </w:r>
    </w:p>
    <w:p w:rsidR="00022E77" w:rsidRDefault="00022E77" w:rsidP="00022E77">
      <w:pPr>
        <w:tabs>
          <w:tab w:val="num" w:pos="720"/>
        </w:tabs>
        <w:ind w:left="360"/>
        <w:jc w:val="both"/>
        <w:rPr>
          <w:lang w:val="es-CL"/>
        </w:rPr>
      </w:pPr>
    </w:p>
    <w:p w:rsidR="008A5648" w:rsidRDefault="0025346C" w:rsidP="00A81350">
      <w:pPr>
        <w:tabs>
          <w:tab w:val="num" w:pos="720"/>
        </w:tabs>
        <w:jc w:val="center"/>
        <w:rPr>
          <w:rFonts w:cs="Arial"/>
          <w:color w:val="000000"/>
          <w:sz w:val="20"/>
          <w:lang w:val="es-CL"/>
        </w:rPr>
      </w:pPr>
      <w:r>
        <w:rPr>
          <w:rFonts w:cs="Arial"/>
          <w:noProof/>
          <w:color w:val="000000"/>
          <w:sz w:val="20"/>
        </w:rPr>
        <w:drawing>
          <wp:inline distT="0" distB="0" distL="0" distR="0">
            <wp:extent cx="3501390" cy="215392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1390" cy="21539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A5648" w:rsidRDefault="008A5648" w:rsidP="00A81350">
      <w:pPr>
        <w:tabs>
          <w:tab w:val="num" w:pos="720"/>
        </w:tabs>
        <w:jc w:val="both"/>
        <w:rPr>
          <w:lang w:val="es-CL"/>
        </w:rPr>
      </w:pPr>
    </w:p>
    <w:p w:rsidR="00B129DA" w:rsidRDefault="00022E77" w:rsidP="00CD49E5">
      <w:pPr>
        <w:rPr>
          <w:lang w:val="es-CL"/>
        </w:rPr>
      </w:pPr>
      <w:r>
        <w:rPr>
          <w:lang w:val="es-CL"/>
        </w:rPr>
        <w:t>¿Cómo puede ser que, transportando mercadería de país en país, se pueda argumentar que el cliente final se ve beneficiado</w:t>
      </w:r>
      <w:r w:rsidR="00CD49E5">
        <w:rPr>
          <w:lang w:val="es-CL"/>
        </w:rPr>
        <w:t>, cuando tradicionalmente el transportar de un lado a otro significa altos costos logísticos y, por ende, mayores costos operacionales y de producción</w:t>
      </w:r>
      <w:r>
        <w:rPr>
          <w:lang w:val="es-CL"/>
        </w:rPr>
        <w:t>?</w:t>
      </w:r>
    </w:p>
    <w:p w:rsidR="00B129DA" w:rsidRDefault="00B129DA" w:rsidP="00B129DA">
      <w:pPr>
        <w:tabs>
          <w:tab w:val="num" w:pos="720"/>
        </w:tabs>
        <w:ind w:left="360"/>
        <w:jc w:val="both"/>
        <w:rPr>
          <w:lang w:val="es-CL"/>
        </w:rPr>
      </w:pPr>
    </w:p>
    <w:p w:rsidR="00AF2306" w:rsidRDefault="00AF2306" w:rsidP="00AF2306">
      <w:pPr>
        <w:ind w:left="360"/>
        <w:jc w:val="both"/>
        <w:rPr>
          <w:lang w:val="es-CL"/>
        </w:rPr>
      </w:pPr>
    </w:p>
    <w:p w:rsidR="00534CA5" w:rsidRDefault="006E6B3D" w:rsidP="00AF2306">
      <w:pPr>
        <w:numPr>
          <w:ilvl w:val="0"/>
          <w:numId w:val="1"/>
        </w:numPr>
        <w:jc w:val="both"/>
        <w:rPr>
          <w:lang w:val="es-CL"/>
        </w:rPr>
      </w:pPr>
      <w:r>
        <w:rPr>
          <w:lang w:val="es-CL"/>
        </w:rPr>
        <w:t>¿</w:t>
      </w:r>
      <w:r w:rsidR="00534CA5">
        <w:rPr>
          <w:lang w:val="es-CL"/>
        </w:rPr>
        <w:t>Cuáles cree usted que son las principales diferencias</w:t>
      </w:r>
      <w:r>
        <w:rPr>
          <w:lang w:val="es-CL"/>
        </w:rPr>
        <w:t xml:space="preserve"> de beneficios logrados,</w:t>
      </w:r>
      <w:r w:rsidR="00534CA5">
        <w:rPr>
          <w:lang w:val="es-CL"/>
        </w:rPr>
        <w:t xml:space="preserve"> al implementar mejoras basadas en una filosofía de “lean / TPS”</w:t>
      </w:r>
      <w:r>
        <w:rPr>
          <w:lang w:val="es-CL"/>
        </w:rPr>
        <w:t>, donde se dice en el artículo “</w:t>
      </w:r>
      <w:proofErr w:type="spellStart"/>
      <w:r>
        <w:rPr>
          <w:lang w:val="es-CL"/>
        </w:rPr>
        <w:t>Filling</w:t>
      </w:r>
      <w:proofErr w:type="spellEnd"/>
      <w:r>
        <w:rPr>
          <w:lang w:val="es-CL"/>
        </w:rPr>
        <w:t xml:space="preserve"> </w:t>
      </w:r>
      <w:proofErr w:type="spellStart"/>
      <w:r>
        <w:rPr>
          <w:lang w:val="es-CL"/>
        </w:rPr>
        <w:t>the</w:t>
      </w:r>
      <w:proofErr w:type="spellEnd"/>
      <w:r>
        <w:rPr>
          <w:lang w:val="es-CL"/>
        </w:rPr>
        <w:t xml:space="preserve"> Gap” que se enfocan hacia el interior, comparadas con aquellas como QRM, la cual está alineada con el concepto de Total </w:t>
      </w:r>
      <w:proofErr w:type="spellStart"/>
      <w:r>
        <w:rPr>
          <w:lang w:val="es-CL"/>
        </w:rPr>
        <w:t>Aquisition</w:t>
      </w:r>
      <w:proofErr w:type="spellEnd"/>
      <w:r>
        <w:rPr>
          <w:lang w:val="es-CL"/>
        </w:rPr>
        <w:t xml:space="preserve"> </w:t>
      </w:r>
      <w:proofErr w:type="spellStart"/>
      <w:r>
        <w:rPr>
          <w:lang w:val="es-CL"/>
        </w:rPr>
        <w:t>Cost</w:t>
      </w:r>
      <w:proofErr w:type="spellEnd"/>
      <w:r>
        <w:rPr>
          <w:lang w:val="es-CL"/>
        </w:rPr>
        <w:t xml:space="preserve"> (TAC)?</w:t>
      </w:r>
      <w:r w:rsidR="00534CA5">
        <w:rPr>
          <w:lang w:val="es-CL"/>
        </w:rPr>
        <w:t xml:space="preserve"> </w:t>
      </w:r>
    </w:p>
    <w:p w:rsidR="00FA23CD" w:rsidRDefault="00FA23CD" w:rsidP="00703E51">
      <w:pPr>
        <w:jc w:val="both"/>
        <w:rPr>
          <w:lang w:val="es-CL"/>
        </w:rPr>
      </w:pPr>
    </w:p>
    <w:p w:rsidR="00703E51" w:rsidRDefault="00703E51" w:rsidP="00613213">
      <w:pPr>
        <w:jc w:val="both"/>
        <w:rPr>
          <w:lang w:val="es-CL"/>
        </w:rPr>
      </w:pPr>
    </w:p>
    <w:sectPr w:rsidR="00703E51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60C25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>
    <w:nsid w:val="14163339"/>
    <w:multiLevelType w:val="multilevel"/>
    <w:tmpl w:val="22A0A5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0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79"/>
  <w:embedSystemFont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A056E2"/>
    <w:rsid w:val="00022E77"/>
    <w:rsid w:val="000D5A11"/>
    <w:rsid w:val="001755F2"/>
    <w:rsid w:val="001E2EFD"/>
    <w:rsid w:val="001F6A03"/>
    <w:rsid w:val="0025346C"/>
    <w:rsid w:val="005244F1"/>
    <w:rsid w:val="00534CA5"/>
    <w:rsid w:val="00606EF6"/>
    <w:rsid w:val="00613213"/>
    <w:rsid w:val="006E6B3D"/>
    <w:rsid w:val="00703E51"/>
    <w:rsid w:val="00722E3A"/>
    <w:rsid w:val="008A5648"/>
    <w:rsid w:val="008F37A6"/>
    <w:rsid w:val="00954983"/>
    <w:rsid w:val="00971CBD"/>
    <w:rsid w:val="009B3F59"/>
    <w:rsid w:val="00A056E2"/>
    <w:rsid w:val="00A81350"/>
    <w:rsid w:val="00A8519B"/>
    <w:rsid w:val="00AA2DDA"/>
    <w:rsid w:val="00AF2306"/>
    <w:rsid w:val="00B129DA"/>
    <w:rsid w:val="00CD49E5"/>
    <w:rsid w:val="00E56D58"/>
    <w:rsid w:val="00FA23CD"/>
    <w:rsid w:val="00FA75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customStyle="1" w:styleId="emailstyle16">
    <w:name w:val="EmailStyle15"/>
    <w:aliases w:val="EmailStyle15"/>
    <w:basedOn w:val="DefaultParagraphFont"/>
    <w:personal/>
    <w:rPr>
      <w:rFonts w:ascii="Arial" w:hAnsi="Arial" w:cs="Arial"/>
      <w:color w:val="000000"/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D49E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49E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137</Words>
  <Characters>785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Aquí va la pauta compadre:</vt:lpstr>
    </vt:vector>
  </TitlesOfParts>
  <Company>FTC</Company>
  <LinksUpToDate>false</LinksUpToDate>
  <CharactersWithSpaces>921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Aquí va la pauta compadre:</dc:title>
  <dc:subject/>
  <dc:creator>Francisco Tubino</dc:creator>
  <cp:keywords/>
  <dc:description/>
  <cp:lastModifiedBy>Francisco Tubino</cp:lastModifiedBy>
  <cp:revision>5</cp:revision>
  <dcterms:created xsi:type="dcterms:W3CDTF">2010-08-25T20:13:00Z</dcterms:created>
  <dcterms:modified xsi:type="dcterms:W3CDTF">2010-08-25T20:17:00Z</dcterms:modified>
</cp:coreProperties>
</file>