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4A032" w14:textId="104B5A9D" w:rsidR="00052A6E" w:rsidRDefault="00052A6E" w:rsidP="00391967">
      <w:pPr>
        <w:autoSpaceDE w:val="0"/>
        <w:autoSpaceDN w:val="0"/>
        <w:adjustRightInd w:val="0"/>
        <w:jc w:val="both"/>
        <w:rPr>
          <w:rFonts w:ascii="AppleSystemUIFont" w:hAnsi="AppleSystemUIFont" w:cs="AppleSystemUIFont"/>
          <w:b/>
          <w:bCs/>
          <w:color w:val="auto"/>
          <w:sz w:val="26"/>
          <w:szCs w:val="26"/>
          <w:lang w:val="es-MX"/>
        </w:rPr>
      </w:pPr>
      <w:r>
        <w:rPr>
          <w:rFonts w:ascii="AppleSystemUIFont" w:hAnsi="AppleSystemUIFont" w:cs="AppleSystemUIFont"/>
          <w:b/>
          <w:bCs/>
          <w:color w:val="auto"/>
          <w:sz w:val="26"/>
          <w:szCs w:val="26"/>
          <w:lang w:val="es-MX"/>
        </w:rPr>
        <w:t>Caso 1</w:t>
      </w:r>
    </w:p>
    <w:p w14:paraId="6AD76B61" w14:textId="77777777" w:rsidR="00052A6E" w:rsidRDefault="00052A6E" w:rsidP="00391967">
      <w:pPr>
        <w:autoSpaceDE w:val="0"/>
        <w:autoSpaceDN w:val="0"/>
        <w:adjustRightInd w:val="0"/>
        <w:jc w:val="both"/>
        <w:rPr>
          <w:rFonts w:ascii="AppleSystemUIFont" w:hAnsi="AppleSystemUIFont" w:cs="AppleSystemUIFont"/>
          <w:b/>
          <w:bCs/>
          <w:color w:val="auto"/>
          <w:sz w:val="26"/>
          <w:szCs w:val="26"/>
          <w:lang w:val="es-MX"/>
        </w:rPr>
      </w:pPr>
    </w:p>
    <w:p w14:paraId="74EEC57A" w14:textId="57C0C223" w:rsidR="00D648F4" w:rsidRDefault="00D648F4" w:rsidP="00391967">
      <w:pPr>
        <w:autoSpaceDE w:val="0"/>
        <w:autoSpaceDN w:val="0"/>
        <w:adjustRightInd w:val="0"/>
        <w:jc w:val="both"/>
        <w:rPr>
          <w:rFonts w:ascii="AppleSystemUIFont" w:hAnsi="AppleSystemUIFont" w:cs="AppleSystemUIFont"/>
          <w:color w:val="auto"/>
          <w:sz w:val="26"/>
          <w:szCs w:val="26"/>
          <w:lang w:val="es-MX"/>
        </w:rPr>
      </w:pPr>
      <w:r>
        <w:rPr>
          <w:rFonts w:ascii="AppleSystemUIFont" w:hAnsi="AppleSystemUIFont" w:cs="AppleSystemUIFont"/>
          <w:color w:val="auto"/>
          <w:sz w:val="26"/>
          <w:szCs w:val="26"/>
          <w:lang w:val="es-MX"/>
        </w:rPr>
        <w:t xml:space="preserve">En 2020, </w:t>
      </w:r>
      <w:r>
        <w:rPr>
          <w:rFonts w:ascii="AppleSystemUIFont" w:hAnsi="AppleSystemUIFont" w:cs="AppleSystemUIFont"/>
          <w:b/>
          <w:bCs/>
          <w:color w:val="auto"/>
          <w:sz w:val="26"/>
          <w:szCs w:val="26"/>
          <w:lang w:val="es-MX"/>
        </w:rPr>
        <w:t>GreenEnergy S.A.</w:t>
      </w:r>
      <w:r>
        <w:rPr>
          <w:rFonts w:ascii="AppleSystemUIFont" w:hAnsi="AppleSystemUIFont" w:cs="AppleSystemUIFont"/>
          <w:color w:val="auto"/>
          <w:sz w:val="26"/>
          <w:szCs w:val="26"/>
          <w:lang w:val="es-MX"/>
        </w:rPr>
        <w:t xml:space="preserve"> (demandante), una empresa dedicada a la energía solar, inició conversaciones con </w:t>
      </w:r>
      <w:r>
        <w:rPr>
          <w:rFonts w:ascii="AppleSystemUIFont" w:hAnsi="AppleSystemUIFont" w:cs="AppleSystemUIFont"/>
          <w:b/>
          <w:bCs/>
          <w:color w:val="auto"/>
          <w:sz w:val="26"/>
          <w:szCs w:val="26"/>
          <w:lang w:val="es-MX"/>
        </w:rPr>
        <w:t>InnovaTech Ltda.</w:t>
      </w:r>
      <w:r>
        <w:rPr>
          <w:rFonts w:ascii="AppleSystemUIFont" w:hAnsi="AppleSystemUIFont" w:cs="AppleSystemUIFont"/>
          <w:color w:val="auto"/>
          <w:sz w:val="26"/>
          <w:szCs w:val="26"/>
          <w:lang w:val="es-MX"/>
        </w:rPr>
        <w:t xml:space="preserve"> (demandada), una empresa tecnológica, para desarrollar conjuntamente un innovador sistema de paneles solares inteligentes. Ambas empresas firmaron un memorándum de entendimiento (MoU) que describía los términos generales de la colaboración, incluyendo la inversión inicial, el cronograma de trabajo y las responsabilidades de cada parte.</w:t>
      </w:r>
    </w:p>
    <w:p w14:paraId="071AD94D" w14:textId="77777777" w:rsidR="00D648F4" w:rsidRDefault="00D648F4" w:rsidP="00391967">
      <w:pPr>
        <w:autoSpaceDE w:val="0"/>
        <w:autoSpaceDN w:val="0"/>
        <w:adjustRightInd w:val="0"/>
        <w:jc w:val="both"/>
        <w:rPr>
          <w:rFonts w:ascii="AppleSystemUIFont" w:hAnsi="AppleSystemUIFont" w:cs="AppleSystemUIFont"/>
          <w:color w:val="auto"/>
          <w:sz w:val="26"/>
          <w:szCs w:val="26"/>
          <w:lang w:val="es-MX"/>
        </w:rPr>
      </w:pPr>
      <w:r>
        <w:rPr>
          <w:rFonts w:ascii="AppleSystemUIFont" w:hAnsi="AppleSystemUIFont" w:cs="AppleSystemUIFont"/>
          <w:color w:val="auto"/>
          <w:sz w:val="26"/>
          <w:szCs w:val="26"/>
          <w:lang w:val="es-MX"/>
        </w:rPr>
        <w:t>Durante las negociaciones, GreenEnergy proporcionó a InnovaTech información detallada y confidencial sobre sus tecnologías y procesos. InnovaTech, a su vez, expresó interés en el proyecto y participó activamente en las discusiones preliminares. GreenEnergy invirtió recursos significativos en estudios de viabilidad y en la preparación de un prototipo basado en la tecnología de InnovaTech.</w:t>
      </w:r>
    </w:p>
    <w:p w14:paraId="2C0F1BBE" w14:textId="2F2FCC63" w:rsidR="00D648F4" w:rsidRDefault="00D648F4" w:rsidP="00391967">
      <w:pPr>
        <w:autoSpaceDE w:val="0"/>
        <w:autoSpaceDN w:val="0"/>
        <w:adjustRightInd w:val="0"/>
        <w:jc w:val="both"/>
        <w:rPr>
          <w:rFonts w:ascii="AppleSystemUIFont" w:hAnsi="AppleSystemUIFont" w:cs="AppleSystemUIFont"/>
          <w:color w:val="auto"/>
          <w:sz w:val="26"/>
          <w:szCs w:val="26"/>
          <w:lang w:val="es-MX"/>
        </w:rPr>
      </w:pPr>
      <w:r>
        <w:rPr>
          <w:rFonts w:ascii="AppleSystemUIFont" w:hAnsi="AppleSystemUIFont" w:cs="AppleSystemUIFont"/>
          <w:color w:val="auto"/>
          <w:sz w:val="26"/>
          <w:szCs w:val="26"/>
          <w:lang w:val="es-MX"/>
        </w:rPr>
        <w:t>Sin embargo, después de seis meses de negociaciones, InnovaTech decidió retirarse del proceso</w:t>
      </w:r>
      <w:r w:rsidR="00391967">
        <w:rPr>
          <w:rFonts w:ascii="AppleSystemUIFont" w:hAnsi="AppleSystemUIFont" w:cs="AppleSystemUIFont"/>
          <w:color w:val="auto"/>
          <w:sz w:val="26"/>
          <w:szCs w:val="26"/>
          <w:lang w:val="es-MX"/>
        </w:rPr>
        <w:t>, luego de solicitar su liquidación voluntaria ante 9º Juzgadi Civil de Santiago</w:t>
      </w:r>
      <w:r w:rsidR="00052A6E">
        <w:rPr>
          <w:rFonts w:ascii="AppleSystemUIFont" w:hAnsi="AppleSystemUIFont" w:cs="AppleSystemUIFont"/>
          <w:color w:val="auto"/>
          <w:sz w:val="26"/>
          <w:szCs w:val="26"/>
          <w:lang w:val="es-MX"/>
        </w:rPr>
        <w:t xml:space="preserve">. </w:t>
      </w:r>
    </w:p>
    <w:p w14:paraId="4BA22AF3" w14:textId="77777777" w:rsidR="00391967" w:rsidRDefault="00391967" w:rsidP="00D648F4">
      <w:pPr>
        <w:autoSpaceDE w:val="0"/>
        <w:autoSpaceDN w:val="0"/>
        <w:adjustRightInd w:val="0"/>
        <w:rPr>
          <w:rFonts w:ascii="AppleSystemUIFont" w:hAnsi="AppleSystemUIFont" w:cs="AppleSystemUIFont"/>
          <w:b/>
          <w:bCs/>
          <w:color w:val="auto"/>
          <w:sz w:val="26"/>
          <w:szCs w:val="26"/>
          <w:lang w:val="es-MX"/>
        </w:rPr>
      </w:pPr>
    </w:p>
    <w:p w14:paraId="0A3002F4" w14:textId="77777777" w:rsidR="00052A6E" w:rsidRDefault="00052A6E" w:rsidP="00D648F4">
      <w:pPr>
        <w:autoSpaceDE w:val="0"/>
        <w:autoSpaceDN w:val="0"/>
        <w:adjustRightInd w:val="0"/>
        <w:rPr>
          <w:rFonts w:ascii="AppleSystemUIFont" w:hAnsi="AppleSystemUIFont" w:cs="AppleSystemUIFont"/>
          <w:b/>
          <w:bCs/>
          <w:color w:val="auto"/>
          <w:sz w:val="26"/>
          <w:szCs w:val="26"/>
          <w:lang w:val="es-MX"/>
        </w:rPr>
      </w:pPr>
    </w:p>
    <w:p w14:paraId="3DAD3A61" w14:textId="77777777" w:rsidR="00052A6E" w:rsidRDefault="00052A6E" w:rsidP="00D648F4">
      <w:pPr>
        <w:autoSpaceDE w:val="0"/>
        <w:autoSpaceDN w:val="0"/>
        <w:adjustRightInd w:val="0"/>
        <w:rPr>
          <w:rFonts w:ascii="AppleSystemUIFont" w:hAnsi="AppleSystemUIFont" w:cs="AppleSystemUIFont"/>
          <w:b/>
          <w:bCs/>
          <w:color w:val="auto"/>
          <w:sz w:val="26"/>
          <w:szCs w:val="26"/>
          <w:lang w:val="es-MX"/>
        </w:rPr>
      </w:pPr>
    </w:p>
    <w:p w14:paraId="4B3D9851" w14:textId="569A4F0E" w:rsidR="00052A6E" w:rsidRDefault="00052A6E" w:rsidP="00D648F4">
      <w:pPr>
        <w:autoSpaceDE w:val="0"/>
        <w:autoSpaceDN w:val="0"/>
        <w:adjustRightInd w:val="0"/>
        <w:rPr>
          <w:rFonts w:ascii="AppleSystemUIFont" w:hAnsi="AppleSystemUIFont" w:cs="AppleSystemUIFont"/>
          <w:b/>
          <w:bCs/>
          <w:color w:val="auto"/>
          <w:sz w:val="26"/>
          <w:szCs w:val="26"/>
          <w:lang w:val="es-MX"/>
        </w:rPr>
      </w:pPr>
      <w:r>
        <w:rPr>
          <w:rFonts w:ascii="AppleSystemUIFont" w:hAnsi="AppleSystemUIFont" w:cs="AppleSystemUIFont"/>
          <w:b/>
          <w:bCs/>
          <w:color w:val="auto"/>
          <w:sz w:val="26"/>
          <w:szCs w:val="26"/>
          <w:lang w:val="es-MX"/>
        </w:rPr>
        <w:t>Caso 2</w:t>
      </w:r>
    </w:p>
    <w:p w14:paraId="1910EE64" w14:textId="77777777" w:rsidR="00052A6E" w:rsidRDefault="00052A6E" w:rsidP="00D648F4">
      <w:pPr>
        <w:autoSpaceDE w:val="0"/>
        <w:autoSpaceDN w:val="0"/>
        <w:adjustRightInd w:val="0"/>
        <w:rPr>
          <w:rFonts w:ascii="AppleSystemUIFont" w:hAnsi="AppleSystemUIFont" w:cs="AppleSystemUIFont"/>
          <w:b/>
          <w:bCs/>
          <w:color w:val="auto"/>
          <w:sz w:val="26"/>
          <w:szCs w:val="26"/>
          <w:lang w:val="es-MX"/>
        </w:rPr>
      </w:pPr>
    </w:p>
    <w:p w14:paraId="19FD56E6" w14:textId="77777777" w:rsidR="00052A6E" w:rsidRPr="00052A6E" w:rsidRDefault="00052A6E" w:rsidP="00052A6E">
      <w:pPr>
        <w:autoSpaceDE w:val="0"/>
        <w:autoSpaceDN w:val="0"/>
        <w:adjustRightInd w:val="0"/>
        <w:jc w:val="both"/>
        <w:rPr>
          <w:rFonts w:ascii="AppleSystemUIFont" w:hAnsi="AppleSystemUIFont" w:cs="AppleSystemUIFont"/>
          <w:color w:val="auto"/>
          <w:sz w:val="26"/>
          <w:szCs w:val="26"/>
          <w:lang w:val="es-MX"/>
        </w:rPr>
      </w:pPr>
      <w:r w:rsidRPr="00052A6E">
        <w:rPr>
          <w:rFonts w:ascii="AppleSystemUIFont" w:hAnsi="AppleSystemUIFont" w:cs="AppleSystemUIFont"/>
          <w:color w:val="auto"/>
          <w:sz w:val="26"/>
          <w:szCs w:val="26"/>
          <w:lang w:val="es-MX"/>
        </w:rPr>
        <w:t>GUPC presentó una reclamación basada en el deber de información en el contexto del contrato EPC celebrado con la Administradora del Canal de Panamá (ACP). Durante el proceso de licitación, se proporcionó a los oferentes información sobre las condiciones del suelo con carácter referencial, incluyendo datos sismológicos del terreno. GUPC preparó y presentó su oferta basada en esta información, a pesar de su carácter referencial.</w:t>
      </w:r>
    </w:p>
    <w:p w14:paraId="26FB67FC" w14:textId="77777777" w:rsidR="00052A6E" w:rsidRPr="00052A6E" w:rsidRDefault="00052A6E" w:rsidP="00052A6E">
      <w:pPr>
        <w:autoSpaceDE w:val="0"/>
        <w:autoSpaceDN w:val="0"/>
        <w:adjustRightInd w:val="0"/>
        <w:jc w:val="both"/>
        <w:rPr>
          <w:rFonts w:ascii="AppleSystemUIFont" w:hAnsi="AppleSystemUIFont" w:cs="AppleSystemUIFont"/>
          <w:color w:val="auto"/>
          <w:sz w:val="26"/>
          <w:szCs w:val="26"/>
          <w:lang w:val="es-MX"/>
        </w:rPr>
      </w:pPr>
      <w:r w:rsidRPr="00052A6E">
        <w:rPr>
          <w:rFonts w:ascii="AppleSystemUIFont" w:hAnsi="AppleSystemUIFont" w:cs="AppleSystemUIFont"/>
          <w:color w:val="auto"/>
          <w:sz w:val="26"/>
          <w:szCs w:val="26"/>
          <w:lang w:val="es-MX"/>
        </w:rPr>
        <w:t>Una vez celebrado el contrato EPC, se estipuló que GUPC había revisado toda la información referencial y que la ACP no se hacía responsable de la veracidad de dicha información. Sin embargo, durante la ejecución del contrato, GUPC descubrió que las condiciones del suelo eran significativamente distintas a las indicadas en los documentos de licitación, lo que resultó en un sobrecosto billonario en la construcción de las compuertas.</w:t>
      </w:r>
    </w:p>
    <w:p w14:paraId="06EA5126" w14:textId="15D0EB64" w:rsidR="00365C30" w:rsidRPr="00052A6E" w:rsidRDefault="00052A6E" w:rsidP="00052A6E">
      <w:pPr>
        <w:autoSpaceDE w:val="0"/>
        <w:autoSpaceDN w:val="0"/>
        <w:adjustRightInd w:val="0"/>
        <w:jc w:val="both"/>
        <w:rPr>
          <w:rFonts w:ascii="AppleSystemUIFont" w:hAnsi="AppleSystemUIFont" w:cs="AppleSystemUIFont"/>
          <w:color w:val="auto"/>
          <w:sz w:val="26"/>
          <w:szCs w:val="26"/>
          <w:lang w:val="es-MX"/>
        </w:rPr>
      </w:pPr>
      <w:r w:rsidRPr="00052A6E">
        <w:rPr>
          <w:rFonts w:ascii="AppleSystemUIFont" w:hAnsi="AppleSystemUIFont" w:cs="AppleSystemUIFont"/>
          <w:color w:val="auto"/>
          <w:sz w:val="26"/>
          <w:szCs w:val="26"/>
          <w:lang w:val="es-MX"/>
        </w:rPr>
        <w:t>Posteriormente, se descubrió que, durante el periodo de licitación, otro de los oferentes había cuestionado la exactitud de los datos proporcionados. Sin embargo, esta duda no fue comunicada por la ACP a los demás oferentes, incluyendo a GUPC. GUPC argumenta que esta omisión por parte de la ACP representa una violación del deber de información, lo que les llevó a incurrir en costos adicionales significativos debido a la inexactitud de los datos referenciales del suelo.</w:t>
      </w:r>
    </w:p>
    <w:sectPr w:rsidR="00365C30" w:rsidRPr="00052A6E">
      <w:type w:val="continuous"/>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FFFFFFFF"/>
    <w:lvl w:ilvl="0" w:tplc="000001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FFFFFFFF"/>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6CC20C61"/>
    <w:multiLevelType w:val="hybridMultilevel"/>
    <w:tmpl w:val="52C6E07E"/>
    <w:lvl w:ilvl="0" w:tplc="C382E684">
      <w:start w:val="1"/>
      <w:numFmt w:val="bullet"/>
      <w:lvlText w:val="•"/>
      <w:lvlJc w:val="left"/>
      <w:pPr>
        <w:spacing w:before="56" w:after="56"/>
        <w:ind w:left="283" w:hanging="283"/>
      </w:pPr>
    </w:lvl>
    <w:lvl w:ilvl="1" w:tplc="09623996">
      <w:numFmt w:val="decimal"/>
      <w:lvlText w:val=""/>
      <w:lvlJc w:val="left"/>
    </w:lvl>
    <w:lvl w:ilvl="2" w:tplc="8AE2A97E">
      <w:numFmt w:val="decimal"/>
      <w:lvlText w:val=""/>
      <w:lvlJc w:val="left"/>
    </w:lvl>
    <w:lvl w:ilvl="3" w:tplc="DA5CA45C">
      <w:numFmt w:val="decimal"/>
      <w:lvlText w:val=""/>
      <w:lvlJc w:val="left"/>
    </w:lvl>
    <w:lvl w:ilvl="4" w:tplc="D826A608">
      <w:numFmt w:val="decimal"/>
      <w:lvlText w:val=""/>
      <w:lvlJc w:val="left"/>
    </w:lvl>
    <w:lvl w:ilvl="5" w:tplc="3502F358">
      <w:numFmt w:val="decimal"/>
      <w:lvlText w:val=""/>
      <w:lvlJc w:val="left"/>
    </w:lvl>
    <w:lvl w:ilvl="6" w:tplc="087A7414">
      <w:numFmt w:val="decimal"/>
      <w:lvlText w:val=""/>
      <w:lvlJc w:val="left"/>
    </w:lvl>
    <w:lvl w:ilvl="7" w:tplc="C59685C2">
      <w:numFmt w:val="decimal"/>
      <w:lvlText w:val=""/>
      <w:lvlJc w:val="left"/>
    </w:lvl>
    <w:lvl w:ilvl="8" w:tplc="E3C8FCC8">
      <w:numFmt w:val="decimal"/>
      <w:lvlText w:val=""/>
      <w:lvlJc w:val="left"/>
    </w:lvl>
  </w:abstractNum>
  <w:abstractNum w:abstractNumId="8" w15:restartNumberingAfterBreak="0">
    <w:nsid w:val="6E337C5B"/>
    <w:multiLevelType w:val="hybridMultilevel"/>
    <w:tmpl w:val="115E9EBC"/>
    <w:lvl w:ilvl="0" w:tplc="3F60AAD6">
      <w:start w:val="1"/>
      <w:numFmt w:val="bullet"/>
      <w:lvlText w:val="●"/>
      <w:lvlJc w:val="left"/>
      <w:pPr>
        <w:ind w:left="720" w:hanging="360"/>
      </w:pPr>
    </w:lvl>
    <w:lvl w:ilvl="1" w:tplc="56A21088">
      <w:start w:val="1"/>
      <w:numFmt w:val="bullet"/>
      <w:lvlText w:val="○"/>
      <w:lvlJc w:val="left"/>
      <w:pPr>
        <w:ind w:left="1440" w:hanging="360"/>
      </w:pPr>
    </w:lvl>
    <w:lvl w:ilvl="2" w:tplc="7B0C076E">
      <w:start w:val="1"/>
      <w:numFmt w:val="bullet"/>
      <w:lvlText w:val="■"/>
      <w:lvlJc w:val="left"/>
      <w:pPr>
        <w:ind w:left="2160" w:hanging="360"/>
      </w:pPr>
    </w:lvl>
    <w:lvl w:ilvl="3" w:tplc="43F0C5EE">
      <w:start w:val="1"/>
      <w:numFmt w:val="bullet"/>
      <w:lvlText w:val="●"/>
      <w:lvlJc w:val="left"/>
      <w:pPr>
        <w:ind w:left="2880" w:hanging="360"/>
      </w:pPr>
    </w:lvl>
    <w:lvl w:ilvl="4" w:tplc="C8A84BA6">
      <w:start w:val="1"/>
      <w:numFmt w:val="bullet"/>
      <w:lvlText w:val="○"/>
      <w:lvlJc w:val="left"/>
      <w:pPr>
        <w:ind w:left="3600" w:hanging="360"/>
      </w:pPr>
    </w:lvl>
    <w:lvl w:ilvl="5" w:tplc="7360CCDA">
      <w:start w:val="1"/>
      <w:numFmt w:val="bullet"/>
      <w:lvlText w:val="■"/>
      <w:lvlJc w:val="left"/>
      <w:pPr>
        <w:ind w:left="4320" w:hanging="360"/>
      </w:pPr>
    </w:lvl>
    <w:lvl w:ilvl="6" w:tplc="799E195C">
      <w:start w:val="1"/>
      <w:numFmt w:val="bullet"/>
      <w:lvlText w:val="●"/>
      <w:lvlJc w:val="left"/>
      <w:pPr>
        <w:ind w:left="5040" w:hanging="360"/>
      </w:pPr>
    </w:lvl>
    <w:lvl w:ilvl="7" w:tplc="3C0E5586">
      <w:start w:val="1"/>
      <w:numFmt w:val="bullet"/>
      <w:lvlText w:val="●"/>
      <w:lvlJc w:val="left"/>
      <w:pPr>
        <w:ind w:left="5760" w:hanging="360"/>
      </w:pPr>
    </w:lvl>
    <w:lvl w:ilvl="8" w:tplc="5CD240F4">
      <w:start w:val="1"/>
      <w:numFmt w:val="bullet"/>
      <w:lvlText w:val="●"/>
      <w:lvlJc w:val="left"/>
      <w:pPr>
        <w:ind w:left="6480" w:hanging="360"/>
      </w:pPr>
    </w:lvl>
  </w:abstractNum>
  <w:abstractNum w:abstractNumId="9" w15:restartNumberingAfterBreak="0">
    <w:nsid w:val="76E86F16"/>
    <w:multiLevelType w:val="hybridMultilevel"/>
    <w:tmpl w:val="C74E7D48"/>
    <w:lvl w:ilvl="0" w:tplc="D130CC64">
      <w:start w:val="1"/>
      <w:numFmt w:val="decimal"/>
      <w:lvlText w:val="%1."/>
      <w:lvlJc w:val="left"/>
      <w:pPr>
        <w:spacing w:before="56" w:after="56"/>
        <w:ind w:left="283" w:hanging="283"/>
      </w:pPr>
    </w:lvl>
    <w:lvl w:ilvl="1" w:tplc="91A25882">
      <w:numFmt w:val="decimal"/>
      <w:lvlText w:val=""/>
      <w:lvlJc w:val="left"/>
    </w:lvl>
    <w:lvl w:ilvl="2" w:tplc="03C4B5AE">
      <w:numFmt w:val="decimal"/>
      <w:lvlText w:val=""/>
      <w:lvlJc w:val="left"/>
    </w:lvl>
    <w:lvl w:ilvl="3" w:tplc="894816C0">
      <w:numFmt w:val="decimal"/>
      <w:lvlText w:val=""/>
      <w:lvlJc w:val="left"/>
    </w:lvl>
    <w:lvl w:ilvl="4" w:tplc="02F4A16A">
      <w:numFmt w:val="decimal"/>
      <w:lvlText w:val=""/>
      <w:lvlJc w:val="left"/>
    </w:lvl>
    <w:lvl w:ilvl="5" w:tplc="E97A8274">
      <w:numFmt w:val="decimal"/>
      <w:lvlText w:val=""/>
      <w:lvlJc w:val="left"/>
    </w:lvl>
    <w:lvl w:ilvl="6" w:tplc="08B8E152">
      <w:numFmt w:val="decimal"/>
      <w:lvlText w:val=""/>
      <w:lvlJc w:val="left"/>
    </w:lvl>
    <w:lvl w:ilvl="7" w:tplc="82A454AC">
      <w:numFmt w:val="decimal"/>
      <w:lvlText w:val=""/>
      <w:lvlJc w:val="left"/>
    </w:lvl>
    <w:lvl w:ilvl="8" w:tplc="AEFED68A">
      <w:numFmt w:val="decimal"/>
      <w:lvlText w:val=""/>
      <w:lvlJc w:val="left"/>
    </w:lvl>
  </w:abstractNum>
  <w:num w:numId="1" w16cid:durableId="1703439745">
    <w:abstractNumId w:val="8"/>
    <w:lvlOverride w:ilvl="0">
      <w:startOverride w:val="1"/>
    </w:lvlOverride>
  </w:num>
  <w:num w:numId="2" w16cid:durableId="982664192">
    <w:abstractNumId w:val="9"/>
  </w:num>
  <w:num w:numId="3" w16cid:durableId="251936409">
    <w:abstractNumId w:val="0"/>
  </w:num>
  <w:num w:numId="4" w16cid:durableId="1135415168">
    <w:abstractNumId w:val="1"/>
  </w:num>
  <w:num w:numId="5" w16cid:durableId="1264145995">
    <w:abstractNumId w:val="2"/>
  </w:num>
  <w:num w:numId="6" w16cid:durableId="912664783">
    <w:abstractNumId w:val="3"/>
  </w:num>
  <w:num w:numId="7" w16cid:durableId="927543980">
    <w:abstractNumId w:val="4"/>
  </w:num>
  <w:num w:numId="8" w16cid:durableId="690764600">
    <w:abstractNumId w:val="5"/>
  </w:num>
  <w:num w:numId="9" w16cid:durableId="4468930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C30"/>
    <w:rsid w:val="00052A6E"/>
    <w:rsid w:val="00365C30"/>
    <w:rsid w:val="00391967"/>
    <w:rsid w:val="0086499A"/>
    <w:rsid w:val="00A739D9"/>
    <w:rsid w:val="00D648F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4:docId w14:val="7426A203"/>
  <w15:docId w15:val="{FA9B8FA0-2BAF-8244-889A-8645EEE31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lang w:val="es-CL"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outlineLvl w:val="0"/>
    </w:pPr>
    <w:rPr>
      <w:color w:val="374151"/>
      <w:sz w:val="32"/>
      <w:szCs w:val="32"/>
    </w:rPr>
  </w:style>
  <w:style w:type="paragraph" w:styleId="Ttulo2">
    <w:name w:val="heading 2"/>
    <w:uiPriority w:val="9"/>
    <w:unhideWhenUsed/>
    <w:qFormat/>
    <w:pPr>
      <w:outlineLvl w:val="1"/>
    </w:pPr>
    <w:rPr>
      <w:color w:val="374151"/>
      <w:sz w:val="26"/>
      <w:szCs w:val="26"/>
    </w:rPr>
  </w:style>
  <w:style w:type="paragraph" w:styleId="Ttulo3">
    <w:name w:val="heading 3"/>
    <w:uiPriority w:val="9"/>
    <w:semiHidden/>
    <w:unhideWhenUsed/>
    <w:qFormat/>
    <w:pPr>
      <w:outlineLvl w:val="2"/>
    </w:pPr>
    <w:rPr>
      <w:color w:val="374151"/>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Textoennegrita1">
    <w:name w:val="Texto en negrita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style>
  <w:style w:type="character" w:customStyle="1" w:styleId="TextonotapieCar">
    <w:name w:val="Texto nota pie Car"/>
    <w:link w:val="Textonotapie"/>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373</Words>
  <Characters>2015</Characters>
  <Application>Microsoft Office Word</Application>
  <DocSecurity>0</DocSecurity>
  <Lines>45</Lines>
  <Paragraphs>17</Paragraphs>
  <ScaleCrop>false</ScaleCrop>
  <HeadingPairs>
    <vt:vector size="2" baseType="variant">
      <vt:variant>
        <vt:lpstr>Título</vt:lpstr>
      </vt:variant>
      <vt:variant>
        <vt:i4>1</vt:i4>
      </vt:variant>
    </vt:vector>
  </HeadingPairs>
  <TitlesOfParts>
    <vt:vector size="1" baseType="lpstr">
      <vt:lpstr/>
    </vt:vector>
  </TitlesOfParts>
  <Company>Jana &amp; Gil Dispute Resolution</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Jana &amp; Gil Dispute Resolution</cp:lastModifiedBy>
  <cp:revision>2</cp:revision>
  <dcterms:created xsi:type="dcterms:W3CDTF">2024-06-05T22:51:00Z</dcterms:created>
  <dcterms:modified xsi:type="dcterms:W3CDTF">2024-06-05T22:51:00Z</dcterms:modified>
</cp:coreProperties>
</file>