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635E1" w14:textId="2FC49148" w:rsidR="008B18CE" w:rsidRPr="003D49EB" w:rsidRDefault="008B18CE" w:rsidP="009A4683">
      <w:pPr>
        <w:pStyle w:val="Prrafodelista"/>
        <w:ind w:left="0"/>
        <w:jc w:val="center"/>
        <w:rPr>
          <w:rFonts w:cstheme="minorHAnsi"/>
          <w:b/>
          <w:szCs w:val="20"/>
        </w:rPr>
      </w:pPr>
    </w:p>
    <w:p w14:paraId="2D7DA493" w14:textId="77777777" w:rsidR="008B18CE" w:rsidRPr="003D49EB" w:rsidRDefault="008B18CE" w:rsidP="009A4683">
      <w:pPr>
        <w:contextualSpacing/>
        <w:rPr>
          <w:rFonts w:eastAsia="Calibri" w:cstheme="minorHAnsi"/>
          <w:b/>
          <w:szCs w:val="20"/>
        </w:rPr>
      </w:pPr>
      <w:r w:rsidRPr="003D49EB">
        <w:rPr>
          <w:rFonts w:eastAsia="Calibri" w:cstheme="minorHAnsi"/>
          <w:szCs w:val="20"/>
        </w:rPr>
        <w:t>CUADERNILLO DE JURISPRUDENCIA DE LA CORTE INTERAMERICANA DE DERECHOS HUMANOS Nº 10:</w:t>
      </w:r>
      <w:r w:rsidRPr="003D49EB">
        <w:rPr>
          <w:rFonts w:eastAsia="Calibri" w:cstheme="minorHAnsi"/>
          <w:b/>
          <w:szCs w:val="20"/>
        </w:rPr>
        <w:t xml:space="preserve"> </w:t>
      </w:r>
    </w:p>
    <w:p w14:paraId="481F58D8" w14:textId="77777777" w:rsidR="008B18CE" w:rsidRPr="003D49EB" w:rsidRDefault="008B18CE" w:rsidP="009A4683">
      <w:pPr>
        <w:contextualSpacing/>
        <w:rPr>
          <w:rFonts w:eastAsia="Calibri" w:cstheme="minorHAnsi"/>
          <w:b/>
          <w:szCs w:val="20"/>
        </w:rPr>
      </w:pPr>
      <w:r w:rsidRPr="003D49EB">
        <w:rPr>
          <w:rFonts w:eastAsia="Calibri" w:cstheme="minorHAnsi"/>
          <w:b/>
          <w:szCs w:val="20"/>
        </w:rPr>
        <w:t>INTEGRIDAD PERSONAL</w:t>
      </w:r>
    </w:p>
    <w:p w14:paraId="75A02E35" w14:textId="77777777" w:rsidR="008B18CE" w:rsidRPr="003D49EB" w:rsidRDefault="008B18CE" w:rsidP="009A4683">
      <w:pPr>
        <w:ind w:firstLine="708"/>
        <w:rPr>
          <w:szCs w:val="20"/>
        </w:rPr>
      </w:pPr>
    </w:p>
    <w:p w14:paraId="794C522B" w14:textId="77777777" w:rsidR="00495143" w:rsidRPr="003D49EB" w:rsidRDefault="00495143" w:rsidP="009A4683">
      <w:pPr>
        <w:rPr>
          <w:szCs w:val="20"/>
          <w:lang w:val="es-ES_tradnl"/>
        </w:rPr>
      </w:pPr>
      <w:r w:rsidRPr="003D49EB">
        <w:rPr>
          <w:szCs w:val="20"/>
          <w:lang w:val="es-ES_tradnl"/>
        </w:rPr>
        <w:br w:type="page"/>
      </w:r>
    </w:p>
    <w:p w14:paraId="1D199BFF" w14:textId="72019A1B" w:rsidR="008B18CE" w:rsidRDefault="008B18CE" w:rsidP="009A4683">
      <w:pPr>
        <w:ind w:firstLine="708"/>
        <w:rPr>
          <w:szCs w:val="20"/>
          <w:lang w:val="es-ES_tradnl"/>
        </w:rPr>
      </w:pPr>
      <w:r w:rsidRPr="003D49EB">
        <w:rPr>
          <w:szCs w:val="20"/>
          <w:lang w:val="es-ES_tradnl"/>
        </w:rPr>
        <w:lastRenderedPageBreak/>
        <w:t>El presente cuadernillo de jurispruden</w:t>
      </w:r>
      <w:r w:rsidR="0019398E" w:rsidRPr="003D49EB">
        <w:rPr>
          <w:szCs w:val="20"/>
          <w:lang w:val="es-ES_tradnl"/>
        </w:rPr>
        <w:t>cia es</w:t>
      </w:r>
      <w:r w:rsidRPr="003D49EB">
        <w:rPr>
          <w:szCs w:val="20"/>
          <w:lang w:val="es-ES_tradnl"/>
        </w:rPr>
        <w:t xml:space="preserve"> el décimo número de una serie de publicaciones que la Corte Interamericana de Derechos Humanos (Corte IDH) realiza con el objeto de dar a conocer su jurisprudencia en diversos temas de relevancia a nivel regional. Este décimo número está dedicado a abordar el contenido y las obligaciones que derivan del derecho a la integridad personal (artículo 5 de la Convención Americana de Derechos Humanos) en la jurisprudencia interamericana y ha sido actualizado a </w:t>
      </w:r>
      <w:r w:rsidR="006E5C73">
        <w:rPr>
          <w:szCs w:val="20"/>
          <w:lang w:val="es-ES_tradnl"/>
        </w:rPr>
        <w:t>diciembre</w:t>
      </w:r>
      <w:r w:rsidR="0019398E" w:rsidRPr="003D49EB">
        <w:rPr>
          <w:szCs w:val="20"/>
          <w:lang w:val="es-ES_tradnl"/>
        </w:rPr>
        <w:t xml:space="preserve"> de 2021</w:t>
      </w:r>
      <w:r w:rsidRPr="003D49EB">
        <w:rPr>
          <w:szCs w:val="20"/>
          <w:lang w:val="es-ES_tradnl"/>
        </w:rPr>
        <w:t xml:space="preserve">. </w:t>
      </w:r>
    </w:p>
    <w:p w14:paraId="2D634CFE" w14:textId="77777777" w:rsidR="00C62A4E" w:rsidRPr="003D49EB" w:rsidRDefault="00C62A4E" w:rsidP="009A4683">
      <w:pPr>
        <w:ind w:firstLine="708"/>
        <w:rPr>
          <w:szCs w:val="20"/>
          <w:lang w:val="es-ES_tradnl"/>
        </w:rPr>
      </w:pPr>
    </w:p>
    <w:p w14:paraId="7A82391C" w14:textId="558D70AF" w:rsidR="008B18CE" w:rsidRDefault="008B18CE" w:rsidP="009A4683">
      <w:pPr>
        <w:ind w:firstLine="708"/>
        <w:rPr>
          <w:szCs w:val="20"/>
          <w:lang w:val="es-ES_tradnl"/>
        </w:rPr>
      </w:pPr>
      <w:r w:rsidRPr="003D49EB">
        <w:rPr>
          <w:szCs w:val="20"/>
          <w:lang w:val="es-ES_tradnl"/>
        </w:rPr>
        <w:t>Para abordar este tema, se han extractado los párrafos más relevantes de los casos contenciosos, opiniones consultivas y medidas provisionales en que la Corte ha tratado esta temática, con especial énfasis en sus pronunciamientos en torno al contenido y alcance de los derechos, las obligaciones del Estado, y afectaciones a los derechos. En una primera parte de este cuadernillo, se exponen las resoluciones donde la Corte IDH ha abordado aspectos generales del derecho a la integridad personal. Luego, se analizará la prohibición absoluta de la tortura y otros tratos crueles inhumanos o degradantes que ha sido reconocida por la jurisprudencia interamericana. Posteriormente, se señalarán la evolución y los elementos que ha utilizado la Corte IDH para darle contenido al concepto de “tortura”, primero en su dimensión general, después haciendo énfasis en lo que ha considerado como “tortura psicológica”, y también cuándo ha entendido que la violencia sexual es constitutiva de tortura</w:t>
      </w:r>
      <w:r w:rsidR="0019398E" w:rsidRPr="003D49EB">
        <w:rPr>
          <w:szCs w:val="20"/>
          <w:lang w:val="es-ES_tradnl"/>
        </w:rPr>
        <w:t xml:space="preserve"> y la esclavitud sexual</w:t>
      </w:r>
      <w:r w:rsidRPr="003D49EB">
        <w:rPr>
          <w:szCs w:val="20"/>
          <w:lang w:val="es-ES_tradnl"/>
        </w:rPr>
        <w:t xml:space="preserve">. Después, se hará referencia a las distintas formas de afectación que puede tener el derecho a la integridad personal, haciendo referencia a distintas acciones que constituyen tratos crueles, inhumanos o degradantes. </w:t>
      </w:r>
      <w:r w:rsidR="0019398E" w:rsidRPr="003D49EB">
        <w:rPr>
          <w:szCs w:val="20"/>
          <w:lang w:val="es-ES_tradnl"/>
        </w:rPr>
        <w:t>Enseguida</w:t>
      </w:r>
      <w:r w:rsidRPr="003D49EB">
        <w:rPr>
          <w:szCs w:val="20"/>
          <w:lang w:val="es-ES_tradnl"/>
        </w:rPr>
        <w:t>, se analizarán las obligaciones estatales en relación al derecho a la integridad personal. Finalmente, se da cuenta de algunas medidas de reparación que ha dispuesto la Corte IDH en estos casos.</w:t>
      </w:r>
    </w:p>
    <w:p w14:paraId="2E28BD32" w14:textId="77777777" w:rsidR="00C62A4E" w:rsidRPr="003D49EB" w:rsidRDefault="00C62A4E" w:rsidP="009A4683">
      <w:pPr>
        <w:ind w:firstLine="708"/>
        <w:rPr>
          <w:szCs w:val="20"/>
          <w:lang w:val="es-ES_tradnl"/>
        </w:rPr>
      </w:pPr>
    </w:p>
    <w:p w14:paraId="70D5DF34" w14:textId="6BEEF5E9" w:rsidR="008B18CE" w:rsidRDefault="008B18CE" w:rsidP="009A4683">
      <w:pPr>
        <w:ind w:firstLine="708"/>
        <w:rPr>
          <w:szCs w:val="20"/>
          <w:lang w:val="es-ES_tradnl"/>
        </w:rPr>
      </w:pPr>
      <w:r w:rsidRPr="003D49EB">
        <w:rPr>
          <w:szCs w:val="20"/>
          <w:lang w:val="es-ES_tradnl"/>
        </w:rPr>
        <w:t>Se han seleccionado los principales párrafos que ilustran la opinión de la Corte relativa a los temas en que se ha dividido este cuadernillo. Los títulos buscan facilitar la lectura y no necesariamente corresponde a los usados en las sentencias u opiniones consultivas.</w:t>
      </w:r>
    </w:p>
    <w:p w14:paraId="495CE82D" w14:textId="77777777" w:rsidR="00C62A4E" w:rsidRPr="003D49EB" w:rsidRDefault="00C62A4E" w:rsidP="009A4683">
      <w:pPr>
        <w:ind w:firstLine="708"/>
        <w:rPr>
          <w:szCs w:val="20"/>
          <w:lang w:val="es-ES_tradnl"/>
        </w:rPr>
      </w:pPr>
    </w:p>
    <w:p w14:paraId="57E0CDCB" w14:textId="1EEA9174" w:rsidR="008B18CE" w:rsidRDefault="008B18CE" w:rsidP="009A4683">
      <w:pPr>
        <w:ind w:firstLine="708"/>
        <w:rPr>
          <w:szCs w:val="20"/>
          <w:lang w:val="es-ES_tradnl"/>
        </w:rPr>
      </w:pPr>
      <w:r w:rsidRPr="003D49EB">
        <w:rPr>
          <w:szCs w:val="20"/>
          <w:lang w:val="es-ES_tradnl"/>
        </w:rPr>
        <w:t xml:space="preserve">La Corte agradece al Dr. Claudio Nash por su trabajo como editor de esta Serie de Cuadernillos de Jurisprudencia de la Corte Interamericana de Derechos Humanos. </w:t>
      </w:r>
    </w:p>
    <w:p w14:paraId="225B6A5B" w14:textId="77777777" w:rsidR="00C62A4E" w:rsidRPr="003D49EB" w:rsidRDefault="00C62A4E" w:rsidP="009A4683">
      <w:pPr>
        <w:ind w:firstLine="708"/>
        <w:rPr>
          <w:szCs w:val="20"/>
        </w:rPr>
      </w:pPr>
    </w:p>
    <w:p w14:paraId="6643C0FB" w14:textId="77777777" w:rsidR="008B18CE" w:rsidRPr="003D49EB" w:rsidRDefault="008B18CE" w:rsidP="009A4683">
      <w:pPr>
        <w:ind w:firstLine="708"/>
        <w:rPr>
          <w:szCs w:val="20"/>
        </w:rPr>
      </w:pPr>
      <w:r w:rsidRPr="003D49EB">
        <w:rPr>
          <w:szCs w:val="20"/>
          <w:lang w:val="es-ES_tradnl"/>
        </w:rPr>
        <w:t xml:space="preserve">Esperamos que este décimo Cuadernillo de Jurisprudencia sirva a la difusión de la jurisprudencia de la Corte en toda la región. </w:t>
      </w:r>
    </w:p>
    <w:p w14:paraId="504F4E06" w14:textId="280BD8B0" w:rsidR="008B18CE" w:rsidRDefault="008B18CE" w:rsidP="009A4683">
      <w:pPr>
        <w:ind w:firstLine="708"/>
        <w:rPr>
          <w:szCs w:val="20"/>
        </w:rPr>
      </w:pPr>
    </w:p>
    <w:p w14:paraId="6984912E" w14:textId="77777777" w:rsidR="00C62A4E" w:rsidRPr="003D49EB" w:rsidRDefault="00C62A4E" w:rsidP="009A4683">
      <w:pPr>
        <w:ind w:firstLine="708"/>
        <w:rPr>
          <w:szCs w:val="20"/>
        </w:rPr>
      </w:pPr>
    </w:p>
    <w:p w14:paraId="0D712B27" w14:textId="09A573E0" w:rsidR="008B18CE" w:rsidRPr="003D49EB" w:rsidRDefault="0019398E" w:rsidP="009A4683">
      <w:pPr>
        <w:tabs>
          <w:tab w:val="left" w:pos="1320"/>
          <w:tab w:val="center" w:pos="4889"/>
        </w:tabs>
        <w:jc w:val="center"/>
        <w:rPr>
          <w:rFonts w:eastAsia="Arial"/>
          <w:b/>
          <w:szCs w:val="20"/>
        </w:rPr>
      </w:pPr>
      <w:r w:rsidRPr="003D49EB">
        <w:rPr>
          <w:rFonts w:eastAsia="Arial"/>
          <w:b/>
          <w:szCs w:val="20"/>
        </w:rPr>
        <w:t>Elizabeth Odio Benito</w:t>
      </w:r>
    </w:p>
    <w:p w14:paraId="49912B05" w14:textId="61945CD4" w:rsidR="008B18CE" w:rsidRPr="003D49EB" w:rsidRDefault="008B18CE" w:rsidP="009A4683">
      <w:pPr>
        <w:jc w:val="center"/>
        <w:rPr>
          <w:rFonts w:eastAsia="Arial"/>
          <w:szCs w:val="20"/>
        </w:rPr>
      </w:pPr>
      <w:r w:rsidRPr="003D49EB">
        <w:rPr>
          <w:rFonts w:eastAsia="Arial"/>
          <w:szCs w:val="20"/>
        </w:rPr>
        <w:t>President</w:t>
      </w:r>
      <w:r w:rsidR="0019398E" w:rsidRPr="003D49EB">
        <w:rPr>
          <w:rFonts w:eastAsia="Arial"/>
          <w:szCs w:val="20"/>
        </w:rPr>
        <w:t>a</w:t>
      </w:r>
    </w:p>
    <w:p w14:paraId="612C2CF7" w14:textId="77777777" w:rsidR="008B18CE" w:rsidRPr="003D49EB" w:rsidRDefault="008B18CE" w:rsidP="009A4683">
      <w:pPr>
        <w:jc w:val="center"/>
        <w:rPr>
          <w:rFonts w:eastAsia="Arial"/>
          <w:szCs w:val="20"/>
        </w:rPr>
      </w:pPr>
    </w:p>
    <w:p w14:paraId="76C5EAE0" w14:textId="040F2EAD" w:rsidR="00495143" w:rsidRPr="003D49EB" w:rsidRDefault="008B18CE" w:rsidP="009A4683">
      <w:pPr>
        <w:ind w:right="-7"/>
        <w:rPr>
          <w:b/>
          <w:szCs w:val="20"/>
        </w:rPr>
      </w:pPr>
      <w:r w:rsidRPr="003D49EB">
        <w:rPr>
          <w:b/>
          <w:szCs w:val="20"/>
        </w:rPr>
        <w:t xml:space="preserve">                </w:t>
      </w:r>
    </w:p>
    <w:p w14:paraId="557E4490" w14:textId="77777777" w:rsidR="00495143" w:rsidRPr="003D49EB" w:rsidRDefault="00495143" w:rsidP="009A4683">
      <w:pPr>
        <w:rPr>
          <w:b/>
          <w:szCs w:val="20"/>
        </w:rPr>
      </w:pPr>
      <w:r w:rsidRPr="003D49EB">
        <w:rPr>
          <w:b/>
          <w:szCs w:val="20"/>
        </w:rPr>
        <w:br w:type="page"/>
      </w:r>
    </w:p>
    <w:p w14:paraId="0BB3995D" w14:textId="77777777" w:rsidR="008B18CE" w:rsidRPr="003D49EB" w:rsidRDefault="008B18CE" w:rsidP="009A4683">
      <w:pPr>
        <w:ind w:right="-7"/>
        <w:rPr>
          <w:b/>
          <w:szCs w:val="20"/>
        </w:rPr>
      </w:pPr>
    </w:p>
    <w:sdt>
      <w:sdtPr>
        <w:rPr>
          <w:rFonts w:eastAsiaTheme="minorHAnsi" w:cstheme="minorBidi"/>
          <w:b w:val="0"/>
          <w:caps w:val="0"/>
          <w:spacing w:val="0"/>
          <w:sz w:val="20"/>
          <w:lang w:eastAsia="en-US"/>
        </w:rPr>
        <w:id w:val="174154806"/>
        <w:docPartObj>
          <w:docPartGallery w:val="Table of Contents"/>
          <w:docPartUnique/>
        </w:docPartObj>
      </w:sdtPr>
      <w:sdtEndPr>
        <w:rPr>
          <w:rFonts w:eastAsia="Times New Roman" w:cs="Times New Roman"/>
          <w:bCs/>
          <w:szCs w:val="20"/>
          <w:lang w:eastAsia="es-MX"/>
        </w:rPr>
      </w:sdtEndPr>
      <w:sdtContent>
        <w:p w14:paraId="21D089D7" w14:textId="63F71481" w:rsidR="002E0960" w:rsidRPr="003D49EB" w:rsidRDefault="002E0960" w:rsidP="006E5C73">
          <w:pPr>
            <w:pStyle w:val="TtuloTDC"/>
          </w:pPr>
        </w:p>
        <w:p w14:paraId="386A1A8C" w14:textId="359828B5" w:rsidR="006E5C73" w:rsidRDefault="009F304D" w:rsidP="006E5C73">
          <w:pPr>
            <w:pStyle w:val="TDC1"/>
            <w:shd w:val="clear" w:color="auto" w:fill="auto"/>
            <w:rPr>
              <w:rFonts w:asciiTheme="minorHAnsi" w:eastAsiaTheme="minorEastAsia" w:hAnsiTheme="minorHAnsi" w:cstheme="minorBidi"/>
              <w:noProof/>
              <w:sz w:val="24"/>
            </w:rPr>
          </w:pPr>
          <w:r w:rsidRPr="003D49EB">
            <w:rPr>
              <w:szCs w:val="20"/>
            </w:rPr>
            <w:fldChar w:fldCharType="begin"/>
          </w:r>
          <w:r w:rsidR="002E0960" w:rsidRPr="003D49EB">
            <w:rPr>
              <w:szCs w:val="20"/>
            </w:rPr>
            <w:instrText xml:space="preserve"> TOC \o "1-3" \h \z \u </w:instrText>
          </w:r>
          <w:r w:rsidRPr="003D49EB">
            <w:rPr>
              <w:szCs w:val="20"/>
            </w:rPr>
            <w:fldChar w:fldCharType="separate"/>
          </w:r>
          <w:hyperlink w:anchor="_Toc88914963" w:history="1">
            <w:r w:rsidR="006E5C73" w:rsidRPr="00367D04">
              <w:rPr>
                <w:rStyle w:val="Hipervnculo"/>
                <w:noProof/>
              </w:rPr>
              <w:t>1. Derecho a la integridad personal</w:t>
            </w:r>
            <w:r w:rsidR="006E5C73">
              <w:rPr>
                <w:noProof/>
                <w:webHidden/>
              </w:rPr>
              <w:tab/>
            </w:r>
            <w:r w:rsidR="006E5C73">
              <w:rPr>
                <w:noProof/>
                <w:webHidden/>
              </w:rPr>
              <w:fldChar w:fldCharType="begin"/>
            </w:r>
            <w:r w:rsidR="006E5C73">
              <w:rPr>
                <w:noProof/>
                <w:webHidden/>
              </w:rPr>
              <w:instrText xml:space="preserve"> PAGEREF _Toc88914963 \h </w:instrText>
            </w:r>
            <w:r w:rsidR="006E5C73">
              <w:rPr>
                <w:noProof/>
                <w:webHidden/>
              </w:rPr>
            </w:r>
            <w:r w:rsidR="006E5C73">
              <w:rPr>
                <w:noProof/>
                <w:webHidden/>
              </w:rPr>
              <w:fldChar w:fldCharType="separate"/>
            </w:r>
            <w:r w:rsidR="00FF6E32">
              <w:rPr>
                <w:noProof/>
                <w:webHidden/>
              </w:rPr>
              <w:t>5</w:t>
            </w:r>
            <w:r w:rsidR="006E5C73">
              <w:rPr>
                <w:noProof/>
                <w:webHidden/>
              </w:rPr>
              <w:fldChar w:fldCharType="end"/>
            </w:r>
          </w:hyperlink>
        </w:p>
        <w:p w14:paraId="59892BCC" w14:textId="1633E706" w:rsidR="006E5C73" w:rsidRDefault="00BF4179" w:rsidP="006E5C73">
          <w:pPr>
            <w:pStyle w:val="TDC2"/>
            <w:shd w:val="clear" w:color="auto" w:fill="auto"/>
            <w:rPr>
              <w:rFonts w:asciiTheme="minorHAnsi" w:eastAsiaTheme="minorEastAsia" w:hAnsiTheme="minorHAnsi" w:cstheme="minorBidi"/>
              <w:noProof/>
              <w:sz w:val="24"/>
            </w:rPr>
          </w:pPr>
          <w:hyperlink w:anchor="_Toc88914964" w:history="1">
            <w:r w:rsidR="006E5C73" w:rsidRPr="00367D04">
              <w:rPr>
                <w:rStyle w:val="Hipervnculo"/>
                <w:noProof/>
              </w:rPr>
              <w:t>Vínculo entre la dignidad humana y la integridad personal</w:t>
            </w:r>
            <w:r w:rsidR="006E5C73">
              <w:rPr>
                <w:noProof/>
                <w:webHidden/>
              </w:rPr>
              <w:tab/>
            </w:r>
            <w:r w:rsidR="006E5C73">
              <w:rPr>
                <w:noProof/>
                <w:webHidden/>
              </w:rPr>
              <w:fldChar w:fldCharType="begin"/>
            </w:r>
            <w:r w:rsidR="006E5C73">
              <w:rPr>
                <w:noProof/>
                <w:webHidden/>
              </w:rPr>
              <w:instrText xml:space="preserve"> PAGEREF _Toc88914964 \h </w:instrText>
            </w:r>
            <w:r w:rsidR="006E5C73">
              <w:rPr>
                <w:noProof/>
                <w:webHidden/>
              </w:rPr>
            </w:r>
            <w:r w:rsidR="006E5C73">
              <w:rPr>
                <w:noProof/>
                <w:webHidden/>
              </w:rPr>
              <w:fldChar w:fldCharType="separate"/>
            </w:r>
            <w:r w:rsidR="00FF6E32">
              <w:rPr>
                <w:noProof/>
                <w:webHidden/>
              </w:rPr>
              <w:t>5</w:t>
            </w:r>
            <w:r w:rsidR="006E5C73">
              <w:rPr>
                <w:noProof/>
                <w:webHidden/>
              </w:rPr>
              <w:fldChar w:fldCharType="end"/>
            </w:r>
          </w:hyperlink>
        </w:p>
        <w:p w14:paraId="7E622120" w14:textId="000FE0CF" w:rsidR="006E5C73" w:rsidRDefault="00BF4179" w:rsidP="006E5C73">
          <w:pPr>
            <w:pStyle w:val="TDC2"/>
            <w:shd w:val="clear" w:color="auto" w:fill="auto"/>
            <w:rPr>
              <w:rFonts w:asciiTheme="minorHAnsi" w:eastAsiaTheme="minorEastAsia" w:hAnsiTheme="minorHAnsi" w:cstheme="minorBidi"/>
              <w:noProof/>
              <w:sz w:val="24"/>
            </w:rPr>
          </w:pPr>
          <w:hyperlink w:anchor="_Toc88914965" w:history="1">
            <w:r w:rsidR="006E5C73" w:rsidRPr="00367D04">
              <w:rPr>
                <w:rStyle w:val="Hipervnculo"/>
                <w:rFonts w:eastAsia="Calibri"/>
                <w:noProof/>
              </w:rPr>
              <w:t>Diversas connotaciones de grado de la infracción a la integridad personal</w:t>
            </w:r>
            <w:r w:rsidR="006E5C73">
              <w:rPr>
                <w:noProof/>
                <w:webHidden/>
              </w:rPr>
              <w:tab/>
            </w:r>
            <w:r w:rsidR="006E5C73">
              <w:rPr>
                <w:noProof/>
                <w:webHidden/>
              </w:rPr>
              <w:fldChar w:fldCharType="begin"/>
            </w:r>
            <w:r w:rsidR="006E5C73">
              <w:rPr>
                <w:noProof/>
                <w:webHidden/>
              </w:rPr>
              <w:instrText xml:space="preserve"> PAGEREF _Toc88914965 \h </w:instrText>
            </w:r>
            <w:r w:rsidR="006E5C73">
              <w:rPr>
                <w:noProof/>
                <w:webHidden/>
              </w:rPr>
            </w:r>
            <w:r w:rsidR="006E5C73">
              <w:rPr>
                <w:noProof/>
                <w:webHidden/>
              </w:rPr>
              <w:fldChar w:fldCharType="separate"/>
            </w:r>
            <w:r w:rsidR="00FF6E32">
              <w:rPr>
                <w:noProof/>
                <w:webHidden/>
              </w:rPr>
              <w:t>5</w:t>
            </w:r>
            <w:r w:rsidR="006E5C73">
              <w:rPr>
                <w:noProof/>
                <w:webHidden/>
              </w:rPr>
              <w:fldChar w:fldCharType="end"/>
            </w:r>
          </w:hyperlink>
        </w:p>
        <w:p w14:paraId="159DB7AC" w14:textId="3006BA85" w:rsidR="006E5C73" w:rsidRDefault="00BF4179" w:rsidP="006E5C73">
          <w:pPr>
            <w:pStyle w:val="TDC2"/>
            <w:shd w:val="clear" w:color="auto" w:fill="auto"/>
            <w:rPr>
              <w:rFonts w:asciiTheme="minorHAnsi" w:eastAsiaTheme="minorEastAsia" w:hAnsiTheme="minorHAnsi" w:cstheme="minorBidi"/>
              <w:noProof/>
              <w:sz w:val="24"/>
            </w:rPr>
          </w:pPr>
          <w:hyperlink w:anchor="_Toc88914966" w:history="1">
            <w:r w:rsidR="006E5C73" w:rsidRPr="00367D04">
              <w:rPr>
                <w:rStyle w:val="Hipervnculo"/>
                <w:noProof/>
              </w:rPr>
              <w:t>Distinciones entre integridad física, psíquica y moral</w:t>
            </w:r>
            <w:r w:rsidR="006E5C73">
              <w:rPr>
                <w:noProof/>
                <w:webHidden/>
              </w:rPr>
              <w:tab/>
            </w:r>
            <w:r w:rsidR="006E5C73">
              <w:rPr>
                <w:noProof/>
                <w:webHidden/>
              </w:rPr>
              <w:fldChar w:fldCharType="begin"/>
            </w:r>
            <w:r w:rsidR="006E5C73">
              <w:rPr>
                <w:noProof/>
                <w:webHidden/>
              </w:rPr>
              <w:instrText xml:space="preserve"> PAGEREF _Toc88914966 \h </w:instrText>
            </w:r>
            <w:r w:rsidR="006E5C73">
              <w:rPr>
                <w:noProof/>
                <w:webHidden/>
              </w:rPr>
            </w:r>
            <w:r w:rsidR="006E5C73">
              <w:rPr>
                <w:noProof/>
                <w:webHidden/>
              </w:rPr>
              <w:fldChar w:fldCharType="separate"/>
            </w:r>
            <w:r w:rsidR="00FF6E32">
              <w:rPr>
                <w:noProof/>
                <w:webHidden/>
              </w:rPr>
              <w:t>10</w:t>
            </w:r>
            <w:r w:rsidR="006E5C73">
              <w:rPr>
                <w:noProof/>
                <w:webHidden/>
              </w:rPr>
              <w:fldChar w:fldCharType="end"/>
            </w:r>
          </w:hyperlink>
        </w:p>
        <w:p w14:paraId="5E9BFC74" w14:textId="03F004C2" w:rsidR="006E5C73" w:rsidRDefault="00BF4179" w:rsidP="006E5C73">
          <w:pPr>
            <w:pStyle w:val="TDC2"/>
            <w:shd w:val="clear" w:color="auto" w:fill="auto"/>
            <w:rPr>
              <w:rFonts w:asciiTheme="minorHAnsi" w:eastAsiaTheme="minorEastAsia" w:hAnsiTheme="minorHAnsi" w:cstheme="minorBidi"/>
              <w:noProof/>
              <w:sz w:val="24"/>
            </w:rPr>
          </w:pPr>
          <w:hyperlink w:anchor="_Toc88914967" w:history="1">
            <w:r w:rsidR="006E5C73" w:rsidRPr="00367D04">
              <w:rPr>
                <w:rStyle w:val="Hipervnculo"/>
                <w:noProof/>
              </w:rPr>
              <w:t>Inderogabilidad del derecho a la integridad personal</w:t>
            </w:r>
            <w:r w:rsidR="006E5C73">
              <w:rPr>
                <w:noProof/>
                <w:webHidden/>
              </w:rPr>
              <w:tab/>
            </w:r>
            <w:r w:rsidR="006E5C73">
              <w:rPr>
                <w:noProof/>
                <w:webHidden/>
              </w:rPr>
              <w:fldChar w:fldCharType="begin"/>
            </w:r>
            <w:r w:rsidR="006E5C73">
              <w:rPr>
                <w:noProof/>
                <w:webHidden/>
              </w:rPr>
              <w:instrText xml:space="preserve"> PAGEREF _Toc88914967 \h </w:instrText>
            </w:r>
            <w:r w:rsidR="006E5C73">
              <w:rPr>
                <w:noProof/>
                <w:webHidden/>
              </w:rPr>
            </w:r>
            <w:r w:rsidR="006E5C73">
              <w:rPr>
                <w:noProof/>
                <w:webHidden/>
              </w:rPr>
              <w:fldChar w:fldCharType="separate"/>
            </w:r>
            <w:r w:rsidR="00FF6E32">
              <w:rPr>
                <w:noProof/>
                <w:webHidden/>
              </w:rPr>
              <w:t>14</w:t>
            </w:r>
            <w:r w:rsidR="006E5C73">
              <w:rPr>
                <w:noProof/>
                <w:webHidden/>
              </w:rPr>
              <w:fldChar w:fldCharType="end"/>
            </w:r>
          </w:hyperlink>
        </w:p>
        <w:p w14:paraId="2130C61C" w14:textId="0C072CD4" w:rsidR="006E5C73" w:rsidRDefault="00BF4179" w:rsidP="006E5C73">
          <w:pPr>
            <w:pStyle w:val="TDC2"/>
            <w:shd w:val="clear" w:color="auto" w:fill="auto"/>
            <w:rPr>
              <w:rFonts w:asciiTheme="minorHAnsi" w:eastAsiaTheme="minorEastAsia" w:hAnsiTheme="minorHAnsi" w:cstheme="minorBidi"/>
              <w:noProof/>
              <w:sz w:val="24"/>
            </w:rPr>
          </w:pPr>
          <w:hyperlink w:anchor="_Toc88914968" w:history="1">
            <w:r w:rsidR="006E5C73" w:rsidRPr="00367D04">
              <w:rPr>
                <w:rStyle w:val="Hipervnculo"/>
                <w:noProof/>
              </w:rPr>
              <w:t>Derecho a la integridad personal y vinculación con otros derechos: vida y libertad personal</w:t>
            </w:r>
            <w:r w:rsidR="006E5C73">
              <w:rPr>
                <w:noProof/>
                <w:webHidden/>
              </w:rPr>
              <w:tab/>
            </w:r>
            <w:r w:rsidR="006E5C73">
              <w:rPr>
                <w:noProof/>
                <w:webHidden/>
              </w:rPr>
              <w:fldChar w:fldCharType="begin"/>
            </w:r>
            <w:r w:rsidR="006E5C73">
              <w:rPr>
                <w:noProof/>
                <w:webHidden/>
              </w:rPr>
              <w:instrText xml:space="preserve"> PAGEREF _Toc88914968 \h </w:instrText>
            </w:r>
            <w:r w:rsidR="006E5C73">
              <w:rPr>
                <w:noProof/>
                <w:webHidden/>
              </w:rPr>
            </w:r>
            <w:r w:rsidR="006E5C73">
              <w:rPr>
                <w:noProof/>
                <w:webHidden/>
              </w:rPr>
              <w:fldChar w:fldCharType="separate"/>
            </w:r>
            <w:r w:rsidR="00FF6E32">
              <w:rPr>
                <w:noProof/>
                <w:webHidden/>
              </w:rPr>
              <w:t>16</w:t>
            </w:r>
            <w:r w:rsidR="006E5C73">
              <w:rPr>
                <w:noProof/>
                <w:webHidden/>
              </w:rPr>
              <w:fldChar w:fldCharType="end"/>
            </w:r>
          </w:hyperlink>
        </w:p>
        <w:p w14:paraId="672CDD16" w14:textId="2EAB0784" w:rsidR="006E5C73" w:rsidRDefault="00BF4179" w:rsidP="006E5C73">
          <w:pPr>
            <w:pStyle w:val="TDC3"/>
            <w:tabs>
              <w:tab w:val="right" w:leader="dot" w:pos="8488"/>
            </w:tabs>
            <w:rPr>
              <w:rFonts w:asciiTheme="minorHAnsi" w:eastAsiaTheme="minorEastAsia" w:hAnsiTheme="minorHAnsi" w:cstheme="minorBidi"/>
              <w:noProof/>
              <w:sz w:val="24"/>
            </w:rPr>
          </w:pPr>
          <w:hyperlink w:anchor="_Toc88914969" w:history="1">
            <w:r w:rsidR="006E5C73" w:rsidRPr="00367D04">
              <w:rPr>
                <w:rStyle w:val="Hipervnculo"/>
                <w:noProof/>
                <w:lang w:val="es-CR"/>
              </w:rPr>
              <w:t>A) Privación ilegal de libertad e integridad personal</w:t>
            </w:r>
            <w:r w:rsidR="006E5C73">
              <w:rPr>
                <w:noProof/>
                <w:webHidden/>
              </w:rPr>
              <w:tab/>
            </w:r>
            <w:r w:rsidR="006E5C73">
              <w:rPr>
                <w:noProof/>
                <w:webHidden/>
              </w:rPr>
              <w:fldChar w:fldCharType="begin"/>
            </w:r>
            <w:r w:rsidR="006E5C73">
              <w:rPr>
                <w:noProof/>
                <w:webHidden/>
              </w:rPr>
              <w:instrText xml:space="preserve"> PAGEREF _Toc88914969 \h </w:instrText>
            </w:r>
            <w:r w:rsidR="006E5C73">
              <w:rPr>
                <w:noProof/>
                <w:webHidden/>
              </w:rPr>
            </w:r>
            <w:r w:rsidR="006E5C73">
              <w:rPr>
                <w:noProof/>
                <w:webHidden/>
              </w:rPr>
              <w:fldChar w:fldCharType="separate"/>
            </w:r>
            <w:r w:rsidR="00FF6E32">
              <w:rPr>
                <w:noProof/>
                <w:webHidden/>
              </w:rPr>
              <w:t>16</w:t>
            </w:r>
            <w:r w:rsidR="006E5C73">
              <w:rPr>
                <w:noProof/>
                <w:webHidden/>
              </w:rPr>
              <w:fldChar w:fldCharType="end"/>
            </w:r>
          </w:hyperlink>
        </w:p>
        <w:p w14:paraId="3F2A88AF" w14:textId="1D64FEE3" w:rsidR="006E5C73" w:rsidRDefault="00BF4179" w:rsidP="006E5C73">
          <w:pPr>
            <w:pStyle w:val="TDC3"/>
            <w:tabs>
              <w:tab w:val="right" w:leader="dot" w:pos="8488"/>
            </w:tabs>
            <w:rPr>
              <w:rFonts w:asciiTheme="minorHAnsi" w:eastAsiaTheme="minorEastAsia" w:hAnsiTheme="minorHAnsi" w:cstheme="minorBidi"/>
              <w:noProof/>
              <w:sz w:val="24"/>
            </w:rPr>
          </w:pPr>
          <w:hyperlink w:anchor="_Toc88914970" w:history="1">
            <w:r w:rsidR="006E5C73" w:rsidRPr="00367D04">
              <w:rPr>
                <w:rStyle w:val="Hipervnculo"/>
                <w:noProof/>
                <w:lang w:val="es-CR"/>
              </w:rPr>
              <w:t>B) Desaparición forzada de personas e integridad personal</w:t>
            </w:r>
            <w:r w:rsidR="006E5C73">
              <w:rPr>
                <w:noProof/>
                <w:webHidden/>
              </w:rPr>
              <w:tab/>
            </w:r>
            <w:r w:rsidR="006E5C73">
              <w:rPr>
                <w:noProof/>
                <w:webHidden/>
              </w:rPr>
              <w:fldChar w:fldCharType="begin"/>
            </w:r>
            <w:r w:rsidR="006E5C73">
              <w:rPr>
                <w:noProof/>
                <w:webHidden/>
              </w:rPr>
              <w:instrText xml:space="preserve"> PAGEREF _Toc88914970 \h </w:instrText>
            </w:r>
            <w:r w:rsidR="006E5C73">
              <w:rPr>
                <w:noProof/>
                <w:webHidden/>
              </w:rPr>
            </w:r>
            <w:r w:rsidR="006E5C73">
              <w:rPr>
                <w:noProof/>
                <w:webHidden/>
              </w:rPr>
              <w:fldChar w:fldCharType="separate"/>
            </w:r>
            <w:r w:rsidR="00FF6E32">
              <w:rPr>
                <w:noProof/>
                <w:webHidden/>
              </w:rPr>
              <w:t>16</w:t>
            </w:r>
            <w:r w:rsidR="006E5C73">
              <w:rPr>
                <w:noProof/>
                <w:webHidden/>
              </w:rPr>
              <w:fldChar w:fldCharType="end"/>
            </w:r>
          </w:hyperlink>
        </w:p>
        <w:p w14:paraId="5DCA666F" w14:textId="3CE4A683" w:rsidR="006E5C73" w:rsidRDefault="00BF4179" w:rsidP="006E5C73">
          <w:pPr>
            <w:pStyle w:val="TDC1"/>
            <w:shd w:val="clear" w:color="auto" w:fill="auto"/>
            <w:rPr>
              <w:rFonts w:asciiTheme="minorHAnsi" w:eastAsiaTheme="minorEastAsia" w:hAnsiTheme="minorHAnsi" w:cstheme="minorBidi"/>
              <w:noProof/>
              <w:sz w:val="24"/>
            </w:rPr>
          </w:pPr>
          <w:hyperlink w:anchor="_Toc88914971" w:history="1">
            <w:r w:rsidR="006E5C73" w:rsidRPr="00367D04">
              <w:rPr>
                <w:rStyle w:val="Hipervnculo"/>
                <w:noProof/>
              </w:rPr>
              <w:t>2. La prohibición de tortura y otros tratos crueles inhumanos o degradantes</w:t>
            </w:r>
            <w:r w:rsidR="006E5C73">
              <w:rPr>
                <w:noProof/>
                <w:webHidden/>
              </w:rPr>
              <w:tab/>
            </w:r>
            <w:r w:rsidR="006E5C73">
              <w:rPr>
                <w:noProof/>
                <w:webHidden/>
              </w:rPr>
              <w:fldChar w:fldCharType="begin"/>
            </w:r>
            <w:r w:rsidR="006E5C73">
              <w:rPr>
                <w:noProof/>
                <w:webHidden/>
              </w:rPr>
              <w:instrText xml:space="preserve"> PAGEREF _Toc88914971 \h </w:instrText>
            </w:r>
            <w:r w:rsidR="006E5C73">
              <w:rPr>
                <w:noProof/>
                <w:webHidden/>
              </w:rPr>
            </w:r>
            <w:r w:rsidR="006E5C73">
              <w:rPr>
                <w:noProof/>
                <w:webHidden/>
              </w:rPr>
              <w:fldChar w:fldCharType="separate"/>
            </w:r>
            <w:r w:rsidR="00FF6E32">
              <w:rPr>
                <w:noProof/>
                <w:webHidden/>
              </w:rPr>
              <w:t>17</w:t>
            </w:r>
            <w:r w:rsidR="006E5C73">
              <w:rPr>
                <w:noProof/>
                <w:webHidden/>
              </w:rPr>
              <w:fldChar w:fldCharType="end"/>
            </w:r>
          </w:hyperlink>
        </w:p>
        <w:p w14:paraId="38C88764" w14:textId="1E35313A" w:rsidR="006E5C73" w:rsidRDefault="00BF4179" w:rsidP="006E5C73">
          <w:pPr>
            <w:pStyle w:val="TDC2"/>
            <w:shd w:val="clear" w:color="auto" w:fill="auto"/>
            <w:rPr>
              <w:rFonts w:asciiTheme="minorHAnsi" w:eastAsiaTheme="minorEastAsia" w:hAnsiTheme="minorHAnsi" w:cstheme="minorBidi"/>
              <w:noProof/>
              <w:sz w:val="24"/>
            </w:rPr>
          </w:pPr>
          <w:hyperlink w:anchor="_Toc88914972" w:history="1">
            <w:r w:rsidR="006E5C73" w:rsidRPr="00367D04">
              <w:rPr>
                <w:rStyle w:val="Hipervnculo"/>
                <w:noProof/>
              </w:rPr>
              <w:t xml:space="preserve">La prohibición de tortura como norma de </w:t>
            </w:r>
            <w:r w:rsidR="006E5C73" w:rsidRPr="00367D04">
              <w:rPr>
                <w:rStyle w:val="Hipervnculo"/>
                <w:i/>
                <w:noProof/>
              </w:rPr>
              <w:t>ius cogens</w:t>
            </w:r>
            <w:r w:rsidR="006E5C73" w:rsidRPr="00367D04">
              <w:rPr>
                <w:rStyle w:val="Hipervnculo"/>
                <w:noProof/>
              </w:rPr>
              <w:t xml:space="preserve"> e inderogabilidad</w:t>
            </w:r>
            <w:r w:rsidR="006E5C73">
              <w:rPr>
                <w:noProof/>
                <w:webHidden/>
              </w:rPr>
              <w:tab/>
            </w:r>
            <w:r w:rsidR="006E5C73">
              <w:rPr>
                <w:noProof/>
                <w:webHidden/>
              </w:rPr>
              <w:fldChar w:fldCharType="begin"/>
            </w:r>
            <w:r w:rsidR="006E5C73">
              <w:rPr>
                <w:noProof/>
                <w:webHidden/>
              </w:rPr>
              <w:instrText xml:space="preserve"> PAGEREF _Toc88914972 \h </w:instrText>
            </w:r>
            <w:r w:rsidR="006E5C73">
              <w:rPr>
                <w:noProof/>
                <w:webHidden/>
              </w:rPr>
            </w:r>
            <w:r w:rsidR="006E5C73">
              <w:rPr>
                <w:noProof/>
                <w:webHidden/>
              </w:rPr>
              <w:fldChar w:fldCharType="separate"/>
            </w:r>
            <w:r w:rsidR="00FF6E32">
              <w:rPr>
                <w:noProof/>
                <w:webHidden/>
              </w:rPr>
              <w:t>17</w:t>
            </w:r>
            <w:r w:rsidR="006E5C73">
              <w:rPr>
                <w:noProof/>
                <w:webHidden/>
              </w:rPr>
              <w:fldChar w:fldCharType="end"/>
            </w:r>
          </w:hyperlink>
        </w:p>
        <w:p w14:paraId="7FFEE3B6" w14:textId="1372DDD6" w:rsidR="006E5C73" w:rsidRDefault="00BF4179" w:rsidP="006E5C73">
          <w:pPr>
            <w:pStyle w:val="TDC2"/>
            <w:shd w:val="clear" w:color="auto" w:fill="auto"/>
            <w:rPr>
              <w:rFonts w:asciiTheme="minorHAnsi" w:eastAsiaTheme="minorEastAsia" w:hAnsiTheme="minorHAnsi" w:cstheme="minorBidi"/>
              <w:noProof/>
              <w:sz w:val="24"/>
            </w:rPr>
          </w:pPr>
          <w:hyperlink w:anchor="_Toc88914973" w:history="1">
            <w:r w:rsidR="006E5C73" w:rsidRPr="00367D04">
              <w:rPr>
                <w:rStyle w:val="Hipervnculo"/>
                <w:noProof/>
              </w:rPr>
              <w:t>Prohibición de tortura y penas corporales</w:t>
            </w:r>
            <w:r w:rsidR="006E5C73">
              <w:rPr>
                <w:noProof/>
                <w:webHidden/>
              </w:rPr>
              <w:tab/>
            </w:r>
            <w:r w:rsidR="006E5C73">
              <w:rPr>
                <w:noProof/>
                <w:webHidden/>
              </w:rPr>
              <w:fldChar w:fldCharType="begin"/>
            </w:r>
            <w:r w:rsidR="006E5C73">
              <w:rPr>
                <w:noProof/>
                <w:webHidden/>
              </w:rPr>
              <w:instrText xml:space="preserve"> PAGEREF _Toc88914973 \h </w:instrText>
            </w:r>
            <w:r w:rsidR="006E5C73">
              <w:rPr>
                <w:noProof/>
                <w:webHidden/>
              </w:rPr>
            </w:r>
            <w:r w:rsidR="006E5C73">
              <w:rPr>
                <w:noProof/>
                <w:webHidden/>
              </w:rPr>
              <w:fldChar w:fldCharType="separate"/>
            </w:r>
            <w:r w:rsidR="00FF6E32">
              <w:rPr>
                <w:noProof/>
                <w:webHidden/>
              </w:rPr>
              <w:t>21</w:t>
            </w:r>
            <w:r w:rsidR="006E5C73">
              <w:rPr>
                <w:noProof/>
                <w:webHidden/>
              </w:rPr>
              <w:fldChar w:fldCharType="end"/>
            </w:r>
          </w:hyperlink>
        </w:p>
        <w:p w14:paraId="7072BBE5" w14:textId="6C64CED4" w:rsidR="006E5C73" w:rsidRDefault="00BF4179" w:rsidP="006E5C73">
          <w:pPr>
            <w:pStyle w:val="TDC1"/>
            <w:shd w:val="clear" w:color="auto" w:fill="auto"/>
            <w:rPr>
              <w:rFonts w:asciiTheme="minorHAnsi" w:eastAsiaTheme="minorEastAsia" w:hAnsiTheme="minorHAnsi" w:cstheme="minorBidi"/>
              <w:noProof/>
              <w:sz w:val="24"/>
            </w:rPr>
          </w:pPr>
          <w:hyperlink w:anchor="_Toc88914974" w:history="1">
            <w:r w:rsidR="006E5C73" w:rsidRPr="00367D04">
              <w:rPr>
                <w:rStyle w:val="Hipervnculo"/>
                <w:noProof/>
              </w:rPr>
              <w:t>3. Definición y elementos de la tortura</w:t>
            </w:r>
            <w:r w:rsidR="006E5C73">
              <w:rPr>
                <w:noProof/>
                <w:webHidden/>
              </w:rPr>
              <w:tab/>
            </w:r>
            <w:r w:rsidR="006E5C73">
              <w:rPr>
                <w:noProof/>
                <w:webHidden/>
              </w:rPr>
              <w:fldChar w:fldCharType="begin"/>
            </w:r>
            <w:r w:rsidR="006E5C73">
              <w:rPr>
                <w:noProof/>
                <w:webHidden/>
              </w:rPr>
              <w:instrText xml:space="preserve"> PAGEREF _Toc88914974 \h </w:instrText>
            </w:r>
            <w:r w:rsidR="006E5C73">
              <w:rPr>
                <w:noProof/>
                <w:webHidden/>
              </w:rPr>
            </w:r>
            <w:r w:rsidR="006E5C73">
              <w:rPr>
                <w:noProof/>
                <w:webHidden/>
              </w:rPr>
              <w:fldChar w:fldCharType="separate"/>
            </w:r>
            <w:r w:rsidR="00FF6E32">
              <w:rPr>
                <w:noProof/>
                <w:webHidden/>
              </w:rPr>
              <w:t>24</w:t>
            </w:r>
            <w:r w:rsidR="006E5C73">
              <w:rPr>
                <w:noProof/>
                <w:webHidden/>
              </w:rPr>
              <w:fldChar w:fldCharType="end"/>
            </w:r>
          </w:hyperlink>
        </w:p>
        <w:p w14:paraId="7C9F26EA" w14:textId="43767EA6" w:rsidR="006E5C73" w:rsidRDefault="00BF4179" w:rsidP="006E5C73">
          <w:pPr>
            <w:pStyle w:val="TDC2"/>
            <w:shd w:val="clear" w:color="auto" w:fill="auto"/>
            <w:rPr>
              <w:rFonts w:asciiTheme="minorHAnsi" w:eastAsiaTheme="minorEastAsia" w:hAnsiTheme="minorHAnsi" w:cstheme="minorBidi"/>
              <w:noProof/>
              <w:sz w:val="24"/>
            </w:rPr>
          </w:pPr>
          <w:hyperlink w:anchor="_Toc88914975" w:history="1">
            <w:r w:rsidR="006E5C73" w:rsidRPr="00367D04">
              <w:rPr>
                <w:rStyle w:val="Hipervnculo"/>
                <w:noProof/>
              </w:rPr>
              <w:t>Elementos de la tortura</w:t>
            </w:r>
            <w:r w:rsidR="006E5C73">
              <w:rPr>
                <w:noProof/>
                <w:webHidden/>
              </w:rPr>
              <w:tab/>
            </w:r>
            <w:r w:rsidR="006E5C73">
              <w:rPr>
                <w:noProof/>
                <w:webHidden/>
              </w:rPr>
              <w:fldChar w:fldCharType="begin"/>
            </w:r>
            <w:r w:rsidR="006E5C73">
              <w:rPr>
                <w:noProof/>
                <w:webHidden/>
              </w:rPr>
              <w:instrText xml:space="preserve"> PAGEREF _Toc88914975 \h </w:instrText>
            </w:r>
            <w:r w:rsidR="006E5C73">
              <w:rPr>
                <w:noProof/>
                <w:webHidden/>
              </w:rPr>
            </w:r>
            <w:r w:rsidR="006E5C73">
              <w:rPr>
                <w:noProof/>
                <w:webHidden/>
              </w:rPr>
              <w:fldChar w:fldCharType="separate"/>
            </w:r>
            <w:r w:rsidR="00FF6E32">
              <w:rPr>
                <w:noProof/>
                <w:webHidden/>
              </w:rPr>
              <w:t>24</w:t>
            </w:r>
            <w:r w:rsidR="006E5C73">
              <w:rPr>
                <w:noProof/>
                <w:webHidden/>
              </w:rPr>
              <w:fldChar w:fldCharType="end"/>
            </w:r>
          </w:hyperlink>
        </w:p>
        <w:p w14:paraId="00A4E06A" w14:textId="5B427C18" w:rsidR="006E5C73" w:rsidRDefault="00BF4179" w:rsidP="006E5C73">
          <w:pPr>
            <w:pStyle w:val="TDC2"/>
            <w:shd w:val="clear" w:color="auto" w:fill="auto"/>
            <w:rPr>
              <w:rFonts w:asciiTheme="minorHAnsi" w:eastAsiaTheme="minorEastAsia" w:hAnsiTheme="minorHAnsi" w:cstheme="minorBidi"/>
              <w:noProof/>
              <w:sz w:val="24"/>
            </w:rPr>
          </w:pPr>
          <w:hyperlink w:anchor="_Toc88914976" w:history="1">
            <w:r w:rsidR="006E5C73" w:rsidRPr="00367D04">
              <w:rPr>
                <w:rStyle w:val="Hipervnculo"/>
                <w:noProof/>
              </w:rPr>
              <w:t>Tortura psicológica</w:t>
            </w:r>
            <w:r w:rsidR="006E5C73">
              <w:rPr>
                <w:noProof/>
                <w:webHidden/>
              </w:rPr>
              <w:tab/>
            </w:r>
            <w:r w:rsidR="006E5C73">
              <w:rPr>
                <w:noProof/>
                <w:webHidden/>
              </w:rPr>
              <w:fldChar w:fldCharType="begin"/>
            </w:r>
            <w:r w:rsidR="006E5C73">
              <w:rPr>
                <w:noProof/>
                <w:webHidden/>
              </w:rPr>
              <w:instrText xml:space="preserve"> PAGEREF _Toc88914976 \h </w:instrText>
            </w:r>
            <w:r w:rsidR="006E5C73">
              <w:rPr>
                <w:noProof/>
                <w:webHidden/>
              </w:rPr>
            </w:r>
            <w:r w:rsidR="006E5C73">
              <w:rPr>
                <w:noProof/>
                <w:webHidden/>
              </w:rPr>
              <w:fldChar w:fldCharType="separate"/>
            </w:r>
            <w:r w:rsidR="00FF6E32">
              <w:rPr>
                <w:noProof/>
                <w:webHidden/>
              </w:rPr>
              <w:t>32</w:t>
            </w:r>
            <w:r w:rsidR="006E5C73">
              <w:rPr>
                <w:noProof/>
                <w:webHidden/>
              </w:rPr>
              <w:fldChar w:fldCharType="end"/>
            </w:r>
          </w:hyperlink>
        </w:p>
        <w:p w14:paraId="5041EA4B" w14:textId="3D7F2EF9" w:rsidR="006E5C73" w:rsidRDefault="00BF4179" w:rsidP="006E5C73">
          <w:pPr>
            <w:pStyle w:val="TDC2"/>
            <w:shd w:val="clear" w:color="auto" w:fill="auto"/>
            <w:rPr>
              <w:rFonts w:asciiTheme="minorHAnsi" w:eastAsiaTheme="minorEastAsia" w:hAnsiTheme="minorHAnsi" w:cstheme="minorBidi"/>
              <w:noProof/>
              <w:sz w:val="24"/>
            </w:rPr>
          </w:pPr>
          <w:hyperlink w:anchor="_Toc88914977" w:history="1">
            <w:r w:rsidR="006E5C73" w:rsidRPr="00367D04">
              <w:rPr>
                <w:rStyle w:val="Hipervnculo"/>
                <w:noProof/>
              </w:rPr>
              <w:t>Violencia sexual como tortura</w:t>
            </w:r>
            <w:r w:rsidR="006E5C73">
              <w:rPr>
                <w:noProof/>
                <w:webHidden/>
              </w:rPr>
              <w:tab/>
            </w:r>
            <w:r w:rsidR="006E5C73">
              <w:rPr>
                <w:noProof/>
                <w:webHidden/>
              </w:rPr>
              <w:fldChar w:fldCharType="begin"/>
            </w:r>
            <w:r w:rsidR="006E5C73">
              <w:rPr>
                <w:noProof/>
                <w:webHidden/>
              </w:rPr>
              <w:instrText xml:space="preserve"> PAGEREF _Toc88914977 \h </w:instrText>
            </w:r>
            <w:r w:rsidR="006E5C73">
              <w:rPr>
                <w:noProof/>
                <w:webHidden/>
              </w:rPr>
            </w:r>
            <w:r w:rsidR="006E5C73">
              <w:rPr>
                <w:noProof/>
                <w:webHidden/>
              </w:rPr>
              <w:fldChar w:fldCharType="separate"/>
            </w:r>
            <w:r w:rsidR="00FF6E32">
              <w:rPr>
                <w:noProof/>
                <w:webHidden/>
              </w:rPr>
              <w:t>35</w:t>
            </w:r>
            <w:r w:rsidR="006E5C73">
              <w:rPr>
                <w:noProof/>
                <w:webHidden/>
              </w:rPr>
              <w:fldChar w:fldCharType="end"/>
            </w:r>
          </w:hyperlink>
        </w:p>
        <w:p w14:paraId="0BC62A66" w14:textId="7AD68B8E" w:rsidR="006E5C73" w:rsidRDefault="00BF4179" w:rsidP="006E5C73">
          <w:pPr>
            <w:pStyle w:val="TDC2"/>
            <w:shd w:val="clear" w:color="auto" w:fill="auto"/>
            <w:rPr>
              <w:rFonts w:asciiTheme="minorHAnsi" w:eastAsiaTheme="minorEastAsia" w:hAnsiTheme="minorHAnsi" w:cstheme="minorBidi"/>
              <w:noProof/>
              <w:sz w:val="24"/>
            </w:rPr>
          </w:pPr>
          <w:hyperlink w:anchor="_Toc88914978" w:history="1">
            <w:r w:rsidR="006E5C73" w:rsidRPr="00367D04">
              <w:rPr>
                <w:rStyle w:val="Hipervnculo"/>
                <w:noProof/>
              </w:rPr>
              <w:t>Esclavitud sexual</w:t>
            </w:r>
            <w:r w:rsidR="006E5C73">
              <w:rPr>
                <w:noProof/>
                <w:webHidden/>
              </w:rPr>
              <w:tab/>
            </w:r>
            <w:r w:rsidR="006E5C73">
              <w:rPr>
                <w:noProof/>
                <w:webHidden/>
              </w:rPr>
              <w:fldChar w:fldCharType="begin"/>
            </w:r>
            <w:r w:rsidR="006E5C73">
              <w:rPr>
                <w:noProof/>
                <w:webHidden/>
              </w:rPr>
              <w:instrText xml:space="preserve"> PAGEREF _Toc88914978 \h </w:instrText>
            </w:r>
            <w:r w:rsidR="006E5C73">
              <w:rPr>
                <w:noProof/>
                <w:webHidden/>
              </w:rPr>
            </w:r>
            <w:r w:rsidR="006E5C73">
              <w:rPr>
                <w:noProof/>
                <w:webHidden/>
              </w:rPr>
              <w:fldChar w:fldCharType="separate"/>
            </w:r>
            <w:r w:rsidR="00FF6E32">
              <w:rPr>
                <w:noProof/>
                <w:webHidden/>
              </w:rPr>
              <w:t>43</w:t>
            </w:r>
            <w:r w:rsidR="006E5C73">
              <w:rPr>
                <w:noProof/>
                <w:webHidden/>
              </w:rPr>
              <w:fldChar w:fldCharType="end"/>
            </w:r>
          </w:hyperlink>
        </w:p>
        <w:p w14:paraId="4C554041" w14:textId="5F570526" w:rsidR="006E5C73" w:rsidRDefault="00BF4179" w:rsidP="006E5C73">
          <w:pPr>
            <w:pStyle w:val="TDC2"/>
            <w:shd w:val="clear" w:color="auto" w:fill="auto"/>
            <w:rPr>
              <w:rFonts w:asciiTheme="minorHAnsi" w:eastAsiaTheme="minorEastAsia" w:hAnsiTheme="minorHAnsi" w:cstheme="minorBidi"/>
              <w:noProof/>
              <w:sz w:val="24"/>
            </w:rPr>
          </w:pPr>
          <w:hyperlink w:anchor="_Toc88914979" w:history="1">
            <w:r w:rsidR="006E5C73" w:rsidRPr="00367D04">
              <w:rPr>
                <w:rStyle w:val="Hipervnculo"/>
                <w:noProof/>
              </w:rPr>
              <w:t>Prueba</w:t>
            </w:r>
            <w:r w:rsidR="006E5C73">
              <w:rPr>
                <w:noProof/>
                <w:webHidden/>
              </w:rPr>
              <w:tab/>
            </w:r>
            <w:r w:rsidR="006E5C73">
              <w:rPr>
                <w:noProof/>
                <w:webHidden/>
              </w:rPr>
              <w:fldChar w:fldCharType="begin"/>
            </w:r>
            <w:r w:rsidR="006E5C73">
              <w:rPr>
                <w:noProof/>
                <w:webHidden/>
              </w:rPr>
              <w:instrText xml:space="preserve"> PAGEREF _Toc88914979 \h </w:instrText>
            </w:r>
            <w:r w:rsidR="006E5C73">
              <w:rPr>
                <w:noProof/>
                <w:webHidden/>
              </w:rPr>
            </w:r>
            <w:r w:rsidR="006E5C73">
              <w:rPr>
                <w:noProof/>
                <w:webHidden/>
              </w:rPr>
              <w:fldChar w:fldCharType="separate"/>
            </w:r>
            <w:r w:rsidR="00FF6E32">
              <w:rPr>
                <w:noProof/>
                <w:webHidden/>
              </w:rPr>
              <w:t>46</w:t>
            </w:r>
            <w:r w:rsidR="006E5C73">
              <w:rPr>
                <w:noProof/>
                <w:webHidden/>
              </w:rPr>
              <w:fldChar w:fldCharType="end"/>
            </w:r>
          </w:hyperlink>
        </w:p>
        <w:p w14:paraId="7D8ED61A" w14:textId="0D5B7F77" w:rsidR="006E5C73" w:rsidRDefault="00BF4179" w:rsidP="006E5C73">
          <w:pPr>
            <w:pStyle w:val="TDC1"/>
            <w:shd w:val="clear" w:color="auto" w:fill="auto"/>
            <w:rPr>
              <w:rFonts w:asciiTheme="minorHAnsi" w:eastAsiaTheme="minorEastAsia" w:hAnsiTheme="minorHAnsi" w:cstheme="minorBidi"/>
              <w:noProof/>
              <w:sz w:val="24"/>
            </w:rPr>
          </w:pPr>
          <w:hyperlink w:anchor="_Toc88914980" w:history="1">
            <w:r w:rsidR="006E5C73" w:rsidRPr="00367D04">
              <w:rPr>
                <w:rStyle w:val="Hipervnculo"/>
                <w:noProof/>
              </w:rPr>
              <w:t>4. Otras formas de afectación de la integridad personal</w:t>
            </w:r>
            <w:r w:rsidR="006E5C73">
              <w:rPr>
                <w:noProof/>
                <w:webHidden/>
              </w:rPr>
              <w:tab/>
            </w:r>
            <w:r w:rsidR="006E5C73">
              <w:rPr>
                <w:noProof/>
                <w:webHidden/>
              </w:rPr>
              <w:fldChar w:fldCharType="begin"/>
            </w:r>
            <w:r w:rsidR="006E5C73">
              <w:rPr>
                <w:noProof/>
                <w:webHidden/>
              </w:rPr>
              <w:instrText xml:space="preserve"> PAGEREF _Toc88914980 \h </w:instrText>
            </w:r>
            <w:r w:rsidR="006E5C73">
              <w:rPr>
                <w:noProof/>
                <w:webHidden/>
              </w:rPr>
            </w:r>
            <w:r w:rsidR="006E5C73">
              <w:rPr>
                <w:noProof/>
                <w:webHidden/>
              </w:rPr>
              <w:fldChar w:fldCharType="separate"/>
            </w:r>
            <w:r w:rsidR="00FF6E32">
              <w:rPr>
                <w:noProof/>
                <w:webHidden/>
              </w:rPr>
              <w:t>50</w:t>
            </w:r>
            <w:r w:rsidR="006E5C73">
              <w:rPr>
                <w:noProof/>
                <w:webHidden/>
              </w:rPr>
              <w:fldChar w:fldCharType="end"/>
            </w:r>
          </w:hyperlink>
        </w:p>
        <w:p w14:paraId="6BB89123" w14:textId="421C0E19" w:rsidR="006E5C73" w:rsidRDefault="00BF4179" w:rsidP="006E5C73">
          <w:pPr>
            <w:pStyle w:val="TDC2"/>
            <w:shd w:val="clear" w:color="auto" w:fill="auto"/>
            <w:rPr>
              <w:rFonts w:asciiTheme="minorHAnsi" w:eastAsiaTheme="minorEastAsia" w:hAnsiTheme="minorHAnsi" w:cstheme="minorBidi"/>
              <w:noProof/>
              <w:sz w:val="24"/>
            </w:rPr>
          </w:pPr>
          <w:hyperlink w:anchor="_Toc88914981" w:history="1">
            <w:r w:rsidR="006E5C73" w:rsidRPr="00367D04">
              <w:rPr>
                <w:rStyle w:val="Hipervnculo"/>
                <w:noProof/>
              </w:rPr>
              <w:t>Factores que determinan la afectación</w:t>
            </w:r>
            <w:r w:rsidR="006E5C73">
              <w:rPr>
                <w:noProof/>
                <w:webHidden/>
              </w:rPr>
              <w:tab/>
            </w:r>
            <w:r w:rsidR="006E5C73">
              <w:rPr>
                <w:noProof/>
                <w:webHidden/>
              </w:rPr>
              <w:fldChar w:fldCharType="begin"/>
            </w:r>
            <w:r w:rsidR="006E5C73">
              <w:rPr>
                <w:noProof/>
                <w:webHidden/>
              </w:rPr>
              <w:instrText xml:space="preserve"> PAGEREF _Toc88914981 \h </w:instrText>
            </w:r>
            <w:r w:rsidR="006E5C73">
              <w:rPr>
                <w:noProof/>
                <w:webHidden/>
              </w:rPr>
            </w:r>
            <w:r w:rsidR="006E5C73">
              <w:rPr>
                <w:noProof/>
                <w:webHidden/>
              </w:rPr>
              <w:fldChar w:fldCharType="separate"/>
            </w:r>
            <w:r w:rsidR="00FF6E32">
              <w:rPr>
                <w:noProof/>
                <w:webHidden/>
              </w:rPr>
              <w:t>50</w:t>
            </w:r>
            <w:r w:rsidR="006E5C73">
              <w:rPr>
                <w:noProof/>
                <w:webHidden/>
              </w:rPr>
              <w:fldChar w:fldCharType="end"/>
            </w:r>
          </w:hyperlink>
        </w:p>
        <w:p w14:paraId="22A4E8EC" w14:textId="36554EAD" w:rsidR="006E5C73" w:rsidRDefault="00BF4179" w:rsidP="006E5C73">
          <w:pPr>
            <w:pStyle w:val="TDC2"/>
            <w:shd w:val="clear" w:color="auto" w:fill="auto"/>
            <w:rPr>
              <w:rFonts w:asciiTheme="minorHAnsi" w:eastAsiaTheme="minorEastAsia" w:hAnsiTheme="minorHAnsi" w:cstheme="minorBidi"/>
              <w:noProof/>
              <w:sz w:val="24"/>
            </w:rPr>
          </w:pPr>
          <w:hyperlink w:anchor="_Toc88914982" w:history="1">
            <w:r w:rsidR="006E5C73" w:rsidRPr="00367D04">
              <w:rPr>
                <w:rStyle w:val="Hipervnculo"/>
                <w:noProof/>
              </w:rPr>
              <w:t>Afectaciones graves del derecho a la integridad personal</w:t>
            </w:r>
            <w:r w:rsidR="006E5C73">
              <w:rPr>
                <w:noProof/>
                <w:webHidden/>
              </w:rPr>
              <w:tab/>
            </w:r>
            <w:r w:rsidR="006E5C73">
              <w:rPr>
                <w:noProof/>
                <w:webHidden/>
              </w:rPr>
              <w:fldChar w:fldCharType="begin"/>
            </w:r>
            <w:r w:rsidR="006E5C73">
              <w:rPr>
                <w:noProof/>
                <w:webHidden/>
              </w:rPr>
              <w:instrText xml:space="preserve"> PAGEREF _Toc88914982 \h </w:instrText>
            </w:r>
            <w:r w:rsidR="006E5C73">
              <w:rPr>
                <w:noProof/>
                <w:webHidden/>
              </w:rPr>
            </w:r>
            <w:r w:rsidR="006E5C73">
              <w:rPr>
                <w:noProof/>
                <w:webHidden/>
              </w:rPr>
              <w:fldChar w:fldCharType="separate"/>
            </w:r>
            <w:r w:rsidR="00FF6E32">
              <w:rPr>
                <w:noProof/>
                <w:webHidden/>
              </w:rPr>
              <w:t>50</w:t>
            </w:r>
            <w:r w:rsidR="006E5C73">
              <w:rPr>
                <w:noProof/>
                <w:webHidden/>
              </w:rPr>
              <w:fldChar w:fldCharType="end"/>
            </w:r>
          </w:hyperlink>
        </w:p>
        <w:p w14:paraId="2B886D4B" w14:textId="2CBC706A" w:rsidR="006E5C73" w:rsidRDefault="00BF4179" w:rsidP="006E5C73">
          <w:pPr>
            <w:pStyle w:val="TDC2"/>
            <w:shd w:val="clear" w:color="auto" w:fill="auto"/>
            <w:rPr>
              <w:rFonts w:asciiTheme="minorHAnsi" w:eastAsiaTheme="minorEastAsia" w:hAnsiTheme="minorHAnsi" w:cstheme="minorBidi"/>
              <w:noProof/>
              <w:sz w:val="24"/>
            </w:rPr>
          </w:pPr>
          <w:hyperlink w:anchor="_Toc88914983" w:history="1">
            <w:r w:rsidR="006E5C73" w:rsidRPr="00367D04">
              <w:rPr>
                <w:rStyle w:val="Hipervnculo"/>
                <w:rFonts w:eastAsia="Calibri"/>
                <w:noProof/>
              </w:rPr>
              <w:t>Aislamiento e incomunicación como trato cruel e inhumano</w:t>
            </w:r>
            <w:r w:rsidR="006E5C73">
              <w:rPr>
                <w:noProof/>
                <w:webHidden/>
              </w:rPr>
              <w:tab/>
            </w:r>
            <w:r w:rsidR="006E5C73">
              <w:rPr>
                <w:noProof/>
                <w:webHidden/>
              </w:rPr>
              <w:fldChar w:fldCharType="begin"/>
            </w:r>
            <w:r w:rsidR="006E5C73">
              <w:rPr>
                <w:noProof/>
                <w:webHidden/>
              </w:rPr>
              <w:instrText xml:space="preserve"> PAGEREF _Toc88914983 \h </w:instrText>
            </w:r>
            <w:r w:rsidR="006E5C73">
              <w:rPr>
                <w:noProof/>
                <w:webHidden/>
              </w:rPr>
            </w:r>
            <w:r w:rsidR="006E5C73">
              <w:rPr>
                <w:noProof/>
                <w:webHidden/>
              </w:rPr>
              <w:fldChar w:fldCharType="separate"/>
            </w:r>
            <w:r w:rsidR="00FF6E32">
              <w:rPr>
                <w:noProof/>
                <w:webHidden/>
              </w:rPr>
              <w:t>55</w:t>
            </w:r>
            <w:r w:rsidR="006E5C73">
              <w:rPr>
                <w:noProof/>
                <w:webHidden/>
              </w:rPr>
              <w:fldChar w:fldCharType="end"/>
            </w:r>
          </w:hyperlink>
        </w:p>
        <w:p w14:paraId="2BD59BA2" w14:textId="7D77C5D6" w:rsidR="006E5C73" w:rsidRDefault="00BF4179" w:rsidP="006E5C73">
          <w:pPr>
            <w:pStyle w:val="TDC2"/>
            <w:shd w:val="clear" w:color="auto" w:fill="auto"/>
            <w:rPr>
              <w:rFonts w:asciiTheme="minorHAnsi" w:eastAsiaTheme="minorEastAsia" w:hAnsiTheme="minorHAnsi" w:cstheme="minorBidi"/>
              <w:noProof/>
              <w:sz w:val="24"/>
            </w:rPr>
          </w:pPr>
          <w:hyperlink w:anchor="_Toc88914984" w:history="1">
            <w:r w:rsidR="006E5C73" w:rsidRPr="00367D04">
              <w:rPr>
                <w:rStyle w:val="Hipervnculo"/>
                <w:rFonts w:eastAsia="Calibri"/>
                <w:noProof/>
              </w:rPr>
              <w:t>Amenazas reales e inminentes como una afectación del derecho a la integridad personal</w:t>
            </w:r>
            <w:r w:rsidR="006E5C73">
              <w:rPr>
                <w:noProof/>
                <w:webHidden/>
              </w:rPr>
              <w:tab/>
            </w:r>
            <w:r w:rsidR="006E5C73">
              <w:rPr>
                <w:noProof/>
                <w:webHidden/>
              </w:rPr>
              <w:fldChar w:fldCharType="begin"/>
            </w:r>
            <w:r w:rsidR="006E5C73">
              <w:rPr>
                <w:noProof/>
                <w:webHidden/>
              </w:rPr>
              <w:instrText xml:space="preserve"> PAGEREF _Toc88914984 \h </w:instrText>
            </w:r>
            <w:r w:rsidR="006E5C73">
              <w:rPr>
                <w:noProof/>
                <w:webHidden/>
              </w:rPr>
            </w:r>
            <w:r w:rsidR="006E5C73">
              <w:rPr>
                <w:noProof/>
                <w:webHidden/>
              </w:rPr>
              <w:fldChar w:fldCharType="separate"/>
            </w:r>
            <w:r w:rsidR="00FF6E32">
              <w:rPr>
                <w:noProof/>
                <w:webHidden/>
              </w:rPr>
              <w:t>59</w:t>
            </w:r>
            <w:r w:rsidR="006E5C73">
              <w:rPr>
                <w:noProof/>
                <w:webHidden/>
              </w:rPr>
              <w:fldChar w:fldCharType="end"/>
            </w:r>
          </w:hyperlink>
        </w:p>
        <w:p w14:paraId="3CC050F8" w14:textId="3781941E" w:rsidR="006E5C73" w:rsidRDefault="00BF4179" w:rsidP="006E5C73">
          <w:pPr>
            <w:pStyle w:val="TDC2"/>
            <w:shd w:val="clear" w:color="auto" w:fill="auto"/>
            <w:rPr>
              <w:rFonts w:asciiTheme="minorHAnsi" w:eastAsiaTheme="minorEastAsia" w:hAnsiTheme="minorHAnsi" w:cstheme="minorBidi"/>
              <w:noProof/>
              <w:sz w:val="24"/>
            </w:rPr>
          </w:pPr>
          <w:hyperlink w:anchor="_Toc88914985" w:history="1">
            <w:r w:rsidR="006E5C73" w:rsidRPr="00367D04">
              <w:rPr>
                <w:rStyle w:val="Hipervnculo"/>
                <w:noProof/>
              </w:rPr>
              <w:t>Violación al derecho a la integridad por destrucción de viviendas y desplazamiento forzado</w:t>
            </w:r>
            <w:r w:rsidR="006E5C73">
              <w:rPr>
                <w:noProof/>
                <w:webHidden/>
              </w:rPr>
              <w:tab/>
            </w:r>
            <w:r w:rsidR="006E5C73">
              <w:rPr>
                <w:noProof/>
                <w:webHidden/>
              </w:rPr>
              <w:fldChar w:fldCharType="begin"/>
            </w:r>
            <w:r w:rsidR="006E5C73">
              <w:rPr>
                <w:noProof/>
                <w:webHidden/>
              </w:rPr>
              <w:instrText xml:space="preserve"> PAGEREF _Toc88914985 \h </w:instrText>
            </w:r>
            <w:r w:rsidR="006E5C73">
              <w:rPr>
                <w:noProof/>
                <w:webHidden/>
              </w:rPr>
            </w:r>
            <w:r w:rsidR="006E5C73">
              <w:rPr>
                <w:noProof/>
                <w:webHidden/>
              </w:rPr>
              <w:fldChar w:fldCharType="separate"/>
            </w:r>
            <w:r w:rsidR="00FF6E32">
              <w:rPr>
                <w:noProof/>
                <w:webHidden/>
              </w:rPr>
              <w:t>63</w:t>
            </w:r>
            <w:r w:rsidR="006E5C73">
              <w:rPr>
                <w:noProof/>
                <w:webHidden/>
              </w:rPr>
              <w:fldChar w:fldCharType="end"/>
            </w:r>
          </w:hyperlink>
        </w:p>
        <w:p w14:paraId="38EF1FFF" w14:textId="5DBCAC2D" w:rsidR="006E5C73" w:rsidRDefault="00BF4179" w:rsidP="006E5C73">
          <w:pPr>
            <w:pStyle w:val="TDC2"/>
            <w:shd w:val="clear" w:color="auto" w:fill="auto"/>
            <w:rPr>
              <w:rFonts w:asciiTheme="minorHAnsi" w:eastAsiaTheme="minorEastAsia" w:hAnsiTheme="minorHAnsi" w:cstheme="minorBidi"/>
              <w:noProof/>
              <w:sz w:val="24"/>
            </w:rPr>
          </w:pPr>
          <w:hyperlink w:anchor="_Toc88914986" w:history="1">
            <w:r w:rsidR="006E5C73" w:rsidRPr="00367D04">
              <w:rPr>
                <w:rStyle w:val="Hipervnculo"/>
                <w:noProof/>
              </w:rPr>
              <w:t>Afectación del derecho a la integridad personal en relación al derecho a la atención de salud</w:t>
            </w:r>
            <w:r w:rsidR="006E5C73">
              <w:rPr>
                <w:noProof/>
                <w:webHidden/>
              </w:rPr>
              <w:tab/>
            </w:r>
            <w:r w:rsidR="006E5C73">
              <w:rPr>
                <w:noProof/>
                <w:webHidden/>
              </w:rPr>
              <w:fldChar w:fldCharType="begin"/>
            </w:r>
            <w:r w:rsidR="006E5C73">
              <w:rPr>
                <w:noProof/>
                <w:webHidden/>
              </w:rPr>
              <w:instrText xml:space="preserve"> PAGEREF _Toc88914986 \h </w:instrText>
            </w:r>
            <w:r w:rsidR="006E5C73">
              <w:rPr>
                <w:noProof/>
                <w:webHidden/>
              </w:rPr>
            </w:r>
            <w:r w:rsidR="006E5C73">
              <w:rPr>
                <w:noProof/>
                <w:webHidden/>
              </w:rPr>
              <w:fldChar w:fldCharType="separate"/>
            </w:r>
            <w:r w:rsidR="00FF6E32">
              <w:rPr>
                <w:noProof/>
                <w:webHidden/>
              </w:rPr>
              <w:t>64</w:t>
            </w:r>
            <w:r w:rsidR="006E5C73">
              <w:rPr>
                <w:noProof/>
                <w:webHidden/>
              </w:rPr>
              <w:fldChar w:fldCharType="end"/>
            </w:r>
          </w:hyperlink>
        </w:p>
        <w:p w14:paraId="48AB54AD" w14:textId="745FE547" w:rsidR="006E5C73" w:rsidRDefault="00BF4179" w:rsidP="006E5C73">
          <w:pPr>
            <w:pStyle w:val="TDC2"/>
            <w:shd w:val="clear" w:color="auto" w:fill="auto"/>
            <w:rPr>
              <w:rFonts w:asciiTheme="minorHAnsi" w:eastAsiaTheme="minorEastAsia" w:hAnsiTheme="minorHAnsi" w:cstheme="minorBidi"/>
              <w:noProof/>
              <w:sz w:val="24"/>
            </w:rPr>
          </w:pPr>
          <w:hyperlink w:anchor="_Toc88914987" w:history="1">
            <w:r w:rsidR="006E5C73" w:rsidRPr="00367D04">
              <w:rPr>
                <w:rStyle w:val="Hipervnculo"/>
                <w:noProof/>
              </w:rPr>
              <w:t>Afectación del derecho a la integridad personal por las condiciones en lugares de detención y/o centros carcelarios</w:t>
            </w:r>
            <w:r w:rsidR="006E5C73">
              <w:rPr>
                <w:noProof/>
                <w:webHidden/>
              </w:rPr>
              <w:tab/>
            </w:r>
            <w:r w:rsidR="006E5C73">
              <w:rPr>
                <w:noProof/>
                <w:webHidden/>
              </w:rPr>
              <w:fldChar w:fldCharType="begin"/>
            </w:r>
            <w:r w:rsidR="006E5C73">
              <w:rPr>
                <w:noProof/>
                <w:webHidden/>
              </w:rPr>
              <w:instrText xml:space="preserve"> PAGEREF _Toc88914987 \h </w:instrText>
            </w:r>
            <w:r w:rsidR="006E5C73">
              <w:rPr>
                <w:noProof/>
                <w:webHidden/>
              </w:rPr>
            </w:r>
            <w:r w:rsidR="006E5C73">
              <w:rPr>
                <w:noProof/>
                <w:webHidden/>
              </w:rPr>
              <w:fldChar w:fldCharType="separate"/>
            </w:r>
            <w:r w:rsidR="00FF6E32">
              <w:rPr>
                <w:noProof/>
                <w:webHidden/>
              </w:rPr>
              <w:t>68</w:t>
            </w:r>
            <w:r w:rsidR="006E5C73">
              <w:rPr>
                <w:noProof/>
                <w:webHidden/>
              </w:rPr>
              <w:fldChar w:fldCharType="end"/>
            </w:r>
          </w:hyperlink>
        </w:p>
        <w:p w14:paraId="6FDC3EEC" w14:textId="69DB34E7" w:rsidR="006E5C73" w:rsidRDefault="00BF4179" w:rsidP="006E5C73">
          <w:pPr>
            <w:pStyle w:val="TDC2"/>
            <w:shd w:val="clear" w:color="auto" w:fill="auto"/>
            <w:rPr>
              <w:rFonts w:asciiTheme="minorHAnsi" w:eastAsiaTheme="minorEastAsia" w:hAnsiTheme="minorHAnsi" w:cstheme="minorBidi"/>
              <w:noProof/>
              <w:sz w:val="24"/>
            </w:rPr>
          </w:pPr>
          <w:hyperlink w:anchor="_Toc88914988" w:history="1">
            <w:r w:rsidR="006E5C73" w:rsidRPr="00367D04">
              <w:rPr>
                <w:rStyle w:val="Hipervnculo"/>
                <w:noProof/>
              </w:rPr>
              <w:t>Violencia sexual como trato inhumano</w:t>
            </w:r>
            <w:r w:rsidR="006E5C73">
              <w:rPr>
                <w:noProof/>
                <w:webHidden/>
              </w:rPr>
              <w:tab/>
            </w:r>
            <w:r w:rsidR="006E5C73">
              <w:rPr>
                <w:noProof/>
                <w:webHidden/>
              </w:rPr>
              <w:fldChar w:fldCharType="begin"/>
            </w:r>
            <w:r w:rsidR="006E5C73">
              <w:rPr>
                <w:noProof/>
                <w:webHidden/>
              </w:rPr>
              <w:instrText xml:space="preserve"> PAGEREF _Toc88914988 \h </w:instrText>
            </w:r>
            <w:r w:rsidR="006E5C73">
              <w:rPr>
                <w:noProof/>
                <w:webHidden/>
              </w:rPr>
            </w:r>
            <w:r w:rsidR="006E5C73">
              <w:rPr>
                <w:noProof/>
                <w:webHidden/>
              </w:rPr>
              <w:fldChar w:fldCharType="separate"/>
            </w:r>
            <w:r w:rsidR="00FF6E32">
              <w:rPr>
                <w:noProof/>
                <w:webHidden/>
              </w:rPr>
              <w:t>68</w:t>
            </w:r>
            <w:r w:rsidR="006E5C73">
              <w:rPr>
                <w:noProof/>
                <w:webHidden/>
              </w:rPr>
              <w:fldChar w:fldCharType="end"/>
            </w:r>
          </w:hyperlink>
        </w:p>
        <w:p w14:paraId="6F66C7E9" w14:textId="3C2B7513" w:rsidR="006E5C73" w:rsidRDefault="00BF4179" w:rsidP="006E5C73">
          <w:pPr>
            <w:pStyle w:val="TDC2"/>
            <w:shd w:val="clear" w:color="auto" w:fill="auto"/>
            <w:rPr>
              <w:rFonts w:asciiTheme="minorHAnsi" w:eastAsiaTheme="minorEastAsia" w:hAnsiTheme="minorHAnsi" w:cstheme="minorBidi"/>
              <w:noProof/>
              <w:sz w:val="24"/>
            </w:rPr>
          </w:pPr>
          <w:hyperlink w:anchor="_Toc88914989" w:history="1">
            <w:r w:rsidR="006E5C73" w:rsidRPr="00367D04">
              <w:rPr>
                <w:rStyle w:val="Hipervnculo"/>
                <w:noProof/>
              </w:rPr>
              <w:t>Afectaciones del derecho a la integridad personal de familiares de víctimas de violaciones a derechos humanos</w:t>
            </w:r>
            <w:r w:rsidR="006E5C73">
              <w:rPr>
                <w:noProof/>
                <w:webHidden/>
              </w:rPr>
              <w:tab/>
            </w:r>
            <w:r w:rsidR="006E5C73">
              <w:rPr>
                <w:noProof/>
                <w:webHidden/>
              </w:rPr>
              <w:fldChar w:fldCharType="begin"/>
            </w:r>
            <w:r w:rsidR="006E5C73">
              <w:rPr>
                <w:noProof/>
                <w:webHidden/>
              </w:rPr>
              <w:instrText xml:space="preserve"> PAGEREF _Toc88914989 \h </w:instrText>
            </w:r>
            <w:r w:rsidR="006E5C73">
              <w:rPr>
                <w:noProof/>
                <w:webHidden/>
              </w:rPr>
            </w:r>
            <w:r w:rsidR="006E5C73">
              <w:rPr>
                <w:noProof/>
                <w:webHidden/>
              </w:rPr>
              <w:fldChar w:fldCharType="separate"/>
            </w:r>
            <w:r w:rsidR="00FF6E32">
              <w:rPr>
                <w:noProof/>
                <w:webHidden/>
              </w:rPr>
              <w:t>79</w:t>
            </w:r>
            <w:r w:rsidR="006E5C73">
              <w:rPr>
                <w:noProof/>
                <w:webHidden/>
              </w:rPr>
              <w:fldChar w:fldCharType="end"/>
            </w:r>
          </w:hyperlink>
        </w:p>
        <w:p w14:paraId="5510304D" w14:textId="70B3BC60" w:rsidR="006E5C73" w:rsidRDefault="00BF4179" w:rsidP="006E5C73">
          <w:pPr>
            <w:pStyle w:val="TDC1"/>
            <w:shd w:val="clear" w:color="auto" w:fill="auto"/>
            <w:rPr>
              <w:rFonts w:asciiTheme="minorHAnsi" w:eastAsiaTheme="minorEastAsia" w:hAnsiTheme="minorHAnsi" w:cstheme="minorBidi"/>
              <w:noProof/>
              <w:sz w:val="24"/>
            </w:rPr>
          </w:pPr>
          <w:hyperlink w:anchor="_Toc88914990" w:history="1">
            <w:r w:rsidR="006E5C73" w:rsidRPr="00367D04">
              <w:rPr>
                <w:rStyle w:val="Hipervnculo"/>
                <w:noProof/>
              </w:rPr>
              <w:t>5. Las obligaciones del Estado respecto del derecho a la integridad personal</w:t>
            </w:r>
            <w:r w:rsidR="006E5C73">
              <w:rPr>
                <w:noProof/>
                <w:webHidden/>
              </w:rPr>
              <w:tab/>
            </w:r>
            <w:r w:rsidR="006E5C73">
              <w:rPr>
                <w:noProof/>
                <w:webHidden/>
              </w:rPr>
              <w:fldChar w:fldCharType="begin"/>
            </w:r>
            <w:r w:rsidR="006E5C73">
              <w:rPr>
                <w:noProof/>
                <w:webHidden/>
              </w:rPr>
              <w:instrText xml:space="preserve"> PAGEREF _Toc88914990 \h </w:instrText>
            </w:r>
            <w:r w:rsidR="006E5C73">
              <w:rPr>
                <w:noProof/>
                <w:webHidden/>
              </w:rPr>
            </w:r>
            <w:r w:rsidR="006E5C73">
              <w:rPr>
                <w:noProof/>
                <w:webHidden/>
              </w:rPr>
              <w:fldChar w:fldCharType="separate"/>
            </w:r>
            <w:r w:rsidR="00FF6E32">
              <w:rPr>
                <w:noProof/>
                <w:webHidden/>
              </w:rPr>
              <w:t>104</w:t>
            </w:r>
            <w:r w:rsidR="006E5C73">
              <w:rPr>
                <w:noProof/>
                <w:webHidden/>
              </w:rPr>
              <w:fldChar w:fldCharType="end"/>
            </w:r>
          </w:hyperlink>
        </w:p>
        <w:p w14:paraId="6919E126" w14:textId="32D9C10B" w:rsidR="006E5C73" w:rsidRDefault="00BF4179" w:rsidP="006E5C73">
          <w:pPr>
            <w:pStyle w:val="TDC2"/>
            <w:shd w:val="clear" w:color="auto" w:fill="auto"/>
            <w:rPr>
              <w:rFonts w:asciiTheme="minorHAnsi" w:eastAsiaTheme="minorEastAsia" w:hAnsiTheme="minorHAnsi" w:cstheme="minorBidi"/>
              <w:noProof/>
              <w:sz w:val="24"/>
            </w:rPr>
          </w:pPr>
          <w:hyperlink w:anchor="_Toc88914991" w:history="1">
            <w:r w:rsidR="006E5C73" w:rsidRPr="00367D04">
              <w:rPr>
                <w:rStyle w:val="Hipervnculo"/>
                <w:noProof/>
              </w:rPr>
              <w:t>Obligación general de respeto y garantía</w:t>
            </w:r>
            <w:r w:rsidR="006E5C73">
              <w:rPr>
                <w:noProof/>
                <w:webHidden/>
              </w:rPr>
              <w:tab/>
            </w:r>
            <w:r w:rsidR="006E5C73">
              <w:rPr>
                <w:noProof/>
                <w:webHidden/>
              </w:rPr>
              <w:fldChar w:fldCharType="begin"/>
            </w:r>
            <w:r w:rsidR="006E5C73">
              <w:rPr>
                <w:noProof/>
                <w:webHidden/>
              </w:rPr>
              <w:instrText xml:space="preserve"> PAGEREF _Toc88914991 \h </w:instrText>
            </w:r>
            <w:r w:rsidR="006E5C73">
              <w:rPr>
                <w:noProof/>
                <w:webHidden/>
              </w:rPr>
            </w:r>
            <w:r w:rsidR="006E5C73">
              <w:rPr>
                <w:noProof/>
                <w:webHidden/>
              </w:rPr>
              <w:fldChar w:fldCharType="separate"/>
            </w:r>
            <w:r w:rsidR="00FF6E32">
              <w:rPr>
                <w:noProof/>
                <w:webHidden/>
              </w:rPr>
              <w:t>104</w:t>
            </w:r>
            <w:r w:rsidR="006E5C73">
              <w:rPr>
                <w:noProof/>
                <w:webHidden/>
              </w:rPr>
              <w:fldChar w:fldCharType="end"/>
            </w:r>
          </w:hyperlink>
        </w:p>
        <w:p w14:paraId="20DF4D37" w14:textId="73C951D4" w:rsidR="006E5C73" w:rsidRDefault="00BF4179" w:rsidP="006E5C73">
          <w:pPr>
            <w:pStyle w:val="TDC2"/>
            <w:shd w:val="clear" w:color="auto" w:fill="auto"/>
            <w:rPr>
              <w:rFonts w:asciiTheme="minorHAnsi" w:eastAsiaTheme="minorEastAsia" w:hAnsiTheme="minorHAnsi" w:cstheme="minorBidi"/>
              <w:noProof/>
              <w:sz w:val="24"/>
            </w:rPr>
          </w:pPr>
          <w:hyperlink w:anchor="_Toc88914992" w:history="1">
            <w:r w:rsidR="006E5C73" w:rsidRPr="00367D04">
              <w:rPr>
                <w:rStyle w:val="Hipervnculo"/>
                <w:noProof/>
              </w:rPr>
              <w:t>Obligación del Estado de investigar violaciones a la integridad personal</w:t>
            </w:r>
            <w:r w:rsidR="006E5C73">
              <w:rPr>
                <w:noProof/>
                <w:webHidden/>
              </w:rPr>
              <w:tab/>
            </w:r>
            <w:r w:rsidR="006E5C73">
              <w:rPr>
                <w:noProof/>
                <w:webHidden/>
              </w:rPr>
              <w:fldChar w:fldCharType="begin"/>
            </w:r>
            <w:r w:rsidR="006E5C73">
              <w:rPr>
                <w:noProof/>
                <w:webHidden/>
              </w:rPr>
              <w:instrText xml:space="preserve"> PAGEREF _Toc88914992 \h </w:instrText>
            </w:r>
            <w:r w:rsidR="006E5C73">
              <w:rPr>
                <w:noProof/>
                <w:webHidden/>
              </w:rPr>
            </w:r>
            <w:r w:rsidR="006E5C73">
              <w:rPr>
                <w:noProof/>
                <w:webHidden/>
              </w:rPr>
              <w:fldChar w:fldCharType="separate"/>
            </w:r>
            <w:r w:rsidR="00FF6E32">
              <w:rPr>
                <w:noProof/>
                <w:webHidden/>
              </w:rPr>
              <w:t>106</w:t>
            </w:r>
            <w:r w:rsidR="006E5C73">
              <w:rPr>
                <w:noProof/>
                <w:webHidden/>
              </w:rPr>
              <w:fldChar w:fldCharType="end"/>
            </w:r>
          </w:hyperlink>
        </w:p>
        <w:p w14:paraId="31A20BBA" w14:textId="2A3F2C7B" w:rsidR="006E5C73" w:rsidRDefault="00BF4179" w:rsidP="006E5C73">
          <w:pPr>
            <w:pStyle w:val="TDC3"/>
            <w:tabs>
              <w:tab w:val="right" w:leader="dot" w:pos="8488"/>
            </w:tabs>
            <w:rPr>
              <w:rFonts w:asciiTheme="minorHAnsi" w:eastAsiaTheme="minorEastAsia" w:hAnsiTheme="minorHAnsi" w:cstheme="minorBidi"/>
              <w:noProof/>
              <w:sz w:val="24"/>
            </w:rPr>
          </w:pPr>
          <w:hyperlink w:anchor="_Toc88914993" w:history="1">
            <w:r w:rsidR="006E5C73" w:rsidRPr="00367D04">
              <w:rPr>
                <w:rStyle w:val="Hipervnculo"/>
                <w:noProof/>
                <w:lang w:val="es-CR"/>
              </w:rPr>
              <w:t>A) O</w:t>
            </w:r>
            <w:r w:rsidR="006E5C73" w:rsidRPr="00367D04">
              <w:rPr>
                <w:rStyle w:val="Hipervnculo"/>
                <w:noProof/>
              </w:rPr>
              <w:t>bligación de iniciar investigación</w:t>
            </w:r>
            <w:r w:rsidR="006E5C73">
              <w:rPr>
                <w:noProof/>
                <w:webHidden/>
              </w:rPr>
              <w:tab/>
            </w:r>
            <w:r w:rsidR="006E5C73">
              <w:rPr>
                <w:noProof/>
                <w:webHidden/>
              </w:rPr>
              <w:fldChar w:fldCharType="begin"/>
            </w:r>
            <w:r w:rsidR="006E5C73">
              <w:rPr>
                <w:noProof/>
                <w:webHidden/>
              </w:rPr>
              <w:instrText xml:space="preserve"> PAGEREF _Toc88914993 \h </w:instrText>
            </w:r>
            <w:r w:rsidR="006E5C73">
              <w:rPr>
                <w:noProof/>
                <w:webHidden/>
              </w:rPr>
            </w:r>
            <w:r w:rsidR="006E5C73">
              <w:rPr>
                <w:noProof/>
                <w:webHidden/>
              </w:rPr>
              <w:fldChar w:fldCharType="separate"/>
            </w:r>
            <w:r w:rsidR="00FF6E32">
              <w:rPr>
                <w:noProof/>
                <w:webHidden/>
              </w:rPr>
              <w:t>106</w:t>
            </w:r>
            <w:r w:rsidR="006E5C73">
              <w:rPr>
                <w:noProof/>
                <w:webHidden/>
              </w:rPr>
              <w:fldChar w:fldCharType="end"/>
            </w:r>
          </w:hyperlink>
        </w:p>
        <w:p w14:paraId="30A8A2C2" w14:textId="2F0D333B" w:rsidR="006E5C73" w:rsidRDefault="00BF4179" w:rsidP="006E5C73">
          <w:pPr>
            <w:pStyle w:val="TDC3"/>
            <w:tabs>
              <w:tab w:val="right" w:leader="dot" w:pos="8488"/>
            </w:tabs>
            <w:rPr>
              <w:rFonts w:asciiTheme="minorHAnsi" w:eastAsiaTheme="minorEastAsia" w:hAnsiTheme="minorHAnsi" w:cstheme="minorBidi"/>
              <w:noProof/>
              <w:sz w:val="24"/>
            </w:rPr>
          </w:pPr>
          <w:hyperlink w:anchor="_Toc88914994" w:history="1">
            <w:r w:rsidR="006E5C73" w:rsidRPr="00367D04">
              <w:rPr>
                <w:rStyle w:val="Hipervnculo"/>
                <w:noProof/>
              </w:rPr>
              <w:t>B) Obligación de realizar una investigación efectiva</w:t>
            </w:r>
            <w:r w:rsidR="006E5C73">
              <w:rPr>
                <w:noProof/>
                <w:webHidden/>
              </w:rPr>
              <w:tab/>
            </w:r>
            <w:r w:rsidR="006E5C73">
              <w:rPr>
                <w:noProof/>
                <w:webHidden/>
              </w:rPr>
              <w:fldChar w:fldCharType="begin"/>
            </w:r>
            <w:r w:rsidR="006E5C73">
              <w:rPr>
                <w:noProof/>
                <w:webHidden/>
              </w:rPr>
              <w:instrText xml:space="preserve"> PAGEREF _Toc88914994 \h </w:instrText>
            </w:r>
            <w:r w:rsidR="006E5C73">
              <w:rPr>
                <w:noProof/>
                <w:webHidden/>
              </w:rPr>
            </w:r>
            <w:r w:rsidR="006E5C73">
              <w:rPr>
                <w:noProof/>
                <w:webHidden/>
              </w:rPr>
              <w:fldChar w:fldCharType="separate"/>
            </w:r>
            <w:r w:rsidR="00FF6E32">
              <w:rPr>
                <w:noProof/>
                <w:webHidden/>
              </w:rPr>
              <w:t>114</w:t>
            </w:r>
            <w:r w:rsidR="006E5C73">
              <w:rPr>
                <w:noProof/>
                <w:webHidden/>
              </w:rPr>
              <w:fldChar w:fldCharType="end"/>
            </w:r>
          </w:hyperlink>
        </w:p>
        <w:p w14:paraId="5078AB31" w14:textId="54923C8D" w:rsidR="006E5C73" w:rsidRDefault="00BF4179" w:rsidP="006E5C73">
          <w:pPr>
            <w:pStyle w:val="TDC2"/>
            <w:shd w:val="clear" w:color="auto" w:fill="auto"/>
            <w:rPr>
              <w:rFonts w:asciiTheme="minorHAnsi" w:eastAsiaTheme="minorEastAsia" w:hAnsiTheme="minorHAnsi" w:cstheme="minorBidi"/>
              <w:noProof/>
              <w:sz w:val="24"/>
            </w:rPr>
          </w:pPr>
          <w:hyperlink w:anchor="_Toc88914995" w:history="1">
            <w:r w:rsidR="006E5C73" w:rsidRPr="00367D04">
              <w:rPr>
                <w:rStyle w:val="Hipervnculo"/>
                <w:rFonts w:eastAsiaTheme="minorHAnsi"/>
                <w:noProof/>
                <w:shd w:val="clear" w:color="auto" w:fill="FFFFFF"/>
              </w:rPr>
              <w:t>Obligación de garantía en relación al derecho a la salud y la integridad personal</w:t>
            </w:r>
            <w:r w:rsidR="006E5C73">
              <w:rPr>
                <w:noProof/>
                <w:webHidden/>
              </w:rPr>
              <w:tab/>
            </w:r>
            <w:r w:rsidR="006E5C73">
              <w:rPr>
                <w:noProof/>
                <w:webHidden/>
              </w:rPr>
              <w:fldChar w:fldCharType="begin"/>
            </w:r>
            <w:r w:rsidR="006E5C73">
              <w:rPr>
                <w:noProof/>
                <w:webHidden/>
              </w:rPr>
              <w:instrText xml:space="preserve"> PAGEREF _Toc88914995 \h </w:instrText>
            </w:r>
            <w:r w:rsidR="006E5C73">
              <w:rPr>
                <w:noProof/>
                <w:webHidden/>
              </w:rPr>
            </w:r>
            <w:r w:rsidR="006E5C73">
              <w:rPr>
                <w:noProof/>
                <w:webHidden/>
              </w:rPr>
              <w:fldChar w:fldCharType="separate"/>
            </w:r>
            <w:r w:rsidR="00FF6E32">
              <w:rPr>
                <w:noProof/>
                <w:webHidden/>
              </w:rPr>
              <w:t>128</w:t>
            </w:r>
            <w:r w:rsidR="006E5C73">
              <w:rPr>
                <w:noProof/>
                <w:webHidden/>
              </w:rPr>
              <w:fldChar w:fldCharType="end"/>
            </w:r>
          </w:hyperlink>
        </w:p>
        <w:p w14:paraId="404C51EA" w14:textId="478D9113" w:rsidR="006E5C73" w:rsidRDefault="00BF4179" w:rsidP="006E5C73">
          <w:pPr>
            <w:pStyle w:val="TDC2"/>
            <w:shd w:val="clear" w:color="auto" w:fill="auto"/>
            <w:rPr>
              <w:rFonts w:asciiTheme="minorHAnsi" w:eastAsiaTheme="minorEastAsia" w:hAnsiTheme="minorHAnsi" w:cstheme="minorBidi"/>
              <w:noProof/>
              <w:sz w:val="24"/>
            </w:rPr>
          </w:pPr>
          <w:hyperlink w:anchor="_Toc88914996" w:history="1">
            <w:r w:rsidR="006E5C73" w:rsidRPr="00367D04">
              <w:rPr>
                <w:rStyle w:val="Hipervnculo"/>
                <w:noProof/>
              </w:rPr>
              <w:t>Obligación de otorgar asistencia básica en casos de desplazamiento</w:t>
            </w:r>
            <w:r w:rsidR="006E5C73">
              <w:rPr>
                <w:noProof/>
                <w:webHidden/>
              </w:rPr>
              <w:tab/>
            </w:r>
            <w:r w:rsidR="006E5C73">
              <w:rPr>
                <w:noProof/>
                <w:webHidden/>
              </w:rPr>
              <w:fldChar w:fldCharType="begin"/>
            </w:r>
            <w:r w:rsidR="006E5C73">
              <w:rPr>
                <w:noProof/>
                <w:webHidden/>
              </w:rPr>
              <w:instrText xml:space="preserve"> PAGEREF _Toc88914996 \h </w:instrText>
            </w:r>
            <w:r w:rsidR="006E5C73">
              <w:rPr>
                <w:noProof/>
                <w:webHidden/>
              </w:rPr>
            </w:r>
            <w:r w:rsidR="006E5C73">
              <w:rPr>
                <w:noProof/>
                <w:webHidden/>
              </w:rPr>
              <w:fldChar w:fldCharType="separate"/>
            </w:r>
            <w:r w:rsidR="00FF6E32">
              <w:rPr>
                <w:noProof/>
                <w:webHidden/>
              </w:rPr>
              <w:t>134</w:t>
            </w:r>
            <w:r w:rsidR="006E5C73">
              <w:rPr>
                <w:noProof/>
                <w:webHidden/>
              </w:rPr>
              <w:fldChar w:fldCharType="end"/>
            </w:r>
          </w:hyperlink>
        </w:p>
        <w:p w14:paraId="4AEF530D" w14:textId="33E71523" w:rsidR="006E5C73" w:rsidRDefault="00BF4179" w:rsidP="006E5C73">
          <w:pPr>
            <w:pStyle w:val="TDC2"/>
            <w:shd w:val="clear" w:color="auto" w:fill="auto"/>
            <w:rPr>
              <w:rFonts w:asciiTheme="minorHAnsi" w:eastAsiaTheme="minorEastAsia" w:hAnsiTheme="minorHAnsi" w:cstheme="minorBidi"/>
              <w:noProof/>
              <w:sz w:val="24"/>
            </w:rPr>
          </w:pPr>
          <w:hyperlink w:anchor="_Toc88914997" w:history="1">
            <w:r w:rsidR="006E5C73" w:rsidRPr="00367D04">
              <w:rPr>
                <w:rStyle w:val="Hipervnculo"/>
                <w:noProof/>
              </w:rPr>
              <w:t>Obligación de adoptar disposiciones de derecho interno (artículo 2)</w:t>
            </w:r>
            <w:r w:rsidR="006E5C73">
              <w:rPr>
                <w:noProof/>
                <w:webHidden/>
              </w:rPr>
              <w:tab/>
            </w:r>
            <w:r w:rsidR="006E5C73">
              <w:rPr>
                <w:noProof/>
                <w:webHidden/>
              </w:rPr>
              <w:fldChar w:fldCharType="begin"/>
            </w:r>
            <w:r w:rsidR="006E5C73">
              <w:rPr>
                <w:noProof/>
                <w:webHidden/>
              </w:rPr>
              <w:instrText xml:space="preserve"> PAGEREF _Toc88914997 \h </w:instrText>
            </w:r>
            <w:r w:rsidR="006E5C73">
              <w:rPr>
                <w:noProof/>
                <w:webHidden/>
              </w:rPr>
            </w:r>
            <w:r w:rsidR="006E5C73">
              <w:rPr>
                <w:noProof/>
                <w:webHidden/>
              </w:rPr>
              <w:fldChar w:fldCharType="separate"/>
            </w:r>
            <w:r w:rsidR="00FF6E32">
              <w:rPr>
                <w:noProof/>
                <w:webHidden/>
              </w:rPr>
              <w:t>135</w:t>
            </w:r>
            <w:r w:rsidR="006E5C73">
              <w:rPr>
                <w:noProof/>
                <w:webHidden/>
              </w:rPr>
              <w:fldChar w:fldCharType="end"/>
            </w:r>
          </w:hyperlink>
        </w:p>
        <w:p w14:paraId="5A51F9C8" w14:textId="58799CB4" w:rsidR="006E5C73" w:rsidRDefault="00BF4179" w:rsidP="006E5C73">
          <w:pPr>
            <w:pStyle w:val="TDC2"/>
            <w:shd w:val="clear" w:color="auto" w:fill="auto"/>
            <w:rPr>
              <w:rFonts w:asciiTheme="minorHAnsi" w:eastAsiaTheme="minorEastAsia" w:hAnsiTheme="minorHAnsi" w:cstheme="minorBidi"/>
              <w:noProof/>
              <w:sz w:val="24"/>
            </w:rPr>
          </w:pPr>
          <w:hyperlink w:anchor="_Toc88914998" w:history="1">
            <w:r w:rsidR="006E5C73" w:rsidRPr="00367D04">
              <w:rPr>
                <w:rStyle w:val="Hipervnculo"/>
                <w:noProof/>
              </w:rPr>
              <w:t>Obligación de prevención</w:t>
            </w:r>
            <w:r w:rsidR="006E5C73">
              <w:rPr>
                <w:noProof/>
                <w:webHidden/>
              </w:rPr>
              <w:tab/>
            </w:r>
            <w:r w:rsidR="006E5C73">
              <w:rPr>
                <w:noProof/>
                <w:webHidden/>
              </w:rPr>
              <w:fldChar w:fldCharType="begin"/>
            </w:r>
            <w:r w:rsidR="006E5C73">
              <w:rPr>
                <w:noProof/>
                <w:webHidden/>
              </w:rPr>
              <w:instrText xml:space="preserve"> PAGEREF _Toc88914998 \h </w:instrText>
            </w:r>
            <w:r w:rsidR="006E5C73">
              <w:rPr>
                <w:noProof/>
                <w:webHidden/>
              </w:rPr>
            </w:r>
            <w:r w:rsidR="006E5C73">
              <w:rPr>
                <w:noProof/>
                <w:webHidden/>
              </w:rPr>
              <w:fldChar w:fldCharType="separate"/>
            </w:r>
            <w:r w:rsidR="00FF6E32">
              <w:rPr>
                <w:noProof/>
                <w:webHidden/>
              </w:rPr>
              <w:t>137</w:t>
            </w:r>
            <w:r w:rsidR="006E5C73">
              <w:rPr>
                <w:noProof/>
                <w:webHidden/>
              </w:rPr>
              <w:fldChar w:fldCharType="end"/>
            </w:r>
          </w:hyperlink>
        </w:p>
        <w:p w14:paraId="15E84241" w14:textId="308E22E2" w:rsidR="006E5C73" w:rsidRDefault="00BF4179" w:rsidP="006E5C73">
          <w:pPr>
            <w:pStyle w:val="TDC2"/>
            <w:shd w:val="clear" w:color="auto" w:fill="auto"/>
            <w:rPr>
              <w:rFonts w:asciiTheme="minorHAnsi" w:eastAsiaTheme="minorEastAsia" w:hAnsiTheme="minorHAnsi" w:cstheme="minorBidi"/>
              <w:noProof/>
              <w:sz w:val="24"/>
            </w:rPr>
          </w:pPr>
          <w:hyperlink w:anchor="_Toc88914999" w:history="1">
            <w:r w:rsidR="006E5C73" w:rsidRPr="00367D04">
              <w:rPr>
                <w:rStyle w:val="Hipervnculo"/>
                <w:noProof/>
              </w:rPr>
              <w:t>Obligación especial de protección</w:t>
            </w:r>
            <w:r w:rsidR="006E5C73">
              <w:rPr>
                <w:noProof/>
                <w:webHidden/>
              </w:rPr>
              <w:tab/>
            </w:r>
            <w:r w:rsidR="006E5C73">
              <w:rPr>
                <w:noProof/>
                <w:webHidden/>
              </w:rPr>
              <w:fldChar w:fldCharType="begin"/>
            </w:r>
            <w:r w:rsidR="006E5C73">
              <w:rPr>
                <w:noProof/>
                <w:webHidden/>
              </w:rPr>
              <w:instrText xml:space="preserve"> PAGEREF _Toc88914999 \h </w:instrText>
            </w:r>
            <w:r w:rsidR="006E5C73">
              <w:rPr>
                <w:noProof/>
                <w:webHidden/>
              </w:rPr>
            </w:r>
            <w:r w:rsidR="006E5C73">
              <w:rPr>
                <w:noProof/>
                <w:webHidden/>
              </w:rPr>
              <w:fldChar w:fldCharType="separate"/>
            </w:r>
            <w:r w:rsidR="00FF6E32">
              <w:rPr>
                <w:noProof/>
                <w:webHidden/>
              </w:rPr>
              <w:t>144</w:t>
            </w:r>
            <w:r w:rsidR="006E5C73">
              <w:rPr>
                <w:noProof/>
                <w:webHidden/>
              </w:rPr>
              <w:fldChar w:fldCharType="end"/>
            </w:r>
          </w:hyperlink>
        </w:p>
        <w:p w14:paraId="0A426DDD" w14:textId="0B89C366" w:rsidR="006E5C73" w:rsidRDefault="00BF4179" w:rsidP="006E5C73">
          <w:pPr>
            <w:pStyle w:val="TDC2"/>
            <w:shd w:val="clear" w:color="auto" w:fill="auto"/>
            <w:rPr>
              <w:rFonts w:asciiTheme="minorHAnsi" w:eastAsiaTheme="minorEastAsia" w:hAnsiTheme="minorHAnsi" w:cstheme="minorBidi"/>
              <w:noProof/>
              <w:sz w:val="24"/>
            </w:rPr>
          </w:pPr>
          <w:hyperlink w:anchor="_Toc88915000" w:history="1">
            <w:r w:rsidR="006E5C73" w:rsidRPr="00367D04">
              <w:rPr>
                <w:rStyle w:val="Hipervnculo"/>
                <w:noProof/>
              </w:rPr>
              <w:t>Obligación de no deportar ante presunción de que persona sea sometida a tortura, tratos crueles, inhumanos o degradantes</w:t>
            </w:r>
            <w:r w:rsidR="006E5C73">
              <w:rPr>
                <w:noProof/>
                <w:webHidden/>
              </w:rPr>
              <w:tab/>
            </w:r>
            <w:r w:rsidR="006E5C73">
              <w:rPr>
                <w:noProof/>
                <w:webHidden/>
              </w:rPr>
              <w:fldChar w:fldCharType="begin"/>
            </w:r>
            <w:r w:rsidR="006E5C73">
              <w:rPr>
                <w:noProof/>
                <w:webHidden/>
              </w:rPr>
              <w:instrText xml:space="preserve"> PAGEREF _Toc88915000 \h </w:instrText>
            </w:r>
            <w:r w:rsidR="006E5C73">
              <w:rPr>
                <w:noProof/>
                <w:webHidden/>
              </w:rPr>
            </w:r>
            <w:r w:rsidR="006E5C73">
              <w:rPr>
                <w:noProof/>
                <w:webHidden/>
              </w:rPr>
              <w:fldChar w:fldCharType="separate"/>
            </w:r>
            <w:r w:rsidR="00FF6E32">
              <w:rPr>
                <w:noProof/>
                <w:webHidden/>
              </w:rPr>
              <w:t>149</w:t>
            </w:r>
            <w:r w:rsidR="006E5C73">
              <w:rPr>
                <w:noProof/>
                <w:webHidden/>
              </w:rPr>
              <w:fldChar w:fldCharType="end"/>
            </w:r>
          </w:hyperlink>
        </w:p>
        <w:p w14:paraId="317D7E3E" w14:textId="72D10E2A" w:rsidR="006E5C73" w:rsidRDefault="00BF4179" w:rsidP="006E5C73">
          <w:pPr>
            <w:pStyle w:val="TDC1"/>
            <w:shd w:val="clear" w:color="auto" w:fill="auto"/>
            <w:rPr>
              <w:rFonts w:asciiTheme="minorHAnsi" w:eastAsiaTheme="minorEastAsia" w:hAnsiTheme="minorHAnsi" w:cstheme="minorBidi"/>
              <w:noProof/>
              <w:sz w:val="24"/>
            </w:rPr>
          </w:pPr>
          <w:hyperlink w:anchor="_Toc88915001" w:history="1">
            <w:r w:rsidR="006E5C73" w:rsidRPr="00367D04">
              <w:rPr>
                <w:rStyle w:val="Hipervnculo"/>
                <w:noProof/>
              </w:rPr>
              <w:t>6. Reparaciones</w:t>
            </w:r>
            <w:r w:rsidR="006E5C73">
              <w:rPr>
                <w:noProof/>
                <w:webHidden/>
              </w:rPr>
              <w:tab/>
            </w:r>
            <w:r w:rsidR="006E5C73">
              <w:rPr>
                <w:noProof/>
                <w:webHidden/>
              </w:rPr>
              <w:fldChar w:fldCharType="begin"/>
            </w:r>
            <w:r w:rsidR="006E5C73">
              <w:rPr>
                <w:noProof/>
                <w:webHidden/>
              </w:rPr>
              <w:instrText xml:space="preserve"> PAGEREF _Toc88915001 \h </w:instrText>
            </w:r>
            <w:r w:rsidR="006E5C73">
              <w:rPr>
                <w:noProof/>
                <w:webHidden/>
              </w:rPr>
            </w:r>
            <w:r w:rsidR="006E5C73">
              <w:rPr>
                <w:noProof/>
                <w:webHidden/>
              </w:rPr>
              <w:fldChar w:fldCharType="separate"/>
            </w:r>
            <w:r w:rsidR="00FF6E32">
              <w:rPr>
                <w:noProof/>
                <w:webHidden/>
              </w:rPr>
              <w:t>154</w:t>
            </w:r>
            <w:r w:rsidR="006E5C73">
              <w:rPr>
                <w:noProof/>
                <w:webHidden/>
              </w:rPr>
              <w:fldChar w:fldCharType="end"/>
            </w:r>
          </w:hyperlink>
        </w:p>
        <w:p w14:paraId="3660EAE3" w14:textId="734ECCEB" w:rsidR="006E5C73" w:rsidRDefault="00BF4179" w:rsidP="006E5C73">
          <w:pPr>
            <w:pStyle w:val="TDC2"/>
            <w:shd w:val="clear" w:color="auto" w:fill="auto"/>
            <w:rPr>
              <w:rFonts w:asciiTheme="minorHAnsi" w:eastAsiaTheme="minorEastAsia" w:hAnsiTheme="minorHAnsi" w:cstheme="minorBidi"/>
              <w:noProof/>
              <w:sz w:val="24"/>
            </w:rPr>
          </w:pPr>
          <w:hyperlink w:anchor="_Toc88915002" w:history="1">
            <w:r w:rsidR="006E5C73" w:rsidRPr="00367D04">
              <w:rPr>
                <w:rStyle w:val="Hipervnculo"/>
                <w:noProof/>
              </w:rPr>
              <w:t>Obligación de reparar</w:t>
            </w:r>
            <w:r w:rsidR="006E5C73">
              <w:rPr>
                <w:noProof/>
                <w:webHidden/>
              </w:rPr>
              <w:tab/>
            </w:r>
            <w:r w:rsidR="006E5C73">
              <w:rPr>
                <w:noProof/>
                <w:webHidden/>
              </w:rPr>
              <w:fldChar w:fldCharType="begin"/>
            </w:r>
            <w:r w:rsidR="006E5C73">
              <w:rPr>
                <w:noProof/>
                <w:webHidden/>
              </w:rPr>
              <w:instrText xml:space="preserve"> PAGEREF _Toc88915002 \h </w:instrText>
            </w:r>
            <w:r w:rsidR="006E5C73">
              <w:rPr>
                <w:noProof/>
                <w:webHidden/>
              </w:rPr>
            </w:r>
            <w:r w:rsidR="006E5C73">
              <w:rPr>
                <w:noProof/>
                <w:webHidden/>
              </w:rPr>
              <w:fldChar w:fldCharType="separate"/>
            </w:r>
            <w:r w:rsidR="00FF6E32">
              <w:rPr>
                <w:noProof/>
                <w:webHidden/>
              </w:rPr>
              <w:t>154</w:t>
            </w:r>
            <w:r w:rsidR="006E5C73">
              <w:rPr>
                <w:noProof/>
                <w:webHidden/>
              </w:rPr>
              <w:fldChar w:fldCharType="end"/>
            </w:r>
          </w:hyperlink>
        </w:p>
        <w:p w14:paraId="3F1FE28D" w14:textId="291D2BC9" w:rsidR="006E5C73" w:rsidRDefault="00BF4179" w:rsidP="006E5C73">
          <w:pPr>
            <w:pStyle w:val="TDC2"/>
            <w:shd w:val="clear" w:color="auto" w:fill="auto"/>
            <w:rPr>
              <w:rFonts w:asciiTheme="minorHAnsi" w:eastAsiaTheme="minorEastAsia" w:hAnsiTheme="minorHAnsi" w:cstheme="minorBidi"/>
              <w:noProof/>
              <w:sz w:val="24"/>
            </w:rPr>
          </w:pPr>
          <w:hyperlink w:anchor="_Toc88915003" w:history="1">
            <w:r w:rsidR="006E5C73" w:rsidRPr="00367D04">
              <w:rPr>
                <w:rStyle w:val="Hipervnculo"/>
                <w:noProof/>
              </w:rPr>
              <w:t>Daño material</w:t>
            </w:r>
            <w:r w:rsidR="006E5C73">
              <w:rPr>
                <w:noProof/>
                <w:webHidden/>
              </w:rPr>
              <w:tab/>
            </w:r>
            <w:r w:rsidR="006E5C73">
              <w:rPr>
                <w:noProof/>
                <w:webHidden/>
              </w:rPr>
              <w:fldChar w:fldCharType="begin"/>
            </w:r>
            <w:r w:rsidR="006E5C73">
              <w:rPr>
                <w:noProof/>
                <w:webHidden/>
              </w:rPr>
              <w:instrText xml:space="preserve"> PAGEREF _Toc88915003 \h </w:instrText>
            </w:r>
            <w:r w:rsidR="006E5C73">
              <w:rPr>
                <w:noProof/>
                <w:webHidden/>
              </w:rPr>
            </w:r>
            <w:r w:rsidR="006E5C73">
              <w:rPr>
                <w:noProof/>
                <w:webHidden/>
              </w:rPr>
              <w:fldChar w:fldCharType="separate"/>
            </w:r>
            <w:r w:rsidR="00FF6E32">
              <w:rPr>
                <w:noProof/>
                <w:webHidden/>
              </w:rPr>
              <w:t>156</w:t>
            </w:r>
            <w:r w:rsidR="006E5C73">
              <w:rPr>
                <w:noProof/>
                <w:webHidden/>
              </w:rPr>
              <w:fldChar w:fldCharType="end"/>
            </w:r>
          </w:hyperlink>
        </w:p>
        <w:p w14:paraId="45431E21" w14:textId="72A51FB2" w:rsidR="006E5C73" w:rsidRDefault="00BF4179" w:rsidP="006E5C73">
          <w:pPr>
            <w:pStyle w:val="TDC2"/>
            <w:shd w:val="clear" w:color="auto" w:fill="auto"/>
            <w:rPr>
              <w:rFonts w:asciiTheme="minorHAnsi" w:eastAsiaTheme="minorEastAsia" w:hAnsiTheme="minorHAnsi" w:cstheme="minorBidi"/>
              <w:noProof/>
              <w:sz w:val="24"/>
            </w:rPr>
          </w:pPr>
          <w:hyperlink w:anchor="_Toc88915004" w:history="1">
            <w:r w:rsidR="006E5C73" w:rsidRPr="00367D04">
              <w:rPr>
                <w:rStyle w:val="Hipervnculo"/>
                <w:noProof/>
              </w:rPr>
              <w:t>Daño inmaterial</w:t>
            </w:r>
            <w:r w:rsidR="006E5C73">
              <w:rPr>
                <w:noProof/>
                <w:webHidden/>
              </w:rPr>
              <w:tab/>
            </w:r>
            <w:r w:rsidR="006E5C73">
              <w:rPr>
                <w:noProof/>
                <w:webHidden/>
              </w:rPr>
              <w:fldChar w:fldCharType="begin"/>
            </w:r>
            <w:r w:rsidR="006E5C73">
              <w:rPr>
                <w:noProof/>
                <w:webHidden/>
              </w:rPr>
              <w:instrText xml:space="preserve"> PAGEREF _Toc88915004 \h </w:instrText>
            </w:r>
            <w:r w:rsidR="006E5C73">
              <w:rPr>
                <w:noProof/>
                <w:webHidden/>
              </w:rPr>
            </w:r>
            <w:r w:rsidR="006E5C73">
              <w:rPr>
                <w:noProof/>
                <w:webHidden/>
              </w:rPr>
              <w:fldChar w:fldCharType="separate"/>
            </w:r>
            <w:r w:rsidR="00FF6E32">
              <w:rPr>
                <w:noProof/>
                <w:webHidden/>
              </w:rPr>
              <w:t>158</w:t>
            </w:r>
            <w:r w:rsidR="006E5C73">
              <w:rPr>
                <w:noProof/>
                <w:webHidden/>
              </w:rPr>
              <w:fldChar w:fldCharType="end"/>
            </w:r>
          </w:hyperlink>
        </w:p>
        <w:p w14:paraId="3AE7A8D6" w14:textId="1B1CCA55" w:rsidR="006E5C73" w:rsidRDefault="00BF4179" w:rsidP="006E5C73">
          <w:pPr>
            <w:pStyle w:val="TDC2"/>
            <w:shd w:val="clear" w:color="auto" w:fill="auto"/>
            <w:rPr>
              <w:rFonts w:asciiTheme="minorHAnsi" w:eastAsiaTheme="minorEastAsia" w:hAnsiTheme="minorHAnsi" w:cstheme="minorBidi"/>
              <w:noProof/>
              <w:sz w:val="24"/>
            </w:rPr>
          </w:pPr>
          <w:hyperlink w:anchor="_Toc88915005" w:history="1">
            <w:r w:rsidR="006E5C73" w:rsidRPr="00367D04">
              <w:rPr>
                <w:rStyle w:val="Hipervnculo"/>
                <w:noProof/>
              </w:rPr>
              <w:t>Tratamientos psicológicos y atención médica</w:t>
            </w:r>
            <w:r w:rsidR="006E5C73">
              <w:rPr>
                <w:noProof/>
                <w:webHidden/>
              </w:rPr>
              <w:tab/>
            </w:r>
            <w:r w:rsidR="006E5C73">
              <w:rPr>
                <w:noProof/>
                <w:webHidden/>
              </w:rPr>
              <w:fldChar w:fldCharType="begin"/>
            </w:r>
            <w:r w:rsidR="006E5C73">
              <w:rPr>
                <w:noProof/>
                <w:webHidden/>
              </w:rPr>
              <w:instrText xml:space="preserve"> PAGEREF _Toc88915005 \h </w:instrText>
            </w:r>
            <w:r w:rsidR="006E5C73">
              <w:rPr>
                <w:noProof/>
                <w:webHidden/>
              </w:rPr>
            </w:r>
            <w:r w:rsidR="006E5C73">
              <w:rPr>
                <w:noProof/>
                <w:webHidden/>
              </w:rPr>
              <w:fldChar w:fldCharType="separate"/>
            </w:r>
            <w:r w:rsidR="00FF6E32">
              <w:rPr>
                <w:noProof/>
                <w:webHidden/>
              </w:rPr>
              <w:t>162</w:t>
            </w:r>
            <w:r w:rsidR="006E5C73">
              <w:rPr>
                <w:noProof/>
                <w:webHidden/>
              </w:rPr>
              <w:fldChar w:fldCharType="end"/>
            </w:r>
          </w:hyperlink>
        </w:p>
        <w:p w14:paraId="6444F334" w14:textId="577AB46C" w:rsidR="006E5C73" w:rsidRDefault="00BF4179" w:rsidP="006E5C73">
          <w:pPr>
            <w:pStyle w:val="TDC2"/>
            <w:shd w:val="clear" w:color="auto" w:fill="auto"/>
            <w:rPr>
              <w:rFonts w:asciiTheme="minorHAnsi" w:eastAsiaTheme="minorEastAsia" w:hAnsiTheme="minorHAnsi" w:cstheme="minorBidi"/>
              <w:noProof/>
              <w:sz w:val="24"/>
            </w:rPr>
          </w:pPr>
          <w:hyperlink w:anchor="_Toc88915006" w:history="1">
            <w:r w:rsidR="006E5C73" w:rsidRPr="00367D04">
              <w:rPr>
                <w:rStyle w:val="Hipervnculo"/>
                <w:noProof/>
              </w:rPr>
              <w:t>Proyecto de vida</w:t>
            </w:r>
            <w:r w:rsidR="006E5C73">
              <w:rPr>
                <w:noProof/>
                <w:webHidden/>
              </w:rPr>
              <w:tab/>
            </w:r>
            <w:r w:rsidR="006E5C73">
              <w:rPr>
                <w:noProof/>
                <w:webHidden/>
              </w:rPr>
              <w:fldChar w:fldCharType="begin"/>
            </w:r>
            <w:r w:rsidR="006E5C73">
              <w:rPr>
                <w:noProof/>
                <w:webHidden/>
              </w:rPr>
              <w:instrText xml:space="preserve"> PAGEREF _Toc88915006 \h </w:instrText>
            </w:r>
            <w:r w:rsidR="006E5C73">
              <w:rPr>
                <w:noProof/>
                <w:webHidden/>
              </w:rPr>
            </w:r>
            <w:r w:rsidR="006E5C73">
              <w:rPr>
                <w:noProof/>
                <w:webHidden/>
              </w:rPr>
              <w:fldChar w:fldCharType="separate"/>
            </w:r>
            <w:r w:rsidR="00FF6E32">
              <w:rPr>
                <w:noProof/>
                <w:webHidden/>
              </w:rPr>
              <w:t>168</w:t>
            </w:r>
            <w:r w:rsidR="006E5C73">
              <w:rPr>
                <w:noProof/>
                <w:webHidden/>
              </w:rPr>
              <w:fldChar w:fldCharType="end"/>
            </w:r>
          </w:hyperlink>
        </w:p>
        <w:p w14:paraId="44330D73" w14:textId="649EC819" w:rsidR="006E5C73" w:rsidRDefault="00BF4179" w:rsidP="006E5C73">
          <w:pPr>
            <w:pStyle w:val="TDC2"/>
            <w:shd w:val="clear" w:color="auto" w:fill="auto"/>
            <w:rPr>
              <w:rFonts w:asciiTheme="minorHAnsi" w:eastAsiaTheme="minorEastAsia" w:hAnsiTheme="minorHAnsi" w:cstheme="minorBidi"/>
              <w:noProof/>
              <w:sz w:val="24"/>
            </w:rPr>
          </w:pPr>
          <w:hyperlink w:anchor="_Toc88915007" w:history="1">
            <w:r w:rsidR="006E5C73" w:rsidRPr="00367D04">
              <w:rPr>
                <w:rStyle w:val="Hipervnculo"/>
                <w:noProof/>
              </w:rPr>
              <w:t>Garantías de no repetición</w:t>
            </w:r>
            <w:r w:rsidR="006E5C73">
              <w:rPr>
                <w:noProof/>
                <w:webHidden/>
              </w:rPr>
              <w:tab/>
            </w:r>
            <w:r w:rsidR="006E5C73">
              <w:rPr>
                <w:noProof/>
                <w:webHidden/>
              </w:rPr>
              <w:fldChar w:fldCharType="begin"/>
            </w:r>
            <w:r w:rsidR="006E5C73">
              <w:rPr>
                <w:noProof/>
                <w:webHidden/>
              </w:rPr>
              <w:instrText xml:space="preserve"> PAGEREF _Toc88915007 \h </w:instrText>
            </w:r>
            <w:r w:rsidR="006E5C73">
              <w:rPr>
                <w:noProof/>
                <w:webHidden/>
              </w:rPr>
            </w:r>
            <w:r w:rsidR="006E5C73">
              <w:rPr>
                <w:noProof/>
                <w:webHidden/>
              </w:rPr>
              <w:fldChar w:fldCharType="separate"/>
            </w:r>
            <w:r w:rsidR="00FF6E32">
              <w:rPr>
                <w:noProof/>
                <w:webHidden/>
              </w:rPr>
              <w:t>168</w:t>
            </w:r>
            <w:r w:rsidR="006E5C73">
              <w:rPr>
                <w:noProof/>
                <w:webHidden/>
              </w:rPr>
              <w:fldChar w:fldCharType="end"/>
            </w:r>
          </w:hyperlink>
        </w:p>
        <w:p w14:paraId="7597BC68" w14:textId="0AB106B5" w:rsidR="006E5C73" w:rsidRDefault="00BF4179" w:rsidP="006E5C73">
          <w:pPr>
            <w:pStyle w:val="TDC3"/>
            <w:tabs>
              <w:tab w:val="right" w:leader="dot" w:pos="8488"/>
            </w:tabs>
            <w:rPr>
              <w:rFonts w:asciiTheme="minorHAnsi" w:eastAsiaTheme="minorEastAsia" w:hAnsiTheme="minorHAnsi" w:cstheme="minorBidi"/>
              <w:noProof/>
              <w:sz w:val="24"/>
            </w:rPr>
          </w:pPr>
          <w:hyperlink w:anchor="_Toc88915008" w:history="1">
            <w:r w:rsidR="006E5C73" w:rsidRPr="00367D04">
              <w:rPr>
                <w:rStyle w:val="Hipervnculo"/>
                <w:noProof/>
              </w:rPr>
              <w:t>A) Implementación del protocolos de actuación</w:t>
            </w:r>
            <w:r w:rsidR="006E5C73">
              <w:rPr>
                <w:noProof/>
                <w:webHidden/>
              </w:rPr>
              <w:tab/>
            </w:r>
            <w:r w:rsidR="006E5C73">
              <w:rPr>
                <w:noProof/>
                <w:webHidden/>
              </w:rPr>
              <w:fldChar w:fldCharType="begin"/>
            </w:r>
            <w:r w:rsidR="006E5C73">
              <w:rPr>
                <w:noProof/>
                <w:webHidden/>
              </w:rPr>
              <w:instrText xml:space="preserve"> PAGEREF _Toc88915008 \h </w:instrText>
            </w:r>
            <w:r w:rsidR="006E5C73">
              <w:rPr>
                <w:noProof/>
                <w:webHidden/>
              </w:rPr>
            </w:r>
            <w:r w:rsidR="006E5C73">
              <w:rPr>
                <w:noProof/>
                <w:webHidden/>
              </w:rPr>
              <w:fldChar w:fldCharType="separate"/>
            </w:r>
            <w:r w:rsidR="00FF6E32">
              <w:rPr>
                <w:noProof/>
                <w:webHidden/>
              </w:rPr>
              <w:t>168</w:t>
            </w:r>
            <w:r w:rsidR="006E5C73">
              <w:rPr>
                <w:noProof/>
                <w:webHidden/>
              </w:rPr>
              <w:fldChar w:fldCharType="end"/>
            </w:r>
          </w:hyperlink>
        </w:p>
        <w:p w14:paraId="5923D47F" w14:textId="01C62CBE" w:rsidR="006E5C73" w:rsidRDefault="00BF4179" w:rsidP="006E5C73">
          <w:pPr>
            <w:pStyle w:val="TDC3"/>
            <w:tabs>
              <w:tab w:val="right" w:leader="dot" w:pos="8488"/>
            </w:tabs>
            <w:rPr>
              <w:rFonts w:asciiTheme="minorHAnsi" w:eastAsiaTheme="minorEastAsia" w:hAnsiTheme="minorHAnsi" w:cstheme="minorBidi"/>
              <w:noProof/>
              <w:sz w:val="24"/>
            </w:rPr>
          </w:pPr>
          <w:hyperlink w:anchor="_Toc88915009" w:history="1">
            <w:r w:rsidR="006E5C73" w:rsidRPr="00367D04">
              <w:rPr>
                <w:rStyle w:val="Hipervnculo"/>
                <w:noProof/>
              </w:rPr>
              <w:t>B) Adaptar legislación nacional</w:t>
            </w:r>
            <w:r w:rsidR="006E5C73">
              <w:rPr>
                <w:noProof/>
                <w:webHidden/>
              </w:rPr>
              <w:tab/>
            </w:r>
            <w:r w:rsidR="006E5C73">
              <w:rPr>
                <w:noProof/>
                <w:webHidden/>
              </w:rPr>
              <w:fldChar w:fldCharType="begin"/>
            </w:r>
            <w:r w:rsidR="006E5C73">
              <w:rPr>
                <w:noProof/>
                <w:webHidden/>
              </w:rPr>
              <w:instrText xml:space="preserve"> PAGEREF _Toc88915009 \h </w:instrText>
            </w:r>
            <w:r w:rsidR="006E5C73">
              <w:rPr>
                <w:noProof/>
                <w:webHidden/>
              </w:rPr>
            </w:r>
            <w:r w:rsidR="006E5C73">
              <w:rPr>
                <w:noProof/>
                <w:webHidden/>
              </w:rPr>
              <w:fldChar w:fldCharType="separate"/>
            </w:r>
            <w:r w:rsidR="00FF6E32">
              <w:rPr>
                <w:noProof/>
                <w:webHidden/>
              </w:rPr>
              <w:t>172</w:t>
            </w:r>
            <w:r w:rsidR="006E5C73">
              <w:rPr>
                <w:noProof/>
                <w:webHidden/>
              </w:rPr>
              <w:fldChar w:fldCharType="end"/>
            </w:r>
          </w:hyperlink>
        </w:p>
        <w:p w14:paraId="4E9BE992" w14:textId="2A8F2CE1" w:rsidR="006E5C73" w:rsidRDefault="00BF4179" w:rsidP="006E5C73">
          <w:pPr>
            <w:pStyle w:val="TDC3"/>
            <w:tabs>
              <w:tab w:val="right" w:leader="dot" w:pos="8488"/>
            </w:tabs>
            <w:rPr>
              <w:rFonts w:asciiTheme="minorHAnsi" w:eastAsiaTheme="minorEastAsia" w:hAnsiTheme="minorHAnsi" w:cstheme="minorBidi"/>
              <w:noProof/>
              <w:sz w:val="24"/>
            </w:rPr>
          </w:pPr>
          <w:hyperlink w:anchor="_Toc88915010" w:history="1">
            <w:r w:rsidR="006E5C73" w:rsidRPr="00367D04">
              <w:rPr>
                <w:rStyle w:val="Hipervnculo"/>
                <w:noProof/>
              </w:rPr>
              <w:t>C) Obligación de investigar</w:t>
            </w:r>
            <w:r w:rsidR="006E5C73">
              <w:rPr>
                <w:noProof/>
                <w:webHidden/>
              </w:rPr>
              <w:tab/>
            </w:r>
            <w:r w:rsidR="006E5C73">
              <w:rPr>
                <w:noProof/>
                <w:webHidden/>
              </w:rPr>
              <w:fldChar w:fldCharType="begin"/>
            </w:r>
            <w:r w:rsidR="006E5C73">
              <w:rPr>
                <w:noProof/>
                <w:webHidden/>
              </w:rPr>
              <w:instrText xml:space="preserve"> PAGEREF _Toc88915010 \h </w:instrText>
            </w:r>
            <w:r w:rsidR="006E5C73">
              <w:rPr>
                <w:noProof/>
                <w:webHidden/>
              </w:rPr>
            </w:r>
            <w:r w:rsidR="006E5C73">
              <w:rPr>
                <w:noProof/>
                <w:webHidden/>
              </w:rPr>
              <w:fldChar w:fldCharType="separate"/>
            </w:r>
            <w:r w:rsidR="00FF6E32">
              <w:rPr>
                <w:noProof/>
                <w:webHidden/>
              </w:rPr>
              <w:t>172</w:t>
            </w:r>
            <w:r w:rsidR="006E5C73">
              <w:rPr>
                <w:noProof/>
                <w:webHidden/>
              </w:rPr>
              <w:fldChar w:fldCharType="end"/>
            </w:r>
          </w:hyperlink>
        </w:p>
        <w:p w14:paraId="4E5C7349" w14:textId="0B8EFEC3" w:rsidR="006E5C73" w:rsidRDefault="00BF4179" w:rsidP="006E5C73">
          <w:pPr>
            <w:pStyle w:val="TDC3"/>
            <w:tabs>
              <w:tab w:val="right" w:leader="dot" w:pos="8488"/>
            </w:tabs>
            <w:rPr>
              <w:rFonts w:asciiTheme="minorHAnsi" w:eastAsiaTheme="minorEastAsia" w:hAnsiTheme="minorHAnsi" w:cstheme="minorBidi"/>
              <w:noProof/>
              <w:sz w:val="24"/>
            </w:rPr>
          </w:pPr>
          <w:hyperlink w:anchor="_Toc88915011" w:history="1">
            <w:r w:rsidR="006E5C73" w:rsidRPr="00367D04">
              <w:rPr>
                <w:rStyle w:val="Hipervnculo"/>
                <w:noProof/>
              </w:rPr>
              <w:t>D) Realizar capacitaciones</w:t>
            </w:r>
            <w:r w:rsidR="006E5C73">
              <w:rPr>
                <w:noProof/>
                <w:webHidden/>
              </w:rPr>
              <w:tab/>
            </w:r>
            <w:r w:rsidR="006E5C73">
              <w:rPr>
                <w:noProof/>
                <w:webHidden/>
              </w:rPr>
              <w:fldChar w:fldCharType="begin"/>
            </w:r>
            <w:r w:rsidR="006E5C73">
              <w:rPr>
                <w:noProof/>
                <w:webHidden/>
              </w:rPr>
              <w:instrText xml:space="preserve"> PAGEREF _Toc88915011 \h </w:instrText>
            </w:r>
            <w:r w:rsidR="006E5C73">
              <w:rPr>
                <w:noProof/>
                <w:webHidden/>
              </w:rPr>
            </w:r>
            <w:r w:rsidR="006E5C73">
              <w:rPr>
                <w:noProof/>
                <w:webHidden/>
              </w:rPr>
              <w:fldChar w:fldCharType="separate"/>
            </w:r>
            <w:r w:rsidR="00FF6E32">
              <w:rPr>
                <w:noProof/>
                <w:webHidden/>
              </w:rPr>
              <w:t>175</w:t>
            </w:r>
            <w:r w:rsidR="006E5C73">
              <w:rPr>
                <w:noProof/>
                <w:webHidden/>
              </w:rPr>
              <w:fldChar w:fldCharType="end"/>
            </w:r>
          </w:hyperlink>
        </w:p>
        <w:p w14:paraId="4BBF8AEA" w14:textId="4A5E65DF" w:rsidR="006E5C73" w:rsidRDefault="00BF4179" w:rsidP="006E5C73">
          <w:pPr>
            <w:pStyle w:val="TDC3"/>
            <w:tabs>
              <w:tab w:val="right" w:leader="dot" w:pos="8488"/>
            </w:tabs>
            <w:rPr>
              <w:rFonts w:asciiTheme="minorHAnsi" w:eastAsiaTheme="minorEastAsia" w:hAnsiTheme="minorHAnsi" w:cstheme="minorBidi"/>
              <w:noProof/>
              <w:sz w:val="24"/>
            </w:rPr>
          </w:pPr>
          <w:hyperlink w:anchor="_Toc88915012" w:history="1">
            <w:r w:rsidR="006E5C73" w:rsidRPr="00367D04">
              <w:rPr>
                <w:rStyle w:val="Hipervnculo"/>
                <w:noProof/>
              </w:rPr>
              <w:t>E) Oficina del ministerio público de atención a las mujeres víctimas de violencia</w:t>
            </w:r>
            <w:r w:rsidR="006E5C73">
              <w:rPr>
                <w:noProof/>
                <w:webHidden/>
              </w:rPr>
              <w:tab/>
            </w:r>
            <w:r w:rsidR="006E5C73">
              <w:rPr>
                <w:noProof/>
                <w:webHidden/>
              </w:rPr>
              <w:fldChar w:fldCharType="begin"/>
            </w:r>
            <w:r w:rsidR="006E5C73">
              <w:rPr>
                <w:noProof/>
                <w:webHidden/>
              </w:rPr>
              <w:instrText xml:space="preserve"> PAGEREF _Toc88915012 \h </w:instrText>
            </w:r>
            <w:r w:rsidR="006E5C73">
              <w:rPr>
                <w:noProof/>
                <w:webHidden/>
              </w:rPr>
            </w:r>
            <w:r w:rsidR="006E5C73">
              <w:rPr>
                <w:noProof/>
                <w:webHidden/>
              </w:rPr>
              <w:fldChar w:fldCharType="separate"/>
            </w:r>
            <w:r w:rsidR="00FF6E32">
              <w:rPr>
                <w:noProof/>
                <w:webHidden/>
              </w:rPr>
              <w:t>176</w:t>
            </w:r>
            <w:r w:rsidR="006E5C73">
              <w:rPr>
                <w:noProof/>
                <w:webHidden/>
              </w:rPr>
              <w:fldChar w:fldCharType="end"/>
            </w:r>
          </w:hyperlink>
        </w:p>
        <w:p w14:paraId="0E411338" w14:textId="7D8D8DF3" w:rsidR="006E5C73" w:rsidRDefault="00BF4179" w:rsidP="006E5C73">
          <w:pPr>
            <w:pStyle w:val="TDC2"/>
            <w:shd w:val="clear" w:color="auto" w:fill="auto"/>
            <w:rPr>
              <w:rFonts w:asciiTheme="minorHAnsi" w:eastAsiaTheme="minorEastAsia" w:hAnsiTheme="minorHAnsi" w:cstheme="minorBidi"/>
              <w:noProof/>
              <w:sz w:val="24"/>
            </w:rPr>
          </w:pPr>
          <w:hyperlink w:anchor="_Toc88915013" w:history="1">
            <w:r w:rsidR="006E5C73" w:rsidRPr="00367D04">
              <w:rPr>
                <w:rStyle w:val="Hipervnculo"/>
                <w:noProof/>
              </w:rPr>
              <w:t>Publicación de sentencia y acto de reconocimiento</w:t>
            </w:r>
            <w:r w:rsidR="006E5C73">
              <w:rPr>
                <w:noProof/>
                <w:webHidden/>
              </w:rPr>
              <w:tab/>
            </w:r>
            <w:r w:rsidR="006E5C73">
              <w:rPr>
                <w:noProof/>
                <w:webHidden/>
              </w:rPr>
              <w:fldChar w:fldCharType="begin"/>
            </w:r>
            <w:r w:rsidR="006E5C73">
              <w:rPr>
                <w:noProof/>
                <w:webHidden/>
              </w:rPr>
              <w:instrText xml:space="preserve"> PAGEREF _Toc88915013 \h </w:instrText>
            </w:r>
            <w:r w:rsidR="006E5C73">
              <w:rPr>
                <w:noProof/>
                <w:webHidden/>
              </w:rPr>
            </w:r>
            <w:r w:rsidR="006E5C73">
              <w:rPr>
                <w:noProof/>
                <w:webHidden/>
              </w:rPr>
              <w:fldChar w:fldCharType="separate"/>
            </w:r>
            <w:r w:rsidR="00FF6E32">
              <w:rPr>
                <w:noProof/>
                <w:webHidden/>
              </w:rPr>
              <w:t>177</w:t>
            </w:r>
            <w:r w:rsidR="006E5C73">
              <w:rPr>
                <w:noProof/>
                <w:webHidden/>
              </w:rPr>
              <w:fldChar w:fldCharType="end"/>
            </w:r>
          </w:hyperlink>
        </w:p>
        <w:p w14:paraId="718B0782" w14:textId="507CECAE" w:rsidR="006E5C73" w:rsidRDefault="00BF4179" w:rsidP="006E5C73">
          <w:pPr>
            <w:pStyle w:val="TDC2"/>
            <w:shd w:val="clear" w:color="auto" w:fill="auto"/>
            <w:rPr>
              <w:rFonts w:asciiTheme="minorHAnsi" w:eastAsiaTheme="minorEastAsia" w:hAnsiTheme="minorHAnsi" w:cstheme="minorBidi"/>
              <w:noProof/>
              <w:sz w:val="24"/>
            </w:rPr>
          </w:pPr>
          <w:hyperlink w:anchor="_Toc88915014" w:history="1">
            <w:r w:rsidR="006E5C73" w:rsidRPr="00367D04">
              <w:rPr>
                <w:rStyle w:val="Hipervnculo"/>
                <w:noProof/>
              </w:rPr>
              <w:t>Otorgamiento de becas</w:t>
            </w:r>
            <w:r w:rsidR="006E5C73">
              <w:rPr>
                <w:noProof/>
                <w:webHidden/>
              </w:rPr>
              <w:tab/>
            </w:r>
            <w:r w:rsidR="006E5C73">
              <w:rPr>
                <w:noProof/>
                <w:webHidden/>
              </w:rPr>
              <w:fldChar w:fldCharType="begin"/>
            </w:r>
            <w:r w:rsidR="006E5C73">
              <w:rPr>
                <w:noProof/>
                <w:webHidden/>
              </w:rPr>
              <w:instrText xml:space="preserve"> PAGEREF _Toc88915014 \h </w:instrText>
            </w:r>
            <w:r w:rsidR="006E5C73">
              <w:rPr>
                <w:noProof/>
                <w:webHidden/>
              </w:rPr>
            </w:r>
            <w:r w:rsidR="006E5C73">
              <w:rPr>
                <w:noProof/>
                <w:webHidden/>
              </w:rPr>
              <w:fldChar w:fldCharType="separate"/>
            </w:r>
            <w:r w:rsidR="00FF6E32">
              <w:rPr>
                <w:noProof/>
                <w:webHidden/>
              </w:rPr>
              <w:t>178</w:t>
            </w:r>
            <w:r w:rsidR="006E5C73">
              <w:rPr>
                <w:noProof/>
                <w:webHidden/>
              </w:rPr>
              <w:fldChar w:fldCharType="end"/>
            </w:r>
          </w:hyperlink>
        </w:p>
        <w:p w14:paraId="0CAF961C" w14:textId="7DAC00F5" w:rsidR="002E0960" w:rsidRPr="003D49EB" w:rsidRDefault="009F304D" w:rsidP="006E5C73">
          <w:pPr>
            <w:rPr>
              <w:szCs w:val="20"/>
            </w:rPr>
          </w:pPr>
          <w:r w:rsidRPr="003D49EB">
            <w:rPr>
              <w:b/>
              <w:bCs/>
              <w:szCs w:val="20"/>
            </w:rPr>
            <w:fldChar w:fldCharType="end"/>
          </w:r>
        </w:p>
      </w:sdtContent>
    </w:sdt>
    <w:p w14:paraId="471E7867" w14:textId="77777777" w:rsidR="00991599" w:rsidRPr="003D49EB" w:rsidRDefault="00991599" w:rsidP="009A4683">
      <w:pPr>
        <w:spacing w:after="100" w:afterAutospacing="1"/>
        <w:rPr>
          <w:b/>
          <w:szCs w:val="20"/>
        </w:rPr>
      </w:pPr>
    </w:p>
    <w:p w14:paraId="76FDE526" w14:textId="77777777" w:rsidR="00EE1AA0" w:rsidRPr="003D49EB" w:rsidRDefault="00EE1AA0" w:rsidP="009A4683">
      <w:pPr>
        <w:spacing w:after="100" w:afterAutospacing="1"/>
        <w:rPr>
          <w:b/>
          <w:szCs w:val="20"/>
        </w:rPr>
      </w:pPr>
    </w:p>
    <w:p w14:paraId="054CEBED" w14:textId="77777777" w:rsidR="008B18CE" w:rsidRPr="003D49EB" w:rsidRDefault="008B18CE" w:rsidP="009A4683">
      <w:pPr>
        <w:spacing w:after="100" w:afterAutospacing="1"/>
        <w:rPr>
          <w:b/>
          <w:szCs w:val="20"/>
        </w:rPr>
      </w:pPr>
      <w:r w:rsidRPr="003D49EB">
        <w:rPr>
          <w:b/>
          <w:szCs w:val="20"/>
        </w:rPr>
        <w:br w:type="page"/>
      </w:r>
    </w:p>
    <w:p w14:paraId="7303A628" w14:textId="77777777" w:rsidR="001545B1" w:rsidRPr="003D49EB" w:rsidRDefault="001545B1" w:rsidP="009A4683">
      <w:pPr>
        <w:spacing w:after="100" w:afterAutospacing="1"/>
        <w:rPr>
          <w:b/>
          <w:szCs w:val="20"/>
        </w:rPr>
      </w:pPr>
    </w:p>
    <w:p w14:paraId="1011EE77" w14:textId="77777777" w:rsidR="00375D83" w:rsidRPr="003D49EB" w:rsidRDefault="002D2ADC" w:rsidP="009A4683">
      <w:pPr>
        <w:pStyle w:val="Ttulo1"/>
      </w:pPr>
      <w:bookmarkStart w:id="0" w:name="_Toc530497964"/>
      <w:bookmarkStart w:id="1" w:name="_Toc88914963"/>
      <w:r w:rsidRPr="003D49EB">
        <w:t xml:space="preserve">1. </w:t>
      </w:r>
      <w:r w:rsidR="00375D83" w:rsidRPr="003D49EB">
        <w:t>Derecho a la integridad personal</w:t>
      </w:r>
      <w:bookmarkEnd w:id="0"/>
      <w:bookmarkEnd w:id="1"/>
      <w:r w:rsidR="00375D83" w:rsidRPr="003D49EB">
        <w:t xml:space="preserve"> </w:t>
      </w:r>
    </w:p>
    <w:p w14:paraId="010D2290" w14:textId="77777777" w:rsidR="006E5C73" w:rsidRDefault="006E5C73" w:rsidP="009A4683">
      <w:pPr>
        <w:spacing w:after="100" w:afterAutospacing="1"/>
        <w:rPr>
          <w:szCs w:val="20"/>
        </w:rPr>
      </w:pPr>
    </w:p>
    <w:p w14:paraId="1AF6121D" w14:textId="68FB0574" w:rsidR="008C0F50" w:rsidRPr="003D49EB" w:rsidRDefault="008C0F50" w:rsidP="009A4683">
      <w:pPr>
        <w:spacing w:after="100" w:afterAutospacing="1"/>
        <w:rPr>
          <w:szCs w:val="20"/>
        </w:rPr>
      </w:pPr>
      <w:r w:rsidRPr="003D49EB">
        <w:rPr>
          <w:szCs w:val="20"/>
        </w:rPr>
        <w:t xml:space="preserve">En el presente apartado se tratan los principales aspectos relacionados con el derecho a la </w:t>
      </w:r>
      <w:r w:rsidR="00D53BB4" w:rsidRPr="003D49EB">
        <w:rPr>
          <w:szCs w:val="20"/>
        </w:rPr>
        <w:t>integridad</w:t>
      </w:r>
      <w:r w:rsidRPr="003D49EB">
        <w:rPr>
          <w:szCs w:val="20"/>
        </w:rPr>
        <w:t xml:space="preserve"> personal en la jurisprudencia de la Corte Interamericana de Derechos Humanos: su vínculo con la dignidad humana, sus principales formas de afectación (física, psicológica y moral) y connotaciones en diversos contextos (grados de afectación), poniendo especial énfasis en su inderogabilidad como derecho humano. </w:t>
      </w:r>
    </w:p>
    <w:p w14:paraId="414D4BAB" w14:textId="256AB587" w:rsidR="00355076" w:rsidRDefault="00355076" w:rsidP="009A4683">
      <w:pPr>
        <w:pStyle w:val="Ttulo2"/>
      </w:pPr>
      <w:bookmarkStart w:id="2" w:name="_Toc530497965"/>
      <w:bookmarkStart w:id="3" w:name="_Toc88914964"/>
      <w:r w:rsidRPr="003D49EB">
        <w:t>Vínculo entre la dignidad humana y la integridad personal</w:t>
      </w:r>
      <w:bookmarkEnd w:id="2"/>
      <w:bookmarkEnd w:id="3"/>
    </w:p>
    <w:p w14:paraId="09C2D49D" w14:textId="77777777" w:rsidR="003A3588" w:rsidRPr="003A3588" w:rsidRDefault="003A3588" w:rsidP="003A3588">
      <w:pPr>
        <w:rPr>
          <w:lang w:val="es-CR"/>
        </w:rPr>
      </w:pPr>
    </w:p>
    <w:p w14:paraId="4D5CC1A7" w14:textId="406809D4" w:rsidR="00355076" w:rsidRPr="003D49EB" w:rsidRDefault="006A660B" w:rsidP="009A4683">
      <w:pPr>
        <w:spacing w:after="100" w:afterAutospacing="1"/>
        <w:rPr>
          <w:b/>
          <w:szCs w:val="20"/>
        </w:rPr>
      </w:pPr>
      <w:r w:rsidRPr="006A660B">
        <w:rPr>
          <w:b/>
          <w:szCs w:val="20"/>
        </w:rPr>
        <w:t>Corte IDH. Caso Castillo Páez Vs. Perú. Fondo. Sentencia de 3 de noviembre de 1997. Serie C No. 34.</w:t>
      </w:r>
      <w:r w:rsidR="002C7F1B" w:rsidRPr="003D49EB">
        <w:rPr>
          <w:rStyle w:val="Refdenotaalpie"/>
          <w:b/>
          <w:szCs w:val="20"/>
        </w:rPr>
        <w:footnoteReference w:id="1"/>
      </w:r>
      <w:r w:rsidR="00355076" w:rsidRPr="003D49EB">
        <w:rPr>
          <w:b/>
          <w:szCs w:val="20"/>
        </w:rPr>
        <w:t xml:space="preserve"> </w:t>
      </w:r>
    </w:p>
    <w:p w14:paraId="7A7DF809" w14:textId="77777777" w:rsidR="00355076" w:rsidRPr="003D49EB" w:rsidRDefault="00355076" w:rsidP="009A4683">
      <w:pPr>
        <w:spacing w:after="100" w:afterAutospacing="1"/>
        <w:rPr>
          <w:rFonts w:eastAsia="Calibri"/>
          <w:szCs w:val="20"/>
        </w:rPr>
      </w:pPr>
      <w:r w:rsidRPr="003D49EB">
        <w:rPr>
          <w:rFonts w:eastAsia="Calibri"/>
          <w:szCs w:val="20"/>
        </w:rPr>
        <w:t>66.</w:t>
      </w:r>
      <w:r w:rsidRPr="003D49EB">
        <w:rPr>
          <w:rFonts w:eastAsia="Calibri"/>
          <w:szCs w:val="20"/>
        </w:rPr>
        <w:tab/>
        <w:t xml:space="preserve">La Corte da por probado con las declaraciones de los testigos presenciales, que el señor Castillo Páez, después de ser detenido por agentes de la Policía fue introducido en la maletera del vehículo oficial </w:t>
      </w:r>
      <w:r w:rsidR="004D3C4E" w:rsidRPr="003D49EB">
        <w:rPr>
          <w:rFonts w:eastAsia="Calibri"/>
          <w:szCs w:val="20"/>
        </w:rPr>
        <w:t>[...].</w:t>
      </w:r>
      <w:r w:rsidRPr="003D49EB">
        <w:rPr>
          <w:rFonts w:eastAsia="Calibri"/>
          <w:szCs w:val="20"/>
        </w:rPr>
        <w:t>Lo anterior constituye una infracción al artículo 5 de la Convención que tutela la integridad personal, ya que, aún cuando no hubiesen existido otros maltratos físicos o de otra índole, esa acción por sí sola debe considerarse claramente contraria al respeto debido a la dignidad inherente al ser humano.</w:t>
      </w:r>
    </w:p>
    <w:p w14:paraId="4DA15F57" w14:textId="08414E11" w:rsidR="00A86983" w:rsidRPr="003D49EB" w:rsidRDefault="006A660B" w:rsidP="009A4683">
      <w:pPr>
        <w:spacing w:after="100" w:afterAutospacing="1"/>
        <w:rPr>
          <w:b/>
          <w:szCs w:val="20"/>
        </w:rPr>
      </w:pPr>
      <w:r w:rsidRPr="006A660B">
        <w:rPr>
          <w:b/>
          <w:szCs w:val="20"/>
        </w:rPr>
        <w:t>Corte IDH. Caso Loayza Tamayo Vs. Perú. Fondo. Sentencia de 17 de septiembre de 1997. Serie C No. 33</w:t>
      </w:r>
      <w:r w:rsidRPr="003D49EB">
        <w:rPr>
          <w:b/>
          <w:szCs w:val="20"/>
        </w:rPr>
        <w:t>.</w:t>
      </w:r>
      <w:r w:rsidR="00A86983" w:rsidRPr="003D49EB">
        <w:rPr>
          <w:rStyle w:val="Refdenotaalpie"/>
          <w:b/>
          <w:szCs w:val="20"/>
        </w:rPr>
        <w:footnoteReference w:id="2"/>
      </w:r>
      <w:r w:rsidR="00A86983" w:rsidRPr="003D49EB">
        <w:rPr>
          <w:b/>
          <w:szCs w:val="20"/>
        </w:rPr>
        <w:t xml:space="preserve"> </w:t>
      </w:r>
    </w:p>
    <w:p w14:paraId="42D36000" w14:textId="77777777" w:rsidR="00A86983" w:rsidRPr="003D49EB" w:rsidRDefault="00A86983" w:rsidP="009A4683">
      <w:pPr>
        <w:spacing w:after="100" w:afterAutospacing="1"/>
        <w:rPr>
          <w:rFonts w:eastAsia="Calibri"/>
          <w:szCs w:val="20"/>
        </w:rPr>
      </w:pPr>
      <w:r w:rsidRPr="003D49EB">
        <w:rPr>
          <w:rFonts w:eastAsia="Calibri"/>
          <w:szCs w:val="20"/>
        </w:rPr>
        <w:t>57.</w:t>
      </w:r>
      <w:r w:rsidRPr="003D49EB">
        <w:rPr>
          <w:rFonts w:eastAsia="Calibri"/>
          <w:szCs w:val="20"/>
        </w:rPr>
        <w:tab/>
      </w:r>
      <w:r w:rsidR="00305729" w:rsidRPr="003D49EB">
        <w:rPr>
          <w:rFonts w:eastAsia="Calibri"/>
          <w:szCs w:val="20"/>
        </w:rPr>
        <w:t>[...]</w:t>
      </w:r>
      <w:r w:rsidRPr="003D49EB">
        <w:rPr>
          <w:rFonts w:eastAsia="Calibri"/>
          <w:szCs w:val="20"/>
        </w:rPr>
        <w:t xml:space="preserve"> Todo uso de la fuerza que no sea estrictamente necesario por el propio comportamiento de la persona detenida constituye un atentado a la dignidad humana [...] en violación del artículo 5 de la Convención Americana. </w:t>
      </w:r>
      <w:r w:rsidR="00305729" w:rsidRPr="003D49EB">
        <w:rPr>
          <w:rFonts w:eastAsia="Calibri"/>
          <w:szCs w:val="20"/>
        </w:rPr>
        <w:t>[...].</w:t>
      </w:r>
    </w:p>
    <w:p w14:paraId="78AA5A63" w14:textId="5100E448" w:rsidR="00355076" w:rsidRDefault="00355076" w:rsidP="009A4683">
      <w:pPr>
        <w:pStyle w:val="Ttulo2"/>
        <w:rPr>
          <w:rFonts w:eastAsia="Calibri"/>
        </w:rPr>
      </w:pPr>
      <w:bookmarkStart w:id="4" w:name="_Toc530497966"/>
      <w:bookmarkStart w:id="5" w:name="_Toc88914965"/>
      <w:r w:rsidRPr="003D49EB">
        <w:rPr>
          <w:rFonts w:eastAsia="Calibri"/>
        </w:rPr>
        <w:t>Diversas connotaciones de grado de la infracción a la integridad personal</w:t>
      </w:r>
      <w:bookmarkEnd w:id="4"/>
      <w:bookmarkEnd w:id="5"/>
    </w:p>
    <w:p w14:paraId="2A428DA7" w14:textId="77777777" w:rsidR="00C62A4E" w:rsidRPr="00C62A4E" w:rsidRDefault="00C62A4E" w:rsidP="00C62A4E">
      <w:pPr>
        <w:rPr>
          <w:rFonts w:eastAsia="Calibri"/>
          <w:lang w:val="es-CR"/>
        </w:rPr>
      </w:pPr>
    </w:p>
    <w:p w14:paraId="3A5A762F" w14:textId="702B1EA6" w:rsidR="006B74E6" w:rsidRPr="003D49EB" w:rsidRDefault="006A660B" w:rsidP="009A4683">
      <w:pPr>
        <w:spacing w:after="100" w:afterAutospacing="1"/>
        <w:rPr>
          <w:b/>
          <w:szCs w:val="20"/>
        </w:rPr>
      </w:pPr>
      <w:r w:rsidRPr="006A660B">
        <w:rPr>
          <w:b/>
          <w:szCs w:val="20"/>
        </w:rPr>
        <w:lastRenderedPageBreak/>
        <w:t>Corte IDH. Caso Loayza Tamayo Vs. Perú. Fondo. Sentencia de 17 de septiembre de 1997. Serie C No. 33</w:t>
      </w:r>
      <w:r w:rsidR="006B74E6" w:rsidRPr="003D49EB">
        <w:rPr>
          <w:b/>
          <w:szCs w:val="20"/>
        </w:rPr>
        <w:t xml:space="preserve">. </w:t>
      </w:r>
    </w:p>
    <w:p w14:paraId="3B74CA68" w14:textId="2C0AB612" w:rsidR="005C73B8" w:rsidRPr="003D49EB" w:rsidRDefault="006B74E6" w:rsidP="009A4683">
      <w:pPr>
        <w:spacing w:after="100" w:afterAutospacing="1"/>
        <w:ind w:left="-20" w:right="4"/>
        <w:rPr>
          <w:szCs w:val="20"/>
          <w:lang w:val="es-ES_tradnl"/>
        </w:rPr>
      </w:pPr>
      <w:r w:rsidRPr="003D49EB">
        <w:rPr>
          <w:rFonts w:eastAsia="Calibri"/>
          <w:szCs w:val="20"/>
        </w:rPr>
        <w:t>57.</w:t>
      </w:r>
      <w:r w:rsidRPr="003D49EB">
        <w:rPr>
          <w:rFonts w:eastAsia="Calibri"/>
          <w:szCs w:val="20"/>
        </w:rPr>
        <w:tab/>
        <w:t>La infracción del derecho a la integridad física y psíquica de las personas es una clase de violación que tiene diversas connotaciones de grado y que abarca desde la tortura hasta otro tipo de vejámenes o tratos crueles, inhumanos o degradantes cuyas secuelas físicas y psíquicas varían de intensidad según los factores endógenos y exógenos que deberán ser demostrados en cada situación concreta.</w:t>
      </w:r>
      <w:r w:rsidR="008B18CE" w:rsidRPr="003D49EB">
        <w:rPr>
          <w:rFonts w:eastAsia="Calibri"/>
          <w:szCs w:val="20"/>
        </w:rPr>
        <w:t xml:space="preserve"> </w:t>
      </w:r>
      <w:r w:rsidRPr="003D49EB">
        <w:rPr>
          <w:rFonts w:eastAsia="Calibri"/>
          <w:szCs w:val="20"/>
        </w:rPr>
        <w:t>La Corte Europea de Derechos Humanos ha manifestado que, aún en la ausencia de lesiones, los sufrimientos en el plano físico y moral, acompañados de turbaciones psíquicas durante los interrogatorios, pueden ser considerados como tratos inhumanos.</w:t>
      </w:r>
      <w:r w:rsidR="008B18CE" w:rsidRPr="003D49EB">
        <w:rPr>
          <w:rFonts w:eastAsia="Calibri"/>
          <w:szCs w:val="20"/>
        </w:rPr>
        <w:t xml:space="preserve"> </w:t>
      </w:r>
      <w:r w:rsidRPr="003D49EB">
        <w:rPr>
          <w:rFonts w:eastAsia="Calibri"/>
          <w:szCs w:val="20"/>
        </w:rPr>
        <w:t xml:space="preserve">El carácter degradante se expresa en un sentimiento de miedo, ansia e inferioridad con el fin de humillar, degradar y de romper la resistencia física y moral de la víctima (cf. </w:t>
      </w:r>
      <w:r w:rsidRPr="003D49EB">
        <w:rPr>
          <w:rFonts w:eastAsia="Calibri"/>
          <w:i/>
          <w:szCs w:val="20"/>
        </w:rPr>
        <w:t xml:space="preserve">Case of </w:t>
      </w:r>
      <w:proofErr w:type="spellStart"/>
      <w:r w:rsidRPr="003D49EB">
        <w:rPr>
          <w:rFonts w:eastAsia="Calibri"/>
          <w:i/>
          <w:szCs w:val="20"/>
        </w:rPr>
        <w:t>Ireland</w:t>
      </w:r>
      <w:proofErr w:type="spellEnd"/>
      <w:r w:rsidRPr="003D49EB">
        <w:rPr>
          <w:rFonts w:eastAsia="Calibri"/>
          <w:i/>
          <w:szCs w:val="20"/>
        </w:rPr>
        <w:t xml:space="preserve"> v. the United Kingdom</w:t>
      </w:r>
      <w:r w:rsidRPr="003D49EB">
        <w:rPr>
          <w:rFonts w:eastAsia="Calibri"/>
          <w:szCs w:val="20"/>
        </w:rPr>
        <w:t xml:space="preserve">, </w:t>
      </w:r>
      <w:proofErr w:type="spellStart"/>
      <w:r w:rsidRPr="003D49EB">
        <w:rPr>
          <w:rFonts w:eastAsia="Calibri"/>
          <w:szCs w:val="20"/>
        </w:rPr>
        <w:t>Judgment</w:t>
      </w:r>
      <w:proofErr w:type="spellEnd"/>
      <w:r w:rsidRPr="003D49EB">
        <w:rPr>
          <w:rFonts w:eastAsia="Calibri"/>
          <w:szCs w:val="20"/>
        </w:rPr>
        <w:t xml:space="preserve"> of 18 January 1978, Series A no. 25. párr. 167).</w:t>
      </w:r>
      <w:r w:rsidR="008B18CE" w:rsidRPr="003D49EB">
        <w:rPr>
          <w:rFonts w:eastAsia="Calibri"/>
          <w:szCs w:val="20"/>
        </w:rPr>
        <w:t xml:space="preserve"> </w:t>
      </w:r>
      <w:r w:rsidRPr="003D49EB">
        <w:rPr>
          <w:rFonts w:eastAsia="Calibri"/>
          <w:szCs w:val="20"/>
        </w:rPr>
        <w:t xml:space="preserve">Dicha situación es agravada por la vulnerabilidad de una persona ilegalmente detenida (cf. </w:t>
      </w:r>
      <w:r w:rsidRPr="003D49EB">
        <w:rPr>
          <w:rFonts w:eastAsia="Calibri"/>
          <w:i/>
          <w:szCs w:val="20"/>
        </w:rPr>
        <w:t xml:space="preserve">Case </w:t>
      </w:r>
      <w:proofErr w:type="spellStart"/>
      <w:r w:rsidRPr="003D49EB">
        <w:rPr>
          <w:rFonts w:eastAsia="Calibri"/>
          <w:i/>
          <w:szCs w:val="20"/>
        </w:rPr>
        <w:t>Ribitsch</w:t>
      </w:r>
      <w:proofErr w:type="spellEnd"/>
      <w:r w:rsidRPr="003D49EB">
        <w:rPr>
          <w:rFonts w:eastAsia="Calibri"/>
          <w:i/>
          <w:szCs w:val="20"/>
        </w:rPr>
        <w:t xml:space="preserve"> v. Austria</w:t>
      </w:r>
      <w:r w:rsidRPr="003D49EB">
        <w:rPr>
          <w:rFonts w:eastAsia="Calibri"/>
          <w:szCs w:val="20"/>
        </w:rPr>
        <w:t xml:space="preserve">, </w:t>
      </w:r>
      <w:proofErr w:type="spellStart"/>
      <w:r w:rsidRPr="003D49EB">
        <w:rPr>
          <w:rFonts w:eastAsia="Calibri"/>
          <w:szCs w:val="20"/>
        </w:rPr>
        <w:t>Judgment</w:t>
      </w:r>
      <w:proofErr w:type="spellEnd"/>
      <w:r w:rsidRPr="003D49EB">
        <w:rPr>
          <w:rFonts w:eastAsia="Calibri"/>
          <w:szCs w:val="20"/>
        </w:rPr>
        <w:t xml:space="preserve"> of 4 </w:t>
      </w:r>
      <w:proofErr w:type="spellStart"/>
      <w:r w:rsidRPr="003D49EB">
        <w:rPr>
          <w:rFonts w:eastAsia="Calibri"/>
          <w:szCs w:val="20"/>
        </w:rPr>
        <w:t>December</w:t>
      </w:r>
      <w:proofErr w:type="spellEnd"/>
      <w:r w:rsidRPr="003D49EB">
        <w:rPr>
          <w:rFonts w:eastAsia="Calibri"/>
          <w:szCs w:val="20"/>
        </w:rPr>
        <w:t xml:space="preserve"> 1995, Series A no. 336, párr. 36).</w:t>
      </w:r>
      <w:r w:rsidR="008B18CE" w:rsidRPr="003D49EB">
        <w:rPr>
          <w:rFonts w:eastAsia="Calibri"/>
          <w:szCs w:val="20"/>
        </w:rPr>
        <w:t xml:space="preserve"> </w:t>
      </w:r>
      <w:r w:rsidRPr="003D49EB">
        <w:rPr>
          <w:rFonts w:eastAsia="Calibri"/>
          <w:szCs w:val="20"/>
        </w:rPr>
        <w:t xml:space="preserve">Todo uso de la fuerza que no sea estrictamente necesario por el propio comportamiento de la persona detenida constituye un atentado a la dignidad humana </w:t>
      </w:r>
      <w:r w:rsidR="004D3C4E" w:rsidRPr="003D49EB">
        <w:rPr>
          <w:rFonts w:eastAsia="Calibri"/>
          <w:szCs w:val="20"/>
        </w:rPr>
        <w:t>[...]</w:t>
      </w:r>
      <w:r w:rsidRPr="003D49EB">
        <w:rPr>
          <w:rFonts w:eastAsia="Calibri"/>
          <w:szCs w:val="20"/>
        </w:rPr>
        <w:t xml:space="preserve"> en violación del artículo 5 de la Convención Americana.</w:t>
      </w:r>
      <w:r w:rsidR="008B18CE" w:rsidRPr="003D49EB">
        <w:rPr>
          <w:rFonts w:eastAsia="Calibri"/>
          <w:szCs w:val="20"/>
        </w:rPr>
        <w:t xml:space="preserve"> </w:t>
      </w:r>
      <w:r w:rsidRPr="003D49EB">
        <w:rPr>
          <w:rFonts w:eastAsia="Calibri"/>
          <w:szCs w:val="20"/>
        </w:rPr>
        <w:t>Las necesidades de la investigación y las dificultades innegables del combate al terrorismo no deben acarrear restricciones a la protección de la integridad física de la persona.</w:t>
      </w:r>
      <w:r w:rsidR="00A86983" w:rsidRPr="003D49EB">
        <w:rPr>
          <w:rFonts w:eastAsia="Calibri"/>
          <w:szCs w:val="20"/>
        </w:rPr>
        <w:t xml:space="preserve"> </w:t>
      </w:r>
      <w:r w:rsidR="00A86983" w:rsidRPr="003D49EB">
        <w:rPr>
          <w:rStyle w:val="EnelmismoCar"/>
          <w:rFonts w:eastAsia="Calibri"/>
        </w:rPr>
        <w:t xml:space="preserve">En </w:t>
      </w:r>
      <w:proofErr w:type="spellStart"/>
      <w:r w:rsidR="00A86983" w:rsidRPr="003D49EB">
        <w:rPr>
          <w:rStyle w:val="EnelmismoCar"/>
          <w:rFonts w:eastAsia="Calibri"/>
        </w:rPr>
        <w:t>en</w:t>
      </w:r>
      <w:proofErr w:type="spellEnd"/>
      <w:r w:rsidR="00A86983" w:rsidRPr="003D49EB">
        <w:rPr>
          <w:rStyle w:val="EnelmismoCar"/>
          <w:rFonts w:eastAsia="Calibri"/>
        </w:rPr>
        <w:t xml:space="preserve"> mismo sentido: </w:t>
      </w:r>
      <w:r w:rsidR="00B14EA7" w:rsidRPr="003D49EB">
        <w:rPr>
          <w:rStyle w:val="EnelmismoCar"/>
        </w:rPr>
        <w:t xml:space="preserve">Caso </w:t>
      </w:r>
      <w:proofErr w:type="spellStart"/>
      <w:r w:rsidR="00B14EA7" w:rsidRPr="003D49EB">
        <w:rPr>
          <w:rStyle w:val="EnelmismoCar"/>
        </w:rPr>
        <w:t>Caesar</w:t>
      </w:r>
      <w:proofErr w:type="spellEnd"/>
      <w:r w:rsidR="00B14EA7" w:rsidRPr="003D49EB">
        <w:rPr>
          <w:rStyle w:val="EnelmismoCar"/>
        </w:rPr>
        <w:t xml:space="preserve"> Vs. Trinidad y Tobago. Fondo, Reparaciones y Costas. Sentencia 11 de marzo 2005,</w:t>
      </w:r>
      <w:r w:rsidR="008B18CE" w:rsidRPr="003D49EB">
        <w:rPr>
          <w:rStyle w:val="EnelmismoCar"/>
        </w:rPr>
        <w:t xml:space="preserve"> </w:t>
      </w:r>
      <w:r w:rsidR="00B14EA7" w:rsidRPr="003D49EB">
        <w:rPr>
          <w:rStyle w:val="EnelmismoCar"/>
        </w:rPr>
        <w:t>párr 69.</w:t>
      </w:r>
      <w:r w:rsidR="008B18CE" w:rsidRPr="003D49EB">
        <w:rPr>
          <w:b/>
          <w:i/>
          <w:noProof/>
          <w:szCs w:val="20"/>
          <w:lang w:val="nl-NL"/>
        </w:rPr>
        <w:t xml:space="preserve"> </w:t>
      </w:r>
    </w:p>
    <w:p w14:paraId="0A85CFC0" w14:textId="3684556D" w:rsidR="005C73B8" w:rsidRPr="003D49EB" w:rsidRDefault="006E7A90" w:rsidP="009A4683">
      <w:pPr>
        <w:spacing w:after="100" w:afterAutospacing="1"/>
        <w:rPr>
          <w:b/>
          <w:szCs w:val="20"/>
        </w:rPr>
      </w:pPr>
      <w:r w:rsidRPr="006E7A90">
        <w:rPr>
          <w:b/>
          <w:szCs w:val="20"/>
        </w:rPr>
        <w:t xml:space="preserve">Corte IDH. Caso </w:t>
      </w:r>
      <w:proofErr w:type="spellStart"/>
      <w:r w:rsidRPr="006E7A90">
        <w:rPr>
          <w:b/>
          <w:szCs w:val="20"/>
        </w:rPr>
        <w:t>Ximenes</w:t>
      </w:r>
      <w:proofErr w:type="spellEnd"/>
      <w:r w:rsidRPr="006E7A90">
        <w:rPr>
          <w:b/>
          <w:szCs w:val="20"/>
        </w:rPr>
        <w:t xml:space="preserve"> </w:t>
      </w:r>
      <w:proofErr w:type="spellStart"/>
      <w:r w:rsidRPr="006E7A90">
        <w:rPr>
          <w:b/>
          <w:szCs w:val="20"/>
        </w:rPr>
        <w:t>Lopes</w:t>
      </w:r>
      <w:proofErr w:type="spellEnd"/>
      <w:r w:rsidRPr="006E7A90">
        <w:rPr>
          <w:b/>
          <w:szCs w:val="20"/>
        </w:rPr>
        <w:t xml:space="preserve"> Vs. Brasil. Sentencia de 4 de julio de 2006. Serie C No. 149.</w:t>
      </w:r>
      <w:r w:rsidR="002C7F1B" w:rsidRPr="003D49EB">
        <w:rPr>
          <w:rStyle w:val="Refdenotaalpie"/>
          <w:b/>
          <w:szCs w:val="20"/>
        </w:rPr>
        <w:footnoteReference w:id="3"/>
      </w:r>
      <w:r w:rsidR="005C73B8" w:rsidRPr="003D49EB">
        <w:rPr>
          <w:b/>
          <w:szCs w:val="20"/>
        </w:rPr>
        <w:t xml:space="preserve"> </w:t>
      </w:r>
    </w:p>
    <w:p w14:paraId="4A7FB5AB" w14:textId="18021679" w:rsidR="00D874BE" w:rsidRPr="003D49EB" w:rsidRDefault="005C73B8" w:rsidP="009A4683">
      <w:pPr>
        <w:pStyle w:val="Textonotaalfinal"/>
        <w:widowControl w:val="0"/>
        <w:tabs>
          <w:tab w:val="left" w:pos="810"/>
          <w:tab w:val="left" w:pos="1440"/>
          <w:tab w:val="left" w:pos="2160"/>
          <w:tab w:val="left" w:pos="2880"/>
          <w:tab w:val="left" w:pos="3600"/>
          <w:tab w:val="left" w:pos="4320"/>
          <w:tab w:val="left" w:pos="5760"/>
          <w:tab w:val="left" w:pos="6480"/>
          <w:tab w:val="left" w:pos="7200"/>
          <w:tab w:val="left" w:pos="7920"/>
        </w:tabs>
        <w:spacing w:after="100" w:afterAutospacing="1"/>
        <w:rPr>
          <w:rStyle w:val="EnelmismoCar"/>
        </w:rPr>
      </w:pPr>
      <w:r w:rsidRPr="003D49EB">
        <w:t>127.</w:t>
      </w:r>
      <w:r w:rsidRPr="003D49EB">
        <w:tab/>
        <w:t>La Corte ya ha establecido que “[la] infracción del derecho a la integridad física y psíquica de las personas es una clase de violación que tiene diversas connotaciones de grado y que abarca desde la tortura hasta otro tipo de vejámenes o tratos crueles, inhumanos o degradantes cuyas secuelas físicas y psíquicas varían de intensidad según los factores endógenos y exógenos que deberán ser demostrados en cada situación concreta”.</w:t>
      </w:r>
      <w:r w:rsidR="008B18CE" w:rsidRPr="003D49EB">
        <w:t xml:space="preserve"> </w:t>
      </w:r>
      <w:r w:rsidR="006E5C73">
        <w:rPr>
          <w:rStyle w:val="EnelmismoCar"/>
        </w:rPr>
        <w:t>En similar sentido, ver entre otros</w:t>
      </w:r>
      <w:r w:rsidR="00B14EA7" w:rsidRPr="003D49EB">
        <w:rPr>
          <w:rStyle w:val="EnelmismoCar"/>
        </w:rPr>
        <w:t xml:space="preserve">: </w:t>
      </w:r>
      <w:r w:rsidR="00211F53" w:rsidRPr="003D49EB">
        <w:rPr>
          <w:rStyle w:val="EnelmismoCar"/>
        </w:rPr>
        <w:t xml:space="preserve">Caso Castillo </w:t>
      </w:r>
      <w:proofErr w:type="spellStart"/>
      <w:r w:rsidR="00211F53" w:rsidRPr="003D49EB">
        <w:rPr>
          <w:rStyle w:val="EnelmismoCar"/>
        </w:rPr>
        <w:t>Petruzzi</w:t>
      </w:r>
      <w:proofErr w:type="spellEnd"/>
      <w:r w:rsidR="00211F53" w:rsidRPr="003D49EB">
        <w:rPr>
          <w:rStyle w:val="EnelmismoCar"/>
        </w:rPr>
        <w:t xml:space="preserve"> y otros Vs. Perú. Fondo, Reparaciones y Costas. Sentencia de 30 de mayo de 1999, párr 196; </w:t>
      </w:r>
      <w:r w:rsidR="00B14EA7" w:rsidRPr="003D49EB">
        <w:rPr>
          <w:rStyle w:val="EnelmismoCar"/>
        </w:rPr>
        <w:t>Caso Masacres de El Mozote y lugares aledaños Vs. El Salvador. Fondo, Reparaciones y Costas. Sentencia de 25 de octubre de 2012, párr. 147; Caso Norín Catrimán y otros (Dirigentes, miembros y activista del Pueblo Indígena Mapuche) Vs. Chile. Fondo, Reparaciones y Costas. Sentencia de 29 de mayo de 2014, párr 388.</w:t>
      </w:r>
      <w:r w:rsidR="00B14EA7" w:rsidRPr="003D49EB">
        <w:rPr>
          <w:b/>
        </w:rPr>
        <w:t xml:space="preserve"> </w:t>
      </w:r>
      <w:r w:rsidRPr="003D49EB">
        <w:t xml:space="preserve">Es decir, las características personales de una supuesta víctima de tortura o tratos crueles, inhumanos o degradantes, deben ser tomadas en cuenta al momento de determinar si la integridad personal fue vulnerada, ya que tales características pueden cambiar la percepción de la realidad del individuo, y por ende, incrementar el sufrimiento y el sentido de humillación cuando son sometidas a ciertos tratamientos. </w:t>
      </w:r>
      <w:r w:rsidR="006E5C73">
        <w:rPr>
          <w:rStyle w:val="EnelmismoCar"/>
        </w:rPr>
        <w:t>En similar sentido, ver entre otros</w:t>
      </w:r>
      <w:r w:rsidR="00D874BE" w:rsidRPr="003D49EB">
        <w:rPr>
          <w:rStyle w:val="EnelmismoCar"/>
        </w:rPr>
        <w:t xml:space="preserve">: Caso Familia Barrios vs. Venezuela. </w:t>
      </w:r>
      <w:r w:rsidR="002C7F1B" w:rsidRPr="003D49EB">
        <w:rPr>
          <w:rStyle w:val="EnelmismoCar"/>
        </w:rPr>
        <w:t xml:space="preserve">Excepción Preliminar, Fondo, Reparaciones y Costas. </w:t>
      </w:r>
      <w:r w:rsidR="00D874BE" w:rsidRPr="003D49EB">
        <w:rPr>
          <w:rStyle w:val="EnelmismoCar"/>
        </w:rPr>
        <w:t>Sent</w:t>
      </w:r>
      <w:r w:rsidR="002C7F1B" w:rsidRPr="003D49EB">
        <w:rPr>
          <w:rStyle w:val="EnelmismoCar"/>
        </w:rPr>
        <w:t>encia de 24 de noviembre de 2011</w:t>
      </w:r>
      <w:r w:rsidR="00D874BE" w:rsidRPr="003D49EB">
        <w:rPr>
          <w:rStyle w:val="EnelmismoCar"/>
        </w:rPr>
        <w:t>, párr. 52; Caso Vélez Restrepo y Familiares Vs. Colombia. Excepción Preliminar, Fondo, Reparaciones y Costas. Sentencia de 3 de septiembre de 2012</w:t>
      </w:r>
      <w:r w:rsidR="002700DA" w:rsidRPr="003D49EB">
        <w:rPr>
          <w:rStyle w:val="EnelmismoCar"/>
        </w:rPr>
        <w:t>, párr. 176; Caso J. Vs. Perú. Excepción Preliminar, Fondo, Reparaciones y Costas. Sentencia de 27 de noviembre de 2013, párr 362</w:t>
      </w:r>
      <w:r w:rsidR="00973224" w:rsidRPr="003D49EB">
        <w:rPr>
          <w:rStyle w:val="EnelmismoCar"/>
        </w:rPr>
        <w:t xml:space="preserve">; Caso </w:t>
      </w:r>
      <w:proofErr w:type="spellStart"/>
      <w:r w:rsidR="00973224" w:rsidRPr="003D49EB">
        <w:rPr>
          <w:rStyle w:val="EnelmismoCar"/>
        </w:rPr>
        <w:t>Quispialaya</w:t>
      </w:r>
      <w:proofErr w:type="spellEnd"/>
      <w:r w:rsidR="00973224" w:rsidRPr="003D49EB">
        <w:rPr>
          <w:rStyle w:val="EnelmismoCar"/>
        </w:rPr>
        <w:t xml:space="preserve"> </w:t>
      </w:r>
      <w:proofErr w:type="spellStart"/>
      <w:r w:rsidR="00973224" w:rsidRPr="003D49EB">
        <w:rPr>
          <w:rStyle w:val="EnelmismoCar"/>
        </w:rPr>
        <w:t>Vilcapoma</w:t>
      </w:r>
      <w:proofErr w:type="spellEnd"/>
      <w:r w:rsidR="00973224" w:rsidRPr="003D49EB">
        <w:rPr>
          <w:rStyle w:val="EnelmismoCar"/>
        </w:rPr>
        <w:t xml:space="preserve"> Vs. Perú. Excepciones Preliminares, Fondo, Reparaciones y Costas. </w:t>
      </w:r>
      <w:r w:rsidR="00973224" w:rsidRPr="003D49EB">
        <w:rPr>
          <w:rStyle w:val="EnelmismoCar"/>
        </w:rPr>
        <w:lastRenderedPageBreak/>
        <w:t>Sentencia de 23 de noviembre de 2015, párr. 127</w:t>
      </w:r>
      <w:r w:rsidR="00507916" w:rsidRPr="003D49EB">
        <w:rPr>
          <w:rStyle w:val="EnelmismoCar"/>
        </w:rPr>
        <w:t>.</w:t>
      </w:r>
    </w:p>
    <w:p w14:paraId="20692E73" w14:textId="576A294D" w:rsidR="00D874BE" w:rsidRPr="003D49EB" w:rsidRDefault="00D874BE" w:rsidP="009A4683">
      <w:pPr>
        <w:autoSpaceDE w:val="0"/>
        <w:autoSpaceDN w:val="0"/>
        <w:adjustRightInd w:val="0"/>
        <w:spacing w:after="100" w:afterAutospacing="1"/>
        <w:rPr>
          <w:b/>
          <w:bCs/>
          <w:szCs w:val="20"/>
          <w:shd w:val="clear" w:color="auto" w:fill="FFFFFF"/>
        </w:rPr>
      </w:pPr>
      <w:r w:rsidRPr="003D49EB">
        <w:rPr>
          <w:b/>
          <w:bCs/>
          <w:szCs w:val="20"/>
          <w:shd w:val="clear" w:color="auto" w:fill="FFFFFF"/>
        </w:rPr>
        <w:t>Caso Masacre de Santo Domingo Vs. Colombia. Excepciones Preliminares, Fondo y Reparaciones. Sentencia de 30 de noviembre de 2012</w:t>
      </w:r>
      <w:r w:rsidR="00241092" w:rsidRPr="003D49EB">
        <w:rPr>
          <w:b/>
          <w:bCs/>
          <w:szCs w:val="20"/>
          <w:shd w:val="clear" w:color="auto" w:fill="FFFFFF"/>
        </w:rPr>
        <w:t>. Serie C No. 259.</w:t>
      </w:r>
      <w:r w:rsidR="002C7F1B" w:rsidRPr="003D49EB">
        <w:rPr>
          <w:rStyle w:val="Refdenotaalpie"/>
          <w:b/>
          <w:bCs/>
          <w:szCs w:val="20"/>
          <w:shd w:val="clear" w:color="auto" w:fill="FFFFFF"/>
        </w:rPr>
        <w:footnoteReference w:id="4"/>
      </w:r>
      <w:r w:rsidRPr="003D49EB">
        <w:rPr>
          <w:b/>
          <w:bCs/>
          <w:szCs w:val="20"/>
          <w:shd w:val="clear" w:color="auto" w:fill="FFFFFF"/>
        </w:rPr>
        <w:t xml:space="preserve"> </w:t>
      </w:r>
    </w:p>
    <w:p w14:paraId="7E27B6A2" w14:textId="57F26DEF" w:rsidR="00304500" w:rsidRPr="003D49EB" w:rsidRDefault="00D874BE" w:rsidP="009A4683">
      <w:pPr>
        <w:spacing w:after="100" w:afterAutospacing="1"/>
        <w:rPr>
          <w:b/>
          <w:bCs/>
          <w:i/>
          <w:szCs w:val="20"/>
          <w:shd w:val="clear" w:color="auto" w:fill="FFFFFF"/>
        </w:rPr>
      </w:pPr>
      <w:r w:rsidRPr="003D49EB">
        <w:rPr>
          <w:rFonts w:eastAsia="Times"/>
          <w:szCs w:val="20"/>
        </w:rPr>
        <w:t>191.</w:t>
      </w:r>
      <w:r w:rsidRPr="003D49EB">
        <w:rPr>
          <w:rFonts w:eastAsia="Times"/>
          <w:szCs w:val="20"/>
        </w:rPr>
        <w:tab/>
      </w:r>
      <w:r w:rsidR="0029681D" w:rsidRPr="003D49EB">
        <w:rPr>
          <w:rFonts w:eastAsia="Times"/>
          <w:szCs w:val="20"/>
        </w:rPr>
        <w:t xml:space="preserve">[…] </w:t>
      </w:r>
      <w:r w:rsidR="00305729" w:rsidRPr="003D49EB">
        <w:rPr>
          <w:rFonts w:eastAsia="Calibri"/>
          <w:szCs w:val="20"/>
        </w:rPr>
        <w:t>[L]</w:t>
      </w:r>
      <w:r w:rsidRPr="003D49EB">
        <w:rPr>
          <w:rFonts w:cs="Verdana"/>
          <w:szCs w:val="20"/>
        </w:rPr>
        <w:t xml:space="preserve">a Convención Americana reconoce expresamente el derecho a la integridad personal, física y psíquica, cuya infracción “es una clase de violación que tiene diversas connotaciones de grado y […] cuyas secuelas físicas y psíquicas varían de intensidad según los factores endógenos y exógenos que deberán ser demostrados en cada situación concreta”. Además, </w:t>
      </w:r>
      <w:r w:rsidRPr="003D49EB">
        <w:rPr>
          <w:szCs w:val="20"/>
        </w:rPr>
        <w:t xml:space="preserve">la Corte ha sostenido en otras oportunidades que la mera amenaza de que ocurra una conducta prohibida por el artículo 5 de la Convención, cuando sea suficientemente real e inminente, puede en sí misma estar en conflicto con el derecho a la integridad personal. </w:t>
      </w:r>
      <w:r w:rsidR="006E5C73">
        <w:rPr>
          <w:rStyle w:val="EnelmismoCar"/>
        </w:rPr>
        <w:t>En similar sentido, ver entre otros</w:t>
      </w:r>
      <w:r w:rsidRPr="003D49EB">
        <w:rPr>
          <w:rStyle w:val="EnelmismoCar"/>
        </w:rPr>
        <w:t>: Caso de las Comunidades Afrodescendientes Desplazadas de la Cuenca del Río Cacarica (Operación Génesis) Vs. Colombia. Excepciones Preliminares, Fondo, Reparaciones y Costas. Sentencia de 20 de nov</w:t>
      </w:r>
      <w:r w:rsidR="002C7F1B" w:rsidRPr="003D49EB">
        <w:rPr>
          <w:rStyle w:val="EnelmismoCar"/>
        </w:rPr>
        <w:t xml:space="preserve">iembre de 2013, </w:t>
      </w:r>
      <w:r w:rsidRPr="003D49EB">
        <w:rPr>
          <w:rStyle w:val="EnelmismoCar"/>
        </w:rPr>
        <w:t>párr. 218.</w:t>
      </w:r>
    </w:p>
    <w:p w14:paraId="54966248" w14:textId="0EAE308A" w:rsidR="00602404" w:rsidRPr="003D49EB" w:rsidRDefault="00D764FE" w:rsidP="009A4683">
      <w:pPr>
        <w:pStyle w:val="Prrafodelista"/>
        <w:spacing w:after="100" w:afterAutospacing="1"/>
        <w:ind w:left="0"/>
        <w:rPr>
          <w:rFonts w:eastAsiaTheme="minorHAnsi" w:cstheme="minorBidi"/>
          <w:b/>
          <w:bCs/>
          <w:szCs w:val="20"/>
          <w:shd w:val="clear" w:color="auto" w:fill="FFFFFF"/>
        </w:rPr>
      </w:pPr>
      <w:r w:rsidRPr="00A074E5">
        <w:rPr>
          <w:b/>
          <w:bCs/>
          <w:szCs w:val="20"/>
        </w:rPr>
        <w:t>Corte IDH. Caso Norín Catrimán y otros (Dirigentes, Miembros y Activista del Pueblo Indígena Mapuche) Vs. Chile. Fondo, Reparaciones y Costas. Sentencia de 29 de mayo de 2014. Serie C No. 279</w:t>
      </w:r>
      <w:r w:rsidR="00066A0C" w:rsidRPr="003D49EB">
        <w:rPr>
          <w:rStyle w:val="Textoennegrita"/>
          <w:color w:val="auto"/>
          <w:szCs w:val="20"/>
          <w:shd w:val="clear" w:color="auto" w:fill="FFFFFF"/>
        </w:rPr>
        <w:t>.</w:t>
      </w:r>
      <w:r w:rsidRPr="00A074E5">
        <w:rPr>
          <w:rStyle w:val="Refdenotaalpie"/>
          <w:b/>
          <w:bCs/>
        </w:rPr>
        <w:footnoteReference w:id="5"/>
      </w:r>
    </w:p>
    <w:p w14:paraId="284540B2" w14:textId="41CDF827" w:rsidR="00D874BE" w:rsidRPr="003D49EB" w:rsidRDefault="00602404" w:rsidP="009A4683">
      <w:pPr>
        <w:pStyle w:val="Estilo2"/>
        <w:tabs>
          <w:tab w:val="clear" w:pos="567"/>
          <w:tab w:val="clear" w:pos="1134"/>
          <w:tab w:val="clear" w:pos="4767"/>
          <w:tab w:val="left" w:pos="142"/>
        </w:tabs>
        <w:spacing w:after="100" w:afterAutospacing="1"/>
        <w:ind w:right="-142" w:firstLine="0"/>
      </w:pPr>
      <w:r w:rsidRPr="003D49EB">
        <w:t>388.</w:t>
      </w:r>
      <w:r w:rsidRPr="003D49EB">
        <w:tab/>
      </w:r>
      <w:r w:rsidR="000B73F6" w:rsidRPr="003D49EB">
        <w:t xml:space="preserve">La Corte ha establecido que “la infracción del derecho a la integridad física y psíquica de las personas es una clase de violación que tiene diversas connotaciones de grado y que abarca desde la tortura hasta otro tipo de vejámenes o tratos crueles, inhumanos o degradantes, cuyas secuelas físicas y psíquicas varían de intensidad según los factores endógenos y exógenos que deberán ser demostrados en cada </w:t>
      </w:r>
      <w:r w:rsidR="000B73F6" w:rsidRPr="003D49EB">
        <w:lastRenderedPageBreak/>
        <w:t xml:space="preserve">situación concreta”. </w:t>
      </w:r>
      <w:r w:rsidRPr="003D49EB">
        <w:t>Los primeros se refieren a las características del trato, tales como la duración, el método utilizado o el modo en que fueron infligidos los padecimientos, así como los efectos físicos y mentales que éstos pueden causar. Los segundos remiten a las condiciones de la persona que padece dichos sufrimientos, entre ellos la edad, el sexo, el estado de salud, así como toda otra circunstancia personal.</w:t>
      </w:r>
    </w:p>
    <w:p w14:paraId="03CFACA8" w14:textId="2A3506F6" w:rsidR="000F1EB8" w:rsidRPr="003D49EB" w:rsidRDefault="000F1EB8" w:rsidP="009A4683">
      <w:pPr>
        <w:pStyle w:val="Estilo2"/>
        <w:tabs>
          <w:tab w:val="clear" w:pos="567"/>
          <w:tab w:val="clear" w:pos="1134"/>
          <w:tab w:val="clear" w:pos="4767"/>
          <w:tab w:val="left" w:pos="142"/>
        </w:tabs>
        <w:spacing w:after="100" w:afterAutospacing="1"/>
        <w:ind w:right="-142" w:firstLine="0"/>
        <w:rPr>
          <w:b/>
        </w:rPr>
      </w:pPr>
      <w:r w:rsidRPr="003D49EB">
        <w:rPr>
          <w:b/>
        </w:rPr>
        <w:t>Corte IDH. Caso Ramírez Escobar y otros Vs. Guatemala. Fondo, Reparaciones y Costas. Sentencia de 9 de marzo de 2018</w:t>
      </w:r>
      <w:r w:rsidR="00114134" w:rsidRPr="003D49EB">
        <w:rPr>
          <w:b/>
        </w:rPr>
        <w:t>. Serie C No. 351.</w:t>
      </w:r>
      <w:r w:rsidR="00D764FE" w:rsidRPr="00A074E5">
        <w:rPr>
          <w:rStyle w:val="Refdenotaalpie"/>
          <w:b/>
          <w:bCs/>
        </w:rPr>
        <w:footnoteReference w:id="6"/>
      </w:r>
    </w:p>
    <w:p w14:paraId="511F6127" w14:textId="38CF3909" w:rsidR="000F1EB8" w:rsidRPr="003D49EB" w:rsidRDefault="000F1EB8" w:rsidP="009A4683">
      <w:pPr>
        <w:pStyle w:val="Estilo2"/>
        <w:tabs>
          <w:tab w:val="clear" w:pos="567"/>
          <w:tab w:val="clear" w:pos="1134"/>
          <w:tab w:val="clear" w:pos="4767"/>
          <w:tab w:val="left" w:pos="142"/>
        </w:tabs>
        <w:spacing w:after="100" w:afterAutospacing="1"/>
        <w:ind w:right="-142" w:firstLine="0"/>
      </w:pPr>
      <w:r w:rsidRPr="003D49EB">
        <w:t>365.</w:t>
      </w:r>
      <w:r w:rsidRPr="003D49EB">
        <w:tab/>
        <w:t xml:space="preserve">Este Tribunal concluyó que la declaración de abandono, internamiento en un centro de acogimiento residencial y adopción de los hermanos Ramírez constituyeron violaciones a la vida familiar, protección de la familia, libertad personal y derechos del niño </w:t>
      </w:r>
      <w:r w:rsidR="00632C28">
        <w:t>[...]</w:t>
      </w:r>
      <w:r w:rsidRPr="003D49EB">
        <w:t>. La Corte considera que el sufrimiento que genera la separación injustificada y permanente de una familia es tal que debe ser analizado dentro de una posible violación del derecho a la integridad personal de cada uno de los miembros de dicha familia. Este Tribunal ha señalado que la separación de niñas y niños de sus familias puede generar afectaciones específicas en su integridad personal de especial gravedad, las cuales pueden tener un impacto duradero</w:t>
      </w:r>
      <w:r w:rsidR="006A660B" w:rsidRPr="003D49EB">
        <w:t>.</w:t>
      </w:r>
    </w:p>
    <w:p w14:paraId="3BDEF0E1" w14:textId="77777777" w:rsidR="00C275C6" w:rsidRPr="003D49EB" w:rsidRDefault="00C275C6" w:rsidP="009A4683">
      <w:pPr>
        <w:pStyle w:val="Estilo2"/>
        <w:tabs>
          <w:tab w:val="clear" w:pos="567"/>
          <w:tab w:val="clear" w:pos="1134"/>
          <w:tab w:val="clear" w:pos="4767"/>
          <w:tab w:val="left" w:pos="142"/>
        </w:tabs>
        <w:spacing w:after="100" w:afterAutospacing="1"/>
        <w:ind w:right="-142" w:firstLine="0"/>
      </w:pPr>
      <w:r w:rsidRPr="003D49EB">
        <w:t>369.</w:t>
      </w:r>
      <w:r w:rsidRPr="003D49EB">
        <w:tab/>
        <w:t xml:space="preserve">En virtud de lo anterior, la Corte considera demostrado que los hechos de este caso también implicaron una violación del derecho a la integridad personal, consagrado en el artículo 5 de la Convención Americana, en relación con el artículo 1.1 de la misma, en perjuicio de Flor de María Ramírez Escobar, Gustavo Tobar Fajardo y </w:t>
      </w:r>
      <w:proofErr w:type="spellStart"/>
      <w:r w:rsidRPr="003D49EB">
        <w:t>Osmín</w:t>
      </w:r>
      <w:proofErr w:type="spellEnd"/>
      <w:r w:rsidRPr="003D49EB">
        <w:t xml:space="preserve"> Tobar Ramírez, así como en relación con el artículo 19 del mismo instrumento en perjuicio de este último.</w:t>
      </w:r>
    </w:p>
    <w:p w14:paraId="72CBCE2A" w14:textId="34224C49" w:rsidR="002D2ADC" w:rsidRPr="003D49EB" w:rsidRDefault="00C94D80" w:rsidP="009A4683">
      <w:pPr>
        <w:pStyle w:val="Caso"/>
      </w:pPr>
      <w:r w:rsidRPr="003D49EB">
        <w:t xml:space="preserve">Corte IDH. Caso </w:t>
      </w:r>
      <w:proofErr w:type="spellStart"/>
      <w:r w:rsidRPr="003D49EB">
        <w:t>Omeara</w:t>
      </w:r>
      <w:proofErr w:type="spellEnd"/>
      <w:r w:rsidRPr="003D49EB">
        <w:t xml:space="preserve"> Carrascal y otros Vs. Colombia. Fondo, Reparaciones y Costas. Sentencia de 21 de noviembre de 2018. Serie C No. 368.</w:t>
      </w:r>
      <w:r w:rsidR="007A630D" w:rsidRPr="003D49EB">
        <w:rPr>
          <w:rStyle w:val="Refdenotaalpie"/>
        </w:rPr>
        <w:footnoteReference w:id="7"/>
      </w:r>
    </w:p>
    <w:p w14:paraId="46BD87B1" w14:textId="6BF7B8F3" w:rsidR="00C94D80" w:rsidRPr="003D49EB" w:rsidRDefault="00C94D80" w:rsidP="009A4683">
      <w:pPr>
        <w:pStyle w:val="Estilo2"/>
        <w:tabs>
          <w:tab w:val="clear" w:pos="567"/>
          <w:tab w:val="clear" w:pos="1134"/>
          <w:tab w:val="clear" w:pos="4767"/>
          <w:tab w:val="left" w:pos="142"/>
        </w:tabs>
        <w:spacing w:after="100" w:afterAutospacing="1"/>
        <w:ind w:right="-142" w:firstLine="0"/>
      </w:pPr>
      <w:r w:rsidRPr="003D49EB">
        <w:lastRenderedPageBreak/>
        <w:t xml:space="preserve">193. Asimismo, la Corte recuerda que la </w:t>
      </w:r>
      <w:proofErr w:type="spellStart"/>
      <w:r w:rsidRPr="003D49EB">
        <w:t>violación</w:t>
      </w:r>
      <w:proofErr w:type="spellEnd"/>
      <w:r w:rsidRPr="003D49EB">
        <w:t xml:space="preserve"> del derecho a la integridad </w:t>
      </w:r>
      <w:proofErr w:type="spellStart"/>
      <w:r w:rsidRPr="003D49EB">
        <w:t>física</w:t>
      </w:r>
      <w:proofErr w:type="spellEnd"/>
      <w:r w:rsidRPr="003D49EB">
        <w:t xml:space="preserve"> y </w:t>
      </w:r>
      <w:proofErr w:type="spellStart"/>
      <w:r w:rsidRPr="003D49EB">
        <w:t>psíquica</w:t>
      </w:r>
      <w:proofErr w:type="spellEnd"/>
      <w:r w:rsidRPr="003D49EB">
        <w:t xml:space="preserve"> de las personas es una clase de </w:t>
      </w:r>
      <w:proofErr w:type="spellStart"/>
      <w:r w:rsidRPr="003D49EB">
        <w:t>violación</w:t>
      </w:r>
      <w:proofErr w:type="spellEnd"/>
      <w:r w:rsidRPr="003D49EB">
        <w:t xml:space="preserve"> que tiene diversas connotaciones de grado y que abarca desde la tortura hasta otro tipo de </w:t>
      </w:r>
      <w:proofErr w:type="spellStart"/>
      <w:r w:rsidRPr="003D49EB">
        <w:t>vejámenes</w:t>
      </w:r>
      <w:proofErr w:type="spellEnd"/>
      <w:r w:rsidRPr="003D49EB">
        <w:t xml:space="preserve"> como tratos crueles, inhumanos o degradantes, cuyas secuelas </w:t>
      </w:r>
      <w:proofErr w:type="spellStart"/>
      <w:r w:rsidRPr="003D49EB">
        <w:t>físicas</w:t>
      </w:r>
      <w:proofErr w:type="spellEnd"/>
      <w:r w:rsidRPr="003D49EB">
        <w:t xml:space="preserve"> y </w:t>
      </w:r>
      <w:proofErr w:type="spellStart"/>
      <w:r w:rsidRPr="003D49EB">
        <w:t>psíquicas</w:t>
      </w:r>
      <w:proofErr w:type="spellEnd"/>
      <w:r w:rsidRPr="003D49EB">
        <w:t xml:space="preserve"> </w:t>
      </w:r>
      <w:proofErr w:type="spellStart"/>
      <w:r w:rsidRPr="003D49EB">
        <w:t>varían</w:t>
      </w:r>
      <w:proofErr w:type="spellEnd"/>
      <w:r w:rsidRPr="003D49EB">
        <w:t xml:space="preserve"> de intensidad </w:t>
      </w:r>
      <w:proofErr w:type="spellStart"/>
      <w:r w:rsidRPr="003D49EB">
        <w:t>según</w:t>
      </w:r>
      <w:proofErr w:type="spellEnd"/>
      <w:r w:rsidRPr="003D49EB">
        <w:t xml:space="preserve"> los factores </w:t>
      </w:r>
      <w:proofErr w:type="spellStart"/>
      <w:r w:rsidRPr="003D49EB">
        <w:t>endógenos</w:t>
      </w:r>
      <w:proofErr w:type="spellEnd"/>
      <w:r w:rsidRPr="003D49EB">
        <w:t xml:space="preserve"> y </w:t>
      </w:r>
      <w:proofErr w:type="spellStart"/>
      <w:r w:rsidRPr="003D49EB">
        <w:t>exógenos</w:t>
      </w:r>
      <w:proofErr w:type="spellEnd"/>
      <w:r w:rsidRPr="003D49EB">
        <w:t xml:space="preserve"> que </w:t>
      </w:r>
      <w:proofErr w:type="spellStart"/>
      <w:r w:rsidRPr="003D49EB">
        <w:t>deberán</w:t>
      </w:r>
      <w:proofErr w:type="spellEnd"/>
      <w:r w:rsidRPr="003D49EB">
        <w:t xml:space="preserve"> ser demostrados en cada situación concreta. Es decir, las </w:t>
      </w:r>
      <w:proofErr w:type="spellStart"/>
      <w:r w:rsidRPr="003D49EB">
        <w:t>características</w:t>
      </w:r>
      <w:proofErr w:type="spellEnd"/>
      <w:r w:rsidRPr="003D49EB">
        <w:t xml:space="preserve"> personales de una supuesta </w:t>
      </w:r>
      <w:proofErr w:type="spellStart"/>
      <w:r w:rsidRPr="003D49EB">
        <w:t>víctima</w:t>
      </w:r>
      <w:proofErr w:type="spellEnd"/>
      <w:r w:rsidRPr="003D49EB">
        <w:t xml:space="preserve"> de tortura o tratos crueles, inhumanos o degradantes, deben ser tomadas en cuenta al momento de determinar si la integridad personal fue vulnerada, y por ende, incrementar el sufrimiento y el sentido de </w:t>
      </w:r>
      <w:proofErr w:type="spellStart"/>
      <w:r w:rsidRPr="003D49EB">
        <w:t>humillación</w:t>
      </w:r>
      <w:proofErr w:type="spellEnd"/>
      <w:r w:rsidRPr="003D49EB">
        <w:t xml:space="preserve"> cuando son sometidas a ciertos tratamientos. Asimismo, el Tribunal ha indicado que todo uso de la fuerza que no sea estrictamente necesario por el propio comportamiento de la persona detenida constituye un atentado a la dignidad humana en </w:t>
      </w:r>
      <w:proofErr w:type="spellStart"/>
      <w:r w:rsidRPr="003D49EB">
        <w:t>violación</w:t>
      </w:r>
      <w:proofErr w:type="spellEnd"/>
      <w:r w:rsidRPr="003D49EB">
        <w:t xml:space="preserve"> del artículo 5 de la Convención Americana.</w:t>
      </w:r>
    </w:p>
    <w:p w14:paraId="197F3465" w14:textId="4EB5B855" w:rsidR="007458EE" w:rsidRDefault="007458EE" w:rsidP="009A4683">
      <w:pPr>
        <w:pStyle w:val="Caso"/>
      </w:pPr>
      <w:r w:rsidRPr="003D49EB">
        <w:t>Corte IDH. Caso Vicky Hernández y otras Vs. Honduras. Fondo, Reparaciones y Costas. Sentencia de 26 de marzo de 2021. Serie C No. 422.</w:t>
      </w:r>
      <w:r w:rsidR="007A630D" w:rsidRPr="003D49EB">
        <w:rPr>
          <w:rStyle w:val="Refdenotaalpie"/>
        </w:rPr>
        <w:footnoteReference w:id="8"/>
      </w:r>
    </w:p>
    <w:p w14:paraId="2C6D808D" w14:textId="77777777" w:rsidR="003A3588" w:rsidRPr="003D49EB" w:rsidRDefault="003A3588" w:rsidP="009A4683">
      <w:pPr>
        <w:pStyle w:val="Caso"/>
      </w:pPr>
    </w:p>
    <w:p w14:paraId="332089D6" w14:textId="043390D1" w:rsidR="007458EE" w:rsidRPr="003D49EB" w:rsidRDefault="007458EE" w:rsidP="009A4683">
      <w:pPr>
        <w:pStyle w:val="Estilo2"/>
        <w:tabs>
          <w:tab w:val="clear" w:pos="567"/>
          <w:tab w:val="clear" w:pos="1134"/>
          <w:tab w:val="clear" w:pos="4767"/>
          <w:tab w:val="left" w:pos="142"/>
        </w:tabs>
        <w:spacing w:after="100" w:afterAutospacing="1"/>
        <w:ind w:right="-142" w:firstLine="0"/>
      </w:pPr>
      <w:r w:rsidRPr="003D49EB">
        <w:t xml:space="preserve">102. Por otra parte, en lo que respecta el derecho a la integridad personal de Vicky </w:t>
      </w:r>
      <w:proofErr w:type="spellStart"/>
      <w:r w:rsidRPr="003D49EB">
        <w:t>Hernández</w:t>
      </w:r>
      <w:proofErr w:type="spellEnd"/>
      <w:r w:rsidRPr="003D49EB">
        <w:t xml:space="preserve">, esta Corte constata que no fueron presentados alegatos </w:t>
      </w:r>
      <w:proofErr w:type="spellStart"/>
      <w:r w:rsidRPr="003D49EB">
        <w:t>autónomos</w:t>
      </w:r>
      <w:proofErr w:type="spellEnd"/>
      <w:r w:rsidRPr="003D49EB">
        <w:t xml:space="preserve"> por parte de la </w:t>
      </w:r>
      <w:proofErr w:type="spellStart"/>
      <w:r w:rsidRPr="003D49EB">
        <w:t>Comisión</w:t>
      </w:r>
      <w:proofErr w:type="spellEnd"/>
      <w:r w:rsidRPr="003D49EB">
        <w:t xml:space="preserve"> o de las representantes que se refieren a este derecho. Sin perjuicio de ello, consta que el cuerpo de Vicky </w:t>
      </w:r>
      <w:proofErr w:type="spellStart"/>
      <w:r w:rsidRPr="003D49EB">
        <w:t>Hernández</w:t>
      </w:r>
      <w:proofErr w:type="spellEnd"/>
      <w:r w:rsidRPr="003D49EB">
        <w:t xml:space="preserve"> mostraba unas heridas irregulares en su ojo izquierdo y la </w:t>
      </w:r>
      <w:proofErr w:type="spellStart"/>
      <w:r w:rsidRPr="003D49EB">
        <w:t>región</w:t>
      </w:r>
      <w:proofErr w:type="spellEnd"/>
      <w:r w:rsidRPr="003D49EB">
        <w:t xml:space="preserve"> frontal izquierda y una equimosis en su </w:t>
      </w:r>
      <w:proofErr w:type="spellStart"/>
      <w:r w:rsidRPr="003D49EB">
        <w:t>región</w:t>
      </w:r>
      <w:proofErr w:type="spellEnd"/>
      <w:r w:rsidRPr="003D49EB">
        <w:t xml:space="preserve"> palpebral. Asimismo, se encontraron indicios que </w:t>
      </w:r>
      <w:proofErr w:type="spellStart"/>
      <w:r w:rsidRPr="003D49EB">
        <w:t>podrían</w:t>
      </w:r>
      <w:proofErr w:type="spellEnd"/>
      <w:r w:rsidRPr="003D49EB">
        <w:t xml:space="preserve"> permitir concluir que pudo haber sido </w:t>
      </w:r>
      <w:proofErr w:type="spellStart"/>
      <w:r w:rsidRPr="003D49EB">
        <w:t>víctimas</w:t>
      </w:r>
      <w:proofErr w:type="spellEnd"/>
      <w:r w:rsidRPr="003D49EB">
        <w:t xml:space="preserve"> de violencia sexual en los momentos previos a su muerte. Esta Corte entiende que, por las circunstancias en las que acaecieron los hechos que culminaron con la muerte de Vicky </w:t>
      </w:r>
      <w:proofErr w:type="spellStart"/>
      <w:r w:rsidRPr="003D49EB">
        <w:t>Hernández</w:t>
      </w:r>
      <w:proofErr w:type="spellEnd"/>
      <w:r w:rsidRPr="003D49EB">
        <w:t xml:space="preserve">, </w:t>
      </w:r>
      <w:proofErr w:type="spellStart"/>
      <w:r w:rsidRPr="003D49EB">
        <w:t>ésta</w:t>
      </w:r>
      <w:proofErr w:type="spellEnd"/>
      <w:r w:rsidRPr="003D49EB">
        <w:t xml:space="preserve"> debe haber experimentado dolor y angustia en los momentos previos a su homicidio que permiten razonablemente inferir que impactaron su integridad </w:t>
      </w:r>
      <w:proofErr w:type="spellStart"/>
      <w:r w:rsidRPr="003D49EB">
        <w:t>física</w:t>
      </w:r>
      <w:proofErr w:type="spellEnd"/>
      <w:r w:rsidRPr="003D49EB">
        <w:t xml:space="preserve"> y moral en los </w:t>
      </w:r>
      <w:proofErr w:type="spellStart"/>
      <w:r w:rsidRPr="003D49EB">
        <w:t>términos</w:t>
      </w:r>
      <w:proofErr w:type="spellEnd"/>
      <w:r w:rsidRPr="003D49EB">
        <w:t xml:space="preserve"> del artículo 5.1 de la Convención Americana.</w:t>
      </w:r>
    </w:p>
    <w:p w14:paraId="0806501F" w14:textId="1658A3B5" w:rsidR="007A630D" w:rsidRPr="003D49EB" w:rsidRDefault="004B235E" w:rsidP="007A630D">
      <w:pPr>
        <w:pStyle w:val="Caso"/>
      </w:pPr>
      <w:r w:rsidRPr="003D49EB">
        <w:t>Corte IDH. Caso Guerrero, Molina y otros Vs. Venezuela. Fondo, Reparaciones y Costas. Sentencia de 3 de junio de 2021. Serie C No. 424.</w:t>
      </w:r>
      <w:r w:rsidR="00667E3D" w:rsidRPr="003D49EB">
        <w:rPr>
          <w:rStyle w:val="Refdenotaalpie"/>
        </w:rPr>
        <w:footnoteReference w:id="9"/>
      </w:r>
    </w:p>
    <w:p w14:paraId="56E27D5C" w14:textId="7FE97BBC" w:rsidR="007A630D" w:rsidRDefault="004B235E" w:rsidP="007A630D">
      <w:r w:rsidRPr="003D49EB">
        <w:lastRenderedPageBreak/>
        <w:t xml:space="preserve">112. La Corte ha explicado que la </w:t>
      </w:r>
      <w:proofErr w:type="spellStart"/>
      <w:r w:rsidRPr="003D49EB">
        <w:t>violación</w:t>
      </w:r>
      <w:proofErr w:type="spellEnd"/>
      <w:r w:rsidRPr="003D49EB">
        <w:t xml:space="preserve"> al derecho a la integridad personal puede tener distinta intensidad y producirse mediante la </w:t>
      </w:r>
      <w:proofErr w:type="spellStart"/>
      <w:r w:rsidRPr="003D49EB">
        <w:t>comisión</w:t>
      </w:r>
      <w:proofErr w:type="spellEnd"/>
      <w:r w:rsidRPr="003D49EB">
        <w:t xml:space="preserve"> de distintos tipos de </w:t>
      </w:r>
      <w:proofErr w:type="spellStart"/>
      <w:r w:rsidRPr="003D49EB">
        <w:t>vejámenes</w:t>
      </w:r>
      <w:proofErr w:type="spellEnd"/>
      <w:r w:rsidRPr="003D49EB">
        <w:t>, que abarcan desde la tortura hasta otro tipo de actos o tratos, que pueden resultar crueles, inhumanos o degradantes.</w:t>
      </w:r>
    </w:p>
    <w:p w14:paraId="3B3CC552" w14:textId="77777777" w:rsidR="003A3588" w:rsidRPr="003D49EB" w:rsidRDefault="003A3588" w:rsidP="007A630D"/>
    <w:p w14:paraId="594606E7" w14:textId="49F011E1" w:rsidR="004B235E" w:rsidRPr="003D49EB" w:rsidRDefault="004B235E" w:rsidP="009A4683">
      <w:r w:rsidRPr="003D49EB">
        <w:t>113. También ha entendido que es con el “</w:t>
      </w:r>
      <w:proofErr w:type="spellStart"/>
      <w:r w:rsidRPr="003D49EB">
        <w:t>máximo</w:t>
      </w:r>
      <w:proofErr w:type="spellEnd"/>
      <w:r w:rsidRPr="003D49EB">
        <w:t xml:space="preserve"> rigor” que debe efectuarse la “</w:t>
      </w:r>
      <w:proofErr w:type="spellStart"/>
      <w:r w:rsidRPr="003D49EB">
        <w:t>categorización</w:t>
      </w:r>
      <w:proofErr w:type="spellEnd"/>
      <w:r w:rsidRPr="003D49EB">
        <w:t xml:space="preserve">” de un acto como tortura, en tanto que </w:t>
      </w:r>
      <w:proofErr w:type="spellStart"/>
      <w:r w:rsidRPr="003D49EB">
        <w:t>ésta</w:t>
      </w:r>
      <w:proofErr w:type="spellEnd"/>
      <w:r w:rsidRPr="003D49EB">
        <w:t xml:space="preserve"> resulta “particularmente grave y reprochable” y presenta especificidades propias, pues la persona que la perpetra, en forma “deliberada[,] inflige un dolor o sufrimiento severo, o ejerce un </w:t>
      </w:r>
      <w:proofErr w:type="spellStart"/>
      <w:r w:rsidRPr="003D49EB">
        <w:t>método</w:t>
      </w:r>
      <w:proofErr w:type="spellEnd"/>
      <w:r w:rsidRPr="003D49EB">
        <w:t xml:space="preserve"> tendiente a anular la personalidad o disminuir la capacidad </w:t>
      </w:r>
      <w:proofErr w:type="spellStart"/>
      <w:r w:rsidRPr="003D49EB">
        <w:t>física</w:t>
      </w:r>
      <w:proofErr w:type="spellEnd"/>
      <w:r w:rsidRPr="003D49EB">
        <w:t xml:space="preserve"> o mental, en una </w:t>
      </w:r>
      <w:proofErr w:type="spellStart"/>
      <w:r w:rsidRPr="003D49EB">
        <w:t>víctima</w:t>
      </w:r>
      <w:proofErr w:type="spellEnd"/>
      <w:r w:rsidRPr="003D49EB">
        <w:t xml:space="preserve"> que se encuentra en una situación de vulnerabilidad, </w:t>
      </w:r>
      <w:proofErr w:type="spellStart"/>
      <w:r w:rsidRPr="003D49EB">
        <w:t>haciéndolo</w:t>
      </w:r>
      <w:proofErr w:type="spellEnd"/>
      <w:r w:rsidRPr="003D49EB">
        <w:t xml:space="preserve"> para lograr, de ese modo, un </w:t>
      </w:r>
      <w:proofErr w:type="spellStart"/>
      <w:r w:rsidRPr="003D49EB">
        <w:t>propósito</w:t>
      </w:r>
      <w:proofErr w:type="spellEnd"/>
      <w:r w:rsidRPr="003D49EB">
        <w:t xml:space="preserve"> </w:t>
      </w:r>
      <w:proofErr w:type="spellStart"/>
      <w:r w:rsidRPr="003D49EB">
        <w:t>específico</w:t>
      </w:r>
      <w:proofErr w:type="spellEnd"/>
      <w:r w:rsidRPr="003D49EB">
        <w:t xml:space="preserve">”. El entendimiento del artículo 5.2 de la Convención, en cuanto a su concepto de “tortura”, debe efectuarse de modo acorde con lo dicho, y debe colegirse que el mismo abarca actos de maltrato que: i) sean intencionales; ii) causen severos sufrimientos </w:t>
      </w:r>
      <w:proofErr w:type="spellStart"/>
      <w:r w:rsidRPr="003D49EB">
        <w:t>físicos</w:t>
      </w:r>
      <w:proofErr w:type="spellEnd"/>
      <w:r w:rsidRPr="003D49EB">
        <w:t xml:space="preserve"> o mentales, y iii) se cometan con cualquier fin o </w:t>
      </w:r>
      <w:proofErr w:type="spellStart"/>
      <w:r w:rsidRPr="003D49EB">
        <w:t>propósito</w:t>
      </w:r>
      <w:proofErr w:type="spellEnd"/>
      <w:r w:rsidRPr="003D49EB">
        <w:t>.</w:t>
      </w:r>
    </w:p>
    <w:p w14:paraId="19EACE51" w14:textId="77777777" w:rsidR="007A630D" w:rsidRPr="003D49EB" w:rsidRDefault="007A630D" w:rsidP="009A4683"/>
    <w:p w14:paraId="44002F9B" w14:textId="26EDFF86" w:rsidR="004B235E" w:rsidRPr="003D49EB" w:rsidRDefault="004B235E" w:rsidP="009A4683">
      <w:pPr>
        <w:rPr>
          <w:szCs w:val="20"/>
        </w:rPr>
      </w:pPr>
      <w:r w:rsidRPr="003D49EB">
        <w:t xml:space="preserve">114. La </w:t>
      </w:r>
      <w:proofErr w:type="spellStart"/>
      <w:r w:rsidRPr="003D49EB">
        <w:t>violación</w:t>
      </w:r>
      <w:proofErr w:type="spellEnd"/>
      <w:r w:rsidRPr="003D49EB">
        <w:t xml:space="preserve"> del artículo 5.2 </w:t>
      </w:r>
      <w:proofErr w:type="spellStart"/>
      <w:r w:rsidRPr="003D49EB">
        <w:t>señalado</w:t>
      </w:r>
      <w:proofErr w:type="spellEnd"/>
      <w:r w:rsidRPr="003D49EB">
        <w:t xml:space="preserve"> implicará necesariamente la </w:t>
      </w:r>
      <w:proofErr w:type="spellStart"/>
      <w:r w:rsidRPr="003D49EB">
        <w:t>lesión</w:t>
      </w:r>
      <w:proofErr w:type="spellEnd"/>
      <w:r w:rsidRPr="003D49EB">
        <w:t xml:space="preserve"> al artículo 5.1, pues </w:t>
      </w:r>
      <w:proofErr w:type="spellStart"/>
      <w:r w:rsidRPr="003D49EB">
        <w:t>éste</w:t>
      </w:r>
      <w:proofErr w:type="spellEnd"/>
      <w:r w:rsidRPr="003D49EB">
        <w:t xml:space="preserve"> reconoce, en </w:t>
      </w:r>
      <w:proofErr w:type="spellStart"/>
      <w:r w:rsidRPr="003D49EB">
        <w:t>términos</w:t>
      </w:r>
      <w:proofErr w:type="spellEnd"/>
      <w:r w:rsidRPr="003D49EB">
        <w:t xml:space="preserve"> generales, el derecho a la integridad personal, y </w:t>
      </w:r>
      <w:proofErr w:type="spellStart"/>
      <w:r w:rsidRPr="003D49EB">
        <w:t>aquél</w:t>
      </w:r>
      <w:proofErr w:type="spellEnd"/>
      <w:r w:rsidRPr="003D49EB">
        <w:t xml:space="preserve"> </w:t>
      </w:r>
      <w:proofErr w:type="spellStart"/>
      <w:r w:rsidRPr="003D49EB">
        <w:t>preve</w:t>
      </w:r>
      <w:proofErr w:type="spellEnd"/>
      <w:r w:rsidRPr="003D49EB">
        <w:t xml:space="preserve">́ prohibiciones </w:t>
      </w:r>
      <w:proofErr w:type="spellStart"/>
      <w:r w:rsidRPr="003D49EB">
        <w:t>específicas</w:t>
      </w:r>
      <w:proofErr w:type="spellEnd"/>
      <w:r w:rsidRPr="003D49EB">
        <w:t xml:space="preserve"> para su tutela. Por otra parte, las obligaciones generales que se derivan del artículo 5 de la Convención son, en lo pertinente, “reforzadas por las obligaciones </w:t>
      </w:r>
      <w:proofErr w:type="spellStart"/>
      <w:r w:rsidRPr="003D49EB">
        <w:t>específicas</w:t>
      </w:r>
      <w:proofErr w:type="spellEnd"/>
      <w:r w:rsidRPr="003D49EB">
        <w:t xml:space="preserve"> derivadas de la [CIPST. Sus] </w:t>
      </w:r>
      <w:proofErr w:type="spellStart"/>
      <w:r w:rsidRPr="003D49EB">
        <w:t>artículos</w:t>
      </w:r>
      <w:proofErr w:type="spellEnd"/>
      <w:r w:rsidRPr="003D49EB">
        <w:t xml:space="preserve"> 1 y 6 [...] refuerzan la </w:t>
      </w:r>
      <w:proofErr w:type="spellStart"/>
      <w:r w:rsidRPr="003D49EB">
        <w:t>prohibición</w:t>
      </w:r>
      <w:proofErr w:type="spellEnd"/>
      <w:r w:rsidRPr="003D49EB">
        <w:t xml:space="preserve"> absoluta de la tortura y las obligaciones del Estados para prevenir y sancionar todo acto o intento de tortura y otros tratos crueles, inhumanos y degradantes en el </w:t>
      </w:r>
      <w:proofErr w:type="spellStart"/>
      <w:r w:rsidRPr="003D49EB">
        <w:t>ámbito</w:t>
      </w:r>
      <w:proofErr w:type="spellEnd"/>
      <w:r w:rsidRPr="003D49EB">
        <w:t xml:space="preserve"> de su </w:t>
      </w:r>
      <w:proofErr w:type="spellStart"/>
      <w:r w:rsidRPr="003D49EB">
        <w:t>jurisdicción</w:t>
      </w:r>
      <w:proofErr w:type="spellEnd"/>
      <w:r w:rsidRPr="003D49EB">
        <w:t>”.</w:t>
      </w:r>
    </w:p>
    <w:p w14:paraId="5BC00436" w14:textId="65BC062A" w:rsidR="00667E3D" w:rsidRPr="003D49EB" w:rsidRDefault="005C73B8" w:rsidP="00A056EF">
      <w:pPr>
        <w:pStyle w:val="Ttulo2"/>
      </w:pPr>
      <w:bookmarkStart w:id="6" w:name="_Toc530497967"/>
      <w:bookmarkStart w:id="7" w:name="_Toc88914966"/>
      <w:r w:rsidRPr="003D49EB">
        <w:t>Distinciones entre integridad física</w:t>
      </w:r>
      <w:r w:rsidR="000B73F6" w:rsidRPr="003D49EB">
        <w:t>,</w:t>
      </w:r>
      <w:r w:rsidRPr="003D49EB">
        <w:t xml:space="preserve"> psíquica y moral</w:t>
      </w:r>
      <w:r w:rsidR="002F43D4" w:rsidRPr="003D49EB">
        <w:rPr>
          <w:rStyle w:val="Refdenotaalpie"/>
          <w:sz w:val="20"/>
          <w:szCs w:val="20"/>
          <w:lang w:val="es-ES_tradnl"/>
        </w:rPr>
        <w:footnoteReference w:id="10"/>
      </w:r>
      <w:bookmarkEnd w:id="6"/>
      <w:bookmarkEnd w:id="7"/>
    </w:p>
    <w:p w14:paraId="79455677" w14:textId="77777777" w:rsidR="00A056EF" w:rsidRPr="003D49EB" w:rsidRDefault="00A056EF" w:rsidP="00A056EF">
      <w:pPr>
        <w:rPr>
          <w:lang w:val="es-CR"/>
        </w:rPr>
      </w:pPr>
    </w:p>
    <w:p w14:paraId="155B4BDC" w14:textId="00EEDB44" w:rsidR="00610E2F" w:rsidRPr="003D49EB" w:rsidRDefault="00610E2F" w:rsidP="009A4683">
      <w:pPr>
        <w:tabs>
          <w:tab w:val="left" w:pos="0"/>
        </w:tabs>
        <w:spacing w:after="100" w:afterAutospacing="1"/>
        <w:rPr>
          <w:b/>
          <w:bCs/>
          <w:szCs w:val="20"/>
        </w:rPr>
      </w:pPr>
      <w:r w:rsidRPr="003D49EB">
        <w:rPr>
          <w:b/>
          <w:bCs/>
          <w:szCs w:val="20"/>
        </w:rPr>
        <w:t xml:space="preserve">Caso de la Comunidad </w:t>
      </w:r>
      <w:proofErr w:type="spellStart"/>
      <w:r w:rsidRPr="003D49EB">
        <w:rPr>
          <w:b/>
          <w:bCs/>
          <w:szCs w:val="20"/>
        </w:rPr>
        <w:t>Moiwana</w:t>
      </w:r>
      <w:proofErr w:type="spellEnd"/>
      <w:r w:rsidRPr="003D49EB">
        <w:rPr>
          <w:b/>
          <w:bCs/>
          <w:szCs w:val="20"/>
        </w:rPr>
        <w:t xml:space="preserve"> Vs. Surinam. Excepciones Preliminares, Fondo, Reparaciones y Costas. Sentencia 15 de junio de 2005</w:t>
      </w:r>
      <w:r w:rsidR="00667E3D" w:rsidRPr="003D49EB">
        <w:rPr>
          <w:b/>
          <w:bCs/>
          <w:szCs w:val="20"/>
        </w:rPr>
        <w:t>. Serie C No. 124.</w:t>
      </w:r>
      <w:r w:rsidR="00667E3D" w:rsidRPr="003D49EB">
        <w:rPr>
          <w:rStyle w:val="Refdenotaalpie"/>
          <w:b/>
          <w:bCs/>
          <w:szCs w:val="20"/>
        </w:rPr>
        <w:footnoteReference w:id="11"/>
      </w:r>
    </w:p>
    <w:p w14:paraId="6A7A054B" w14:textId="77777777" w:rsidR="00610E2F" w:rsidRPr="003D49EB" w:rsidRDefault="00610E2F" w:rsidP="009A4683">
      <w:pPr>
        <w:tabs>
          <w:tab w:val="left" w:pos="0"/>
        </w:tabs>
        <w:spacing w:after="100" w:afterAutospacing="1"/>
        <w:rPr>
          <w:bCs/>
          <w:szCs w:val="20"/>
        </w:rPr>
      </w:pPr>
      <w:r w:rsidRPr="003D49EB">
        <w:rPr>
          <w:bCs/>
          <w:szCs w:val="20"/>
          <w:lang w:val="es-ES_tradnl"/>
        </w:rPr>
        <w:t>86.42.</w:t>
      </w:r>
      <w:r w:rsidRPr="003D49EB">
        <w:rPr>
          <w:bCs/>
          <w:szCs w:val="20"/>
          <w:lang w:val="es-ES_tradnl"/>
        </w:rPr>
        <w:tab/>
        <w:t>Los miembros de la comunidad han sufrido emocional, psicológica, espiritual y económicamente, debido al ataque a su aldea, la posterior separación forzada de sus tierras tradicionales, y la imposibilidad de honrar adecuadamente a sus seres queridos fallecidos y de obtener justicia por los hechos de 1986.</w:t>
      </w:r>
    </w:p>
    <w:p w14:paraId="662A0E4C" w14:textId="77777777" w:rsidR="00610E2F" w:rsidRPr="003D49EB" w:rsidRDefault="00610E2F" w:rsidP="009A4683">
      <w:pPr>
        <w:tabs>
          <w:tab w:val="left" w:pos="0"/>
        </w:tabs>
        <w:spacing w:after="100" w:afterAutospacing="1"/>
        <w:rPr>
          <w:szCs w:val="20"/>
          <w:lang w:val="es-ES_tradnl"/>
        </w:rPr>
      </w:pPr>
      <w:r w:rsidRPr="003D49EB">
        <w:rPr>
          <w:szCs w:val="20"/>
          <w:lang w:val="es-ES_tradnl"/>
        </w:rPr>
        <w:t>101.</w:t>
      </w:r>
      <w:r w:rsidRPr="003D49EB">
        <w:rPr>
          <w:szCs w:val="20"/>
          <w:lang w:val="es-ES_tradnl"/>
        </w:rPr>
        <w:tab/>
        <w:t xml:space="preserve">Los hechos probados demuestran que la conexión de la comunidad </w:t>
      </w:r>
      <w:proofErr w:type="spellStart"/>
      <w:r w:rsidRPr="003D49EB">
        <w:rPr>
          <w:szCs w:val="20"/>
          <w:lang w:val="es-ES_tradnl"/>
        </w:rPr>
        <w:t>N’djuka</w:t>
      </w:r>
      <w:proofErr w:type="spellEnd"/>
      <w:r w:rsidRPr="003D49EB">
        <w:rPr>
          <w:szCs w:val="20"/>
          <w:lang w:val="es-ES_tradnl"/>
        </w:rPr>
        <w:t xml:space="preserve"> a su tierra tradicional reviste vital importancia espiritual, cultural y material […].</w:t>
      </w:r>
      <w:r w:rsidR="008B18CE" w:rsidRPr="003D49EB">
        <w:rPr>
          <w:szCs w:val="20"/>
          <w:lang w:val="es-ES_tradnl"/>
        </w:rPr>
        <w:t xml:space="preserve"> </w:t>
      </w:r>
      <w:r w:rsidRPr="003D49EB">
        <w:rPr>
          <w:szCs w:val="20"/>
          <w:lang w:val="es-ES_tradnl"/>
        </w:rPr>
        <w:t xml:space="preserve">En efecto, tal como lo señalaron los peritos Thomas </w:t>
      </w:r>
      <w:proofErr w:type="spellStart"/>
      <w:r w:rsidRPr="003D49EB">
        <w:rPr>
          <w:szCs w:val="20"/>
          <w:lang w:val="es-ES_tradnl"/>
        </w:rPr>
        <w:t>Polimé</w:t>
      </w:r>
      <w:proofErr w:type="spellEnd"/>
      <w:r w:rsidRPr="003D49EB">
        <w:rPr>
          <w:szCs w:val="20"/>
          <w:lang w:val="es-ES_tradnl"/>
        </w:rPr>
        <w:t xml:space="preserve"> y Kenneth </w:t>
      </w:r>
      <w:proofErr w:type="spellStart"/>
      <w:r w:rsidRPr="003D49EB">
        <w:rPr>
          <w:szCs w:val="20"/>
          <w:lang w:val="es-ES_tradnl"/>
        </w:rPr>
        <w:t>Bilby</w:t>
      </w:r>
      <w:proofErr w:type="spellEnd"/>
      <w:r w:rsidRPr="003D49EB">
        <w:rPr>
          <w:szCs w:val="20"/>
          <w:lang w:val="es-ES_tradnl"/>
        </w:rPr>
        <w:t xml:space="preserve"> […], para que se pueda preservar la identidad e integridad de la cultura, los miembros de la </w:t>
      </w:r>
      <w:r w:rsidRPr="003D49EB">
        <w:rPr>
          <w:szCs w:val="20"/>
          <w:lang w:val="es-ES_tradnl"/>
        </w:rPr>
        <w:lastRenderedPageBreak/>
        <w:t>comunidad deben mantener una relación fluida y multidimensional con sus tierras ancestrales</w:t>
      </w:r>
    </w:p>
    <w:p w14:paraId="767363B4" w14:textId="41C43D35" w:rsidR="00D874BE" w:rsidRPr="003D49EB" w:rsidRDefault="00667E3D" w:rsidP="009A4683">
      <w:pPr>
        <w:spacing w:after="100" w:afterAutospacing="1"/>
        <w:rPr>
          <w:b/>
          <w:szCs w:val="20"/>
        </w:rPr>
      </w:pPr>
      <w:r w:rsidRPr="00667E3D">
        <w:rPr>
          <w:b/>
          <w:szCs w:val="20"/>
        </w:rPr>
        <w:t>Corte IDH. Caso Familia Barrios Vs. Venezuela. Fondo, Reparaciones y Costas. Sentencia de 24 de noviembre de 2011. Serie C No. 237.</w:t>
      </w:r>
      <w:r w:rsidRPr="003D49EB">
        <w:rPr>
          <w:rStyle w:val="Refdenotaalpie"/>
          <w:b/>
          <w:szCs w:val="20"/>
        </w:rPr>
        <w:footnoteReference w:id="12"/>
      </w:r>
      <w:r w:rsidR="00D874BE" w:rsidRPr="003D49EB">
        <w:rPr>
          <w:b/>
          <w:szCs w:val="20"/>
        </w:rPr>
        <w:t xml:space="preserve"> </w:t>
      </w:r>
    </w:p>
    <w:p w14:paraId="43C4F863" w14:textId="0097ED2C" w:rsidR="005C73B8" w:rsidRPr="003D49EB" w:rsidRDefault="00D874BE" w:rsidP="00667E3D">
      <w:r w:rsidRPr="003D49EB">
        <w:t>51.</w:t>
      </w:r>
      <w:r w:rsidRPr="003D49EB">
        <w:tab/>
        <w:t>De esta forma, se ha conformado un régimen jurídico internacional de prohibición absoluta de todas las formas de tortura, tanto física como psicológica, y respecto a esta última, se ha reconocido que las amenazas y el peligro real de someter a una persona a graves lesiones físicas produce, en determinadas circunstancias, una angustia moral de tal grado que puede ser considerada “tortura psicológica”</w:t>
      </w:r>
      <w:r w:rsidR="00B23BED" w:rsidRPr="003D49EB">
        <w:t>.</w:t>
      </w:r>
    </w:p>
    <w:p w14:paraId="5F725F70" w14:textId="77777777" w:rsidR="00667E3D" w:rsidRPr="003D49EB" w:rsidRDefault="00667E3D" w:rsidP="00667E3D"/>
    <w:p w14:paraId="7679BB83" w14:textId="325167E6" w:rsidR="00D874BE" w:rsidRPr="003D49EB" w:rsidRDefault="00C2706D" w:rsidP="009A4683">
      <w:pPr>
        <w:pStyle w:val="Textonotaalfinal"/>
        <w:widowControl w:val="0"/>
        <w:tabs>
          <w:tab w:val="left" w:pos="810"/>
          <w:tab w:val="left" w:pos="1440"/>
          <w:tab w:val="left" w:pos="2160"/>
          <w:tab w:val="left" w:pos="2880"/>
          <w:tab w:val="left" w:pos="3600"/>
          <w:tab w:val="left" w:pos="4320"/>
          <w:tab w:val="left" w:pos="5760"/>
          <w:tab w:val="left" w:pos="6480"/>
          <w:tab w:val="left" w:pos="7200"/>
          <w:tab w:val="left" w:pos="7920"/>
        </w:tabs>
        <w:spacing w:after="100" w:afterAutospacing="1"/>
        <w:rPr>
          <w:rFonts w:eastAsiaTheme="minorHAnsi" w:cstheme="minorBidi"/>
          <w:b/>
          <w:bCs/>
          <w:shd w:val="clear" w:color="auto" w:fill="FFFFFF"/>
          <w:lang w:val="es-CL"/>
        </w:rPr>
      </w:pPr>
      <w:r w:rsidRPr="003D49EB">
        <w:rPr>
          <w:rFonts w:eastAsiaTheme="minorHAnsi" w:cstheme="minorBidi"/>
          <w:b/>
          <w:bCs/>
          <w:shd w:val="clear" w:color="auto" w:fill="FFFFFF"/>
          <w:lang w:val="es-CL"/>
        </w:rPr>
        <w:t>Corte IDH. Caso Vélez Restrepo y familiares Vs. Colombia. Excepción Preliminar, Fondo, Reparaciones y Costas. Sentencia de 3 de septiembre de 2012. Serie C No. 248.</w:t>
      </w:r>
      <w:r w:rsidRPr="003D49EB">
        <w:rPr>
          <w:rStyle w:val="Refdenotaalpie"/>
          <w:rFonts w:eastAsiaTheme="minorHAnsi" w:cstheme="minorBidi"/>
          <w:b/>
          <w:bCs/>
          <w:shd w:val="clear" w:color="auto" w:fill="FFFFFF"/>
          <w:lang w:val="es-CL"/>
        </w:rPr>
        <w:footnoteReference w:id="13"/>
      </w:r>
    </w:p>
    <w:p w14:paraId="371B90B8" w14:textId="77777777" w:rsidR="00D874BE" w:rsidRPr="003D49EB" w:rsidRDefault="00D874BE" w:rsidP="009A4683">
      <w:pPr>
        <w:tabs>
          <w:tab w:val="left" w:pos="720"/>
        </w:tabs>
        <w:spacing w:after="100" w:afterAutospacing="1"/>
        <w:rPr>
          <w:szCs w:val="20"/>
        </w:rPr>
      </w:pPr>
      <w:r w:rsidRPr="003D49EB">
        <w:rPr>
          <w:szCs w:val="20"/>
        </w:rPr>
        <w:t>176.</w:t>
      </w:r>
      <w:r w:rsidRPr="003D49EB">
        <w:rPr>
          <w:szCs w:val="20"/>
        </w:rPr>
        <w:tab/>
        <w:t>El artículo 5.1 de la Convención consagra el derecho a la integridad personal, física, psíquica y moral. […] Asimismo, el Tribunal ha sostenido que la mera amenaza de que ocurra una conducta prohibida por el artículo 5 de la Convención, cuando sea suficientemente real e inminente, puede en sí misma estar en conflicto con el derecho a la integridad personal. En ese sentido,</w:t>
      </w:r>
      <w:r w:rsidRPr="003D49EB">
        <w:rPr>
          <w:b/>
          <w:szCs w:val="20"/>
        </w:rPr>
        <w:t xml:space="preserve"> </w:t>
      </w:r>
      <w:r w:rsidRPr="003D49EB">
        <w:rPr>
          <w:szCs w:val="20"/>
        </w:rPr>
        <w:t>crear una situación amenazante o amenazar a un individuo con quitarle la vida puede constituir, en algunas circunstancias, al menos, tratamiento inhumano. La Corte también se ha referido a los elementos que deben estar presentes para con</w:t>
      </w:r>
      <w:r w:rsidR="00B23BED" w:rsidRPr="003D49EB">
        <w:rPr>
          <w:szCs w:val="20"/>
        </w:rPr>
        <w:t xml:space="preserve">siderar un hecho como tortura. </w:t>
      </w:r>
    </w:p>
    <w:p w14:paraId="378BADB3" w14:textId="4ABD85FE" w:rsidR="00D874BE" w:rsidRPr="003D49EB" w:rsidRDefault="00D874BE" w:rsidP="009A4683">
      <w:pPr>
        <w:autoSpaceDE w:val="0"/>
        <w:autoSpaceDN w:val="0"/>
        <w:adjustRightInd w:val="0"/>
        <w:spacing w:after="100" w:afterAutospacing="1"/>
        <w:rPr>
          <w:b/>
          <w:bCs/>
          <w:szCs w:val="20"/>
          <w:shd w:val="clear" w:color="auto" w:fill="FFFFFF"/>
        </w:rPr>
      </w:pPr>
      <w:r w:rsidRPr="003D49EB">
        <w:rPr>
          <w:b/>
          <w:bCs/>
          <w:szCs w:val="20"/>
          <w:shd w:val="clear" w:color="auto" w:fill="FFFFFF"/>
        </w:rPr>
        <w:t xml:space="preserve">Caso Masacre de Santo Domingo Vs. Colombia. Excepciones Preliminares, Fondo y Reparaciones. Sentencia de 30 de noviembre de 2012. </w:t>
      </w:r>
      <w:r w:rsidR="00114134" w:rsidRPr="003D49EB">
        <w:rPr>
          <w:b/>
          <w:bCs/>
          <w:szCs w:val="20"/>
          <w:shd w:val="clear" w:color="auto" w:fill="FFFFFF"/>
        </w:rPr>
        <w:t>Serie C No. 259.</w:t>
      </w:r>
    </w:p>
    <w:p w14:paraId="0493711D" w14:textId="10ACB940" w:rsidR="00D874BE" w:rsidRPr="003D49EB" w:rsidRDefault="00D874BE" w:rsidP="009A4683">
      <w:pPr>
        <w:spacing w:after="100" w:afterAutospacing="1"/>
        <w:rPr>
          <w:rStyle w:val="EnelmismoCar"/>
        </w:rPr>
      </w:pPr>
      <w:r w:rsidRPr="003D49EB">
        <w:rPr>
          <w:rFonts w:eastAsia="Times"/>
          <w:szCs w:val="20"/>
        </w:rPr>
        <w:t>191.</w:t>
      </w:r>
      <w:r w:rsidRPr="003D49EB">
        <w:rPr>
          <w:rFonts w:eastAsia="Times"/>
          <w:szCs w:val="20"/>
        </w:rPr>
        <w:tab/>
        <w:t>Por</w:t>
      </w:r>
      <w:r w:rsidRPr="003D49EB">
        <w:rPr>
          <w:rFonts w:cs="Verdana"/>
          <w:szCs w:val="20"/>
        </w:rPr>
        <w:t xml:space="preserve"> </w:t>
      </w:r>
      <w:r w:rsidRPr="003D49EB">
        <w:rPr>
          <w:szCs w:val="20"/>
        </w:rPr>
        <w:t>otra</w:t>
      </w:r>
      <w:r w:rsidRPr="003D49EB">
        <w:rPr>
          <w:rFonts w:cs="Verdana"/>
          <w:szCs w:val="20"/>
        </w:rPr>
        <w:t xml:space="preserve"> parte, la Convención Americana reconoce expresamente el derecho a la integridad personal, física y psíquica, cuya infracción “es una clase de violación que tiene diversas connotaciones de grado y […] cuyas secuelas físicas y psíquicas varían de intensidad según los factores endógenos y exógenos que deberán ser demostrados en cada situación concreta”. Además, </w:t>
      </w:r>
      <w:r w:rsidRPr="003D49EB">
        <w:rPr>
          <w:szCs w:val="20"/>
        </w:rPr>
        <w:t xml:space="preserve">la Corte ha sostenido en otras oportunidades que la mera amenaza de que ocurra una conducta prohibida por el artículo 5 de la Convención, cuando sea suficientemente real e inminente, puede en </w:t>
      </w:r>
      <w:r w:rsidRPr="003D49EB">
        <w:rPr>
          <w:szCs w:val="20"/>
        </w:rPr>
        <w:lastRenderedPageBreak/>
        <w:t xml:space="preserve">sí misma estar en conflicto con el derecho a la integridad personal. </w:t>
      </w:r>
      <w:r w:rsidR="006E5C73">
        <w:rPr>
          <w:rStyle w:val="EnelmismoCar"/>
        </w:rPr>
        <w:t>En similar sentido, ver entre otros</w:t>
      </w:r>
      <w:r w:rsidRPr="003D49EB">
        <w:rPr>
          <w:rStyle w:val="EnelmismoCar"/>
        </w:rPr>
        <w:t>: Caso de las Comunidades Afrodescendientes Desplazadas de la Cuenca del Río Cacarica (Operación Génesis) Vs. Colombia. Excepciones Preliminares, Fondo, Reparaciones y Costas. Sentencia de 20 de noviembre de 2</w:t>
      </w:r>
      <w:r w:rsidR="00066A0C" w:rsidRPr="003D49EB">
        <w:rPr>
          <w:rStyle w:val="EnelmismoCar"/>
        </w:rPr>
        <w:t>013</w:t>
      </w:r>
      <w:r w:rsidR="00602404" w:rsidRPr="003D49EB">
        <w:rPr>
          <w:rStyle w:val="EnelmismoCar"/>
        </w:rPr>
        <w:t>, párr. 218;</w:t>
      </w:r>
      <w:r w:rsidR="002C5F30" w:rsidRPr="003D49EB">
        <w:rPr>
          <w:rStyle w:val="EnelmismoCar"/>
        </w:rPr>
        <w:t xml:space="preserve"> y</w:t>
      </w:r>
      <w:r w:rsidR="00602404" w:rsidRPr="003D49EB">
        <w:rPr>
          <w:rStyle w:val="EnelmismoCar"/>
        </w:rPr>
        <w:t xml:space="preserve"> Caso Espinoza Gonzáles Vs. Perú. Excepciones Preliminares, Fondo, Reparaciones y Costas. Sentencia de 20 de noviembre de 2014, párr. 142.</w:t>
      </w:r>
    </w:p>
    <w:p w14:paraId="27672B25" w14:textId="59E8C2DA" w:rsidR="008B2D54" w:rsidRPr="003D49EB" w:rsidRDefault="002C5F30" w:rsidP="009A4683">
      <w:pPr>
        <w:spacing w:after="100" w:afterAutospacing="1"/>
        <w:rPr>
          <w:b/>
          <w:szCs w:val="20"/>
        </w:rPr>
      </w:pPr>
      <w:r w:rsidRPr="003D49EB">
        <w:rPr>
          <w:b/>
          <w:szCs w:val="20"/>
        </w:rPr>
        <w:t xml:space="preserve">Corte IDH. Caso Comunidad Indígena </w:t>
      </w:r>
      <w:proofErr w:type="spellStart"/>
      <w:r w:rsidRPr="003D49EB">
        <w:rPr>
          <w:b/>
          <w:szCs w:val="20"/>
        </w:rPr>
        <w:t>Xákmok</w:t>
      </w:r>
      <w:proofErr w:type="spellEnd"/>
      <w:r w:rsidRPr="003D49EB">
        <w:rPr>
          <w:b/>
          <w:szCs w:val="20"/>
        </w:rPr>
        <w:t xml:space="preserve"> </w:t>
      </w:r>
      <w:proofErr w:type="spellStart"/>
      <w:r w:rsidRPr="003D49EB">
        <w:rPr>
          <w:b/>
          <w:szCs w:val="20"/>
        </w:rPr>
        <w:t>Kásek</w:t>
      </w:r>
      <w:proofErr w:type="spellEnd"/>
      <w:r w:rsidRPr="003D49EB">
        <w:rPr>
          <w:b/>
          <w:szCs w:val="20"/>
        </w:rPr>
        <w:t xml:space="preserve"> Vs. Paraguay. Fondo, Reparaciones y Costas. Sentencia de 24 de agosto de 2010. Serie C No. 214.</w:t>
      </w:r>
      <w:r w:rsidRPr="003D49EB">
        <w:rPr>
          <w:rStyle w:val="Refdenotaalpie"/>
          <w:b/>
          <w:szCs w:val="20"/>
        </w:rPr>
        <w:footnoteReference w:id="14"/>
      </w:r>
    </w:p>
    <w:p w14:paraId="3BEEFA77" w14:textId="77777777" w:rsidR="008B2D54" w:rsidRPr="003D49EB" w:rsidRDefault="008B2D54" w:rsidP="009A4683">
      <w:pPr>
        <w:widowControl w:val="0"/>
        <w:spacing w:before="200" w:after="100" w:afterAutospacing="1"/>
        <w:rPr>
          <w:szCs w:val="20"/>
        </w:rPr>
      </w:pPr>
      <w:r w:rsidRPr="003D49EB">
        <w:rPr>
          <w:rFonts w:cs="Verdana"/>
          <w:szCs w:val="20"/>
          <w:lang w:val="es-PE" w:bidi="en-US"/>
        </w:rPr>
        <w:t>243.</w:t>
      </w:r>
      <w:r w:rsidRPr="003D49EB">
        <w:rPr>
          <w:rFonts w:cs="Verdana"/>
          <w:szCs w:val="20"/>
          <w:lang w:val="es-PE" w:bidi="en-US"/>
        </w:rPr>
        <w:tab/>
        <w:t xml:space="preserve">En lo que respecta a la integridad psíquica y moral, la Corte recuerda que en el caso de la </w:t>
      </w:r>
      <w:r w:rsidRPr="003D49EB">
        <w:rPr>
          <w:rFonts w:cs="Verdana"/>
          <w:i/>
          <w:szCs w:val="20"/>
          <w:lang w:val="es-PE" w:bidi="en-US"/>
        </w:rPr>
        <w:t>Comunidad Moiwana Vs. Surinam</w:t>
      </w:r>
      <w:r w:rsidRPr="003D49EB">
        <w:rPr>
          <w:rFonts w:cs="Verdana"/>
          <w:szCs w:val="20"/>
          <w:lang w:val="es-PE" w:bidi="en-US"/>
        </w:rPr>
        <w:t xml:space="preserve"> consideró que la “</w:t>
      </w:r>
      <w:r w:rsidRPr="003D49EB">
        <w:rPr>
          <w:szCs w:val="20"/>
        </w:rPr>
        <w:t>separación de los miembros de la [C]</w:t>
      </w:r>
      <w:proofErr w:type="spellStart"/>
      <w:r w:rsidRPr="003D49EB">
        <w:rPr>
          <w:szCs w:val="20"/>
        </w:rPr>
        <w:t>omunidad</w:t>
      </w:r>
      <w:proofErr w:type="spellEnd"/>
      <w:r w:rsidRPr="003D49EB">
        <w:rPr>
          <w:szCs w:val="20"/>
        </w:rPr>
        <w:t xml:space="preserve"> de sus tierras tradicionales” era un hecho que junto con la impunidad en la que se encontraban las muertes producidas en el seno de la Comunidad causaba un sufrimiento a las víctimas en forma tal que constituía una violación por parte del Estado del artículo 5.1 de la Convención Americana en su perjuicio.</w:t>
      </w:r>
    </w:p>
    <w:p w14:paraId="5A0B80C5" w14:textId="77777777" w:rsidR="008B2D54" w:rsidRPr="003D49EB" w:rsidRDefault="008B2D54" w:rsidP="009A4683">
      <w:pPr>
        <w:widowControl w:val="0"/>
        <w:spacing w:before="200" w:after="100" w:afterAutospacing="1"/>
        <w:rPr>
          <w:szCs w:val="20"/>
        </w:rPr>
      </w:pPr>
      <w:r w:rsidRPr="003D49EB">
        <w:rPr>
          <w:szCs w:val="20"/>
        </w:rPr>
        <w:t>244.</w:t>
      </w:r>
      <w:r w:rsidRPr="003D49EB">
        <w:rPr>
          <w:szCs w:val="20"/>
        </w:rPr>
        <w:tab/>
        <w:t xml:space="preserve">En el presente caso, varias de las presuntas víctimas que declararon ante la Corte expresaron el pesar que ellas y los miembros de la Comunidad sienten por la falta de restitución de sus tierras tradicionales, la pérdida paulatina de su cultura y la larga espera que han debido soportar en el transcurso del ineficiente procedimiento administrativo. Adicionalmente, las condiciones de vida miserables que padecen los miembros de la Comunidad, la muerte de varios de sus miembros y el estado general de abandono en la que se encuentran generan sufrimientos que necesariamente afectan la integridad psíquica y moral de todos los miembros de la Comunidad. Todo ello constituye una violación del artículo 5.1 de la Convención, en perjuicio de los miembros de la Comunidad </w:t>
      </w:r>
      <w:proofErr w:type="spellStart"/>
      <w:r w:rsidRPr="003D49EB">
        <w:rPr>
          <w:szCs w:val="20"/>
        </w:rPr>
        <w:t>Xákmok</w:t>
      </w:r>
      <w:proofErr w:type="spellEnd"/>
      <w:r w:rsidRPr="003D49EB">
        <w:rPr>
          <w:szCs w:val="20"/>
        </w:rPr>
        <w:t xml:space="preserve"> </w:t>
      </w:r>
      <w:proofErr w:type="spellStart"/>
      <w:r w:rsidRPr="003D49EB">
        <w:rPr>
          <w:szCs w:val="20"/>
        </w:rPr>
        <w:t>Kásek</w:t>
      </w:r>
      <w:proofErr w:type="spellEnd"/>
      <w:r w:rsidRPr="003D49EB">
        <w:rPr>
          <w:szCs w:val="20"/>
        </w:rPr>
        <w:t>.</w:t>
      </w:r>
    </w:p>
    <w:p w14:paraId="0657E1BB" w14:textId="6A4C3DAE" w:rsidR="008B2D54" w:rsidRPr="003D49EB" w:rsidRDefault="002C5F30" w:rsidP="009A4683">
      <w:pPr>
        <w:spacing w:after="100" w:afterAutospacing="1"/>
        <w:rPr>
          <w:b/>
          <w:bCs/>
          <w:szCs w:val="20"/>
          <w:shd w:val="clear" w:color="auto" w:fill="FFFFFF"/>
        </w:rPr>
      </w:pPr>
      <w:r w:rsidRPr="002C5F30">
        <w:rPr>
          <w:b/>
          <w:bCs/>
          <w:szCs w:val="20"/>
          <w:shd w:val="clear" w:color="auto" w:fill="FFFFFF"/>
        </w:rPr>
        <w:t>Corte IDH. Caso Masacres de Río Negro Vs. Guatemala. Excepción Preliminar, Fondo, Reparaciones y Costas. Sentencia de 4 de septiembre de 2012. Serie C No. 250.</w:t>
      </w:r>
      <w:r w:rsidRPr="003D49EB">
        <w:rPr>
          <w:rStyle w:val="Refdenotaalpie"/>
          <w:b/>
          <w:bCs/>
          <w:szCs w:val="20"/>
          <w:shd w:val="clear" w:color="auto" w:fill="FFFFFF"/>
        </w:rPr>
        <w:footnoteReference w:id="15"/>
      </w:r>
    </w:p>
    <w:p w14:paraId="747B8671" w14:textId="77B40454" w:rsidR="008B2D54" w:rsidRPr="003D49EB" w:rsidRDefault="008B2D54" w:rsidP="009A4683">
      <w:pPr>
        <w:spacing w:after="100" w:afterAutospacing="1"/>
        <w:ind w:right="-138"/>
        <w:rPr>
          <w:szCs w:val="20"/>
        </w:rPr>
      </w:pPr>
      <w:r w:rsidRPr="003D49EB">
        <w:rPr>
          <w:szCs w:val="20"/>
        </w:rPr>
        <w:t>143.</w:t>
      </w:r>
      <w:r w:rsidRPr="003D49EB">
        <w:rPr>
          <w:szCs w:val="20"/>
        </w:rPr>
        <w:tab/>
        <w:t xml:space="preserve">De este modo, la Corte considera importante señalar que, entre las medidas especiales de protección que deben adoptar los Estados a favor de los niños indígenas, se encuentra la de promover y proteger el derecho de éstos a vivir de acuerdo con su propia cultura, su propia religión y su propio idioma, obligación adicional y complementaria definida en el artículo 30 de la Convención sobre los Derechos del </w:t>
      </w:r>
      <w:r w:rsidRPr="003D49EB">
        <w:rPr>
          <w:szCs w:val="20"/>
        </w:rPr>
        <w:lastRenderedPageBreak/>
        <w:t xml:space="preserve">Niño, de la que Guatemala es Parte desde el </w:t>
      </w:r>
      <w:r w:rsidRPr="003D49EB">
        <w:rPr>
          <w:szCs w:val="20"/>
          <w:lang w:val="es-ES_tradnl"/>
        </w:rPr>
        <w:t xml:space="preserve">6 de junio de 1990, y </w:t>
      </w:r>
      <w:r w:rsidRPr="003D49EB">
        <w:rPr>
          <w:szCs w:val="20"/>
        </w:rPr>
        <w:t>la cual dota de contenido al artículo 19 de la Convención Americana. Además, en la Observación General No. 11, el Comité de los Derechos del Niño consideró que “[e]l ejercicio efectivo de [los derechos de los niños indígenas] a la cultura, a la religión y al idioma constituyen unos cimientos esenciales de un Estado culturalmente diverso’’, y que este derecho constituye un importante reconocimiento de las tradiciones y los valores colectivos de las culturas indígenas</w:t>
      </w:r>
      <w:r w:rsidR="00B23BED" w:rsidRPr="003D49EB">
        <w:rPr>
          <w:szCs w:val="20"/>
        </w:rPr>
        <w:t xml:space="preserve">. </w:t>
      </w:r>
    </w:p>
    <w:p w14:paraId="41E19024" w14:textId="77777777" w:rsidR="008B2D54" w:rsidRPr="003D49EB" w:rsidRDefault="008B2D54" w:rsidP="009A4683">
      <w:pPr>
        <w:spacing w:after="100" w:afterAutospacing="1"/>
        <w:ind w:right="-138"/>
        <w:rPr>
          <w:szCs w:val="20"/>
        </w:rPr>
      </w:pPr>
      <w:r w:rsidRPr="003D49EB">
        <w:rPr>
          <w:szCs w:val="20"/>
          <w:lang w:val="es-PA"/>
        </w:rPr>
        <w:t>150.</w:t>
      </w:r>
      <w:r w:rsidRPr="003D49EB">
        <w:rPr>
          <w:szCs w:val="20"/>
          <w:lang w:val="es-PA"/>
        </w:rPr>
        <w:tab/>
        <w:t>De las declaraciones rendidas ante instancias internas y ante este Tribunal, es claro que las personas que fueron sustraídas de la comunidad de Río Negro durante la masacre de Pacoxom y que fueron obligadas a trabajar en casas de patrulleros de las autodefensas civiles han sufrido un impacto agravado en su integridad psíquica cuyas consecuencias se mantienen hasta el día de hoy. Por tanto, tomando en cuenta el reconocimiento de responsabilidad del Estado, la Corte considera que Guatemala es responsable de la violación de los derechos reconocidos en el artículo 5.1 de la Convención Americana, en relación con los artículos 6, 17 y 1.1 de la misma, en perjuicio de</w:t>
      </w:r>
      <w:r w:rsidRPr="003D49EB">
        <w:rPr>
          <w:szCs w:val="20"/>
        </w:rPr>
        <w:t xml:space="preserve"> María Eustaquia </w:t>
      </w:r>
      <w:proofErr w:type="spellStart"/>
      <w:r w:rsidRPr="003D49EB">
        <w:rPr>
          <w:szCs w:val="20"/>
        </w:rPr>
        <w:t>Uscap</w:t>
      </w:r>
      <w:proofErr w:type="spellEnd"/>
      <w:r w:rsidRPr="003D49EB">
        <w:rPr>
          <w:szCs w:val="20"/>
        </w:rPr>
        <w:t xml:space="preserve"> </w:t>
      </w:r>
      <w:proofErr w:type="spellStart"/>
      <w:r w:rsidRPr="003D49EB">
        <w:rPr>
          <w:szCs w:val="20"/>
        </w:rPr>
        <w:t>Ivoy</w:t>
      </w:r>
      <w:proofErr w:type="spellEnd"/>
      <w:r w:rsidRPr="003D49EB">
        <w:rPr>
          <w:szCs w:val="20"/>
        </w:rPr>
        <w:t xml:space="preserve">. Asimismo, el Estado es responsable por la violación del artículo 5.1 de la Convención, en relación con los </w:t>
      </w:r>
      <w:r w:rsidRPr="003D49EB">
        <w:rPr>
          <w:szCs w:val="20"/>
          <w:lang w:val="es-PA"/>
        </w:rPr>
        <w:t>artículos 6, 17, 19 y 1.1 de la misma</w:t>
      </w:r>
      <w:r w:rsidRPr="003D49EB">
        <w:rPr>
          <w:szCs w:val="20"/>
        </w:rPr>
        <w:t xml:space="preserve">, </w:t>
      </w:r>
      <w:r w:rsidRPr="003D49EB">
        <w:rPr>
          <w:szCs w:val="20"/>
          <w:lang w:val="es-PA"/>
        </w:rPr>
        <w:t xml:space="preserve">en perjuicio de </w:t>
      </w:r>
      <w:r w:rsidRPr="003D49EB">
        <w:rPr>
          <w:szCs w:val="20"/>
        </w:rPr>
        <w:t xml:space="preserve">Agustín </w:t>
      </w:r>
      <w:proofErr w:type="spellStart"/>
      <w:r w:rsidRPr="003D49EB">
        <w:rPr>
          <w:szCs w:val="20"/>
        </w:rPr>
        <w:t>Chen</w:t>
      </w:r>
      <w:proofErr w:type="spellEnd"/>
      <w:r w:rsidRPr="003D49EB">
        <w:rPr>
          <w:szCs w:val="20"/>
        </w:rPr>
        <w:t xml:space="preserve"> Osorio, Celestina </w:t>
      </w:r>
      <w:proofErr w:type="spellStart"/>
      <w:r w:rsidRPr="003D49EB">
        <w:rPr>
          <w:szCs w:val="20"/>
        </w:rPr>
        <w:t>Uscap</w:t>
      </w:r>
      <w:proofErr w:type="spellEnd"/>
      <w:r w:rsidRPr="003D49EB">
        <w:rPr>
          <w:szCs w:val="20"/>
        </w:rPr>
        <w:t xml:space="preserve"> </w:t>
      </w:r>
      <w:proofErr w:type="spellStart"/>
      <w:r w:rsidRPr="003D49EB">
        <w:rPr>
          <w:szCs w:val="20"/>
        </w:rPr>
        <w:t>Ivoy</w:t>
      </w:r>
      <w:proofErr w:type="spellEnd"/>
      <w:r w:rsidRPr="003D49EB">
        <w:rPr>
          <w:szCs w:val="20"/>
        </w:rPr>
        <w:t xml:space="preserve">, Cruz Pérez Osorio, </w:t>
      </w:r>
      <w:proofErr w:type="spellStart"/>
      <w:r w:rsidRPr="003D49EB">
        <w:rPr>
          <w:szCs w:val="20"/>
        </w:rPr>
        <w:t>Froilan</w:t>
      </w:r>
      <w:proofErr w:type="spellEnd"/>
      <w:r w:rsidRPr="003D49EB">
        <w:rPr>
          <w:szCs w:val="20"/>
        </w:rPr>
        <w:t xml:space="preserve"> </w:t>
      </w:r>
      <w:proofErr w:type="spellStart"/>
      <w:r w:rsidRPr="003D49EB">
        <w:rPr>
          <w:szCs w:val="20"/>
        </w:rPr>
        <w:t>Uscap</w:t>
      </w:r>
      <w:proofErr w:type="spellEnd"/>
      <w:r w:rsidRPr="003D49EB">
        <w:rPr>
          <w:szCs w:val="20"/>
        </w:rPr>
        <w:t xml:space="preserve"> </w:t>
      </w:r>
      <w:proofErr w:type="spellStart"/>
      <w:r w:rsidRPr="003D49EB">
        <w:rPr>
          <w:szCs w:val="20"/>
        </w:rPr>
        <w:t>Ivoy</w:t>
      </w:r>
      <w:proofErr w:type="spellEnd"/>
      <w:r w:rsidRPr="003D49EB">
        <w:rPr>
          <w:szCs w:val="20"/>
        </w:rPr>
        <w:t xml:space="preserve">, Jesús </w:t>
      </w:r>
      <w:proofErr w:type="spellStart"/>
      <w:r w:rsidRPr="003D49EB">
        <w:rPr>
          <w:szCs w:val="20"/>
        </w:rPr>
        <w:t>Tecú</w:t>
      </w:r>
      <w:proofErr w:type="spellEnd"/>
      <w:r w:rsidRPr="003D49EB">
        <w:rPr>
          <w:szCs w:val="20"/>
        </w:rPr>
        <w:t xml:space="preserve"> Osorio, José Osorio </w:t>
      </w:r>
      <w:proofErr w:type="spellStart"/>
      <w:r w:rsidRPr="003D49EB">
        <w:rPr>
          <w:szCs w:val="20"/>
        </w:rPr>
        <w:t>Osorio</w:t>
      </w:r>
      <w:proofErr w:type="spellEnd"/>
      <w:r w:rsidRPr="003D49EB">
        <w:rPr>
          <w:szCs w:val="20"/>
        </w:rPr>
        <w:t xml:space="preserve">, Juan </w:t>
      </w:r>
      <w:proofErr w:type="spellStart"/>
      <w:r w:rsidRPr="003D49EB">
        <w:rPr>
          <w:szCs w:val="20"/>
        </w:rPr>
        <w:t>Chen</w:t>
      </w:r>
      <w:proofErr w:type="spellEnd"/>
      <w:r w:rsidRPr="003D49EB">
        <w:rPr>
          <w:szCs w:val="20"/>
        </w:rPr>
        <w:t xml:space="preserve"> </w:t>
      </w:r>
      <w:proofErr w:type="spellStart"/>
      <w:r w:rsidRPr="003D49EB">
        <w:rPr>
          <w:szCs w:val="20"/>
        </w:rPr>
        <w:t>Chen</w:t>
      </w:r>
      <w:proofErr w:type="spellEnd"/>
      <w:r w:rsidRPr="003D49EB">
        <w:rPr>
          <w:szCs w:val="20"/>
        </w:rPr>
        <w:t xml:space="preserve">, Juan </w:t>
      </w:r>
      <w:proofErr w:type="spellStart"/>
      <w:r w:rsidRPr="003D49EB">
        <w:rPr>
          <w:szCs w:val="20"/>
        </w:rPr>
        <w:t>Chen</w:t>
      </w:r>
      <w:proofErr w:type="spellEnd"/>
      <w:r w:rsidRPr="003D49EB">
        <w:rPr>
          <w:szCs w:val="20"/>
        </w:rPr>
        <w:t xml:space="preserve"> Osorio, Juan Pérez Osorio, Juan </w:t>
      </w:r>
      <w:proofErr w:type="spellStart"/>
      <w:r w:rsidRPr="003D49EB">
        <w:rPr>
          <w:szCs w:val="20"/>
        </w:rPr>
        <w:t>Uscap</w:t>
      </w:r>
      <w:proofErr w:type="spellEnd"/>
      <w:r w:rsidRPr="003D49EB">
        <w:rPr>
          <w:szCs w:val="20"/>
        </w:rPr>
        <w:t xml:space="preserve"> </w:t>
      </w:r>
      <w:proofErr w:type="spellStart"/>
      <w:r w:rsidRPr="003D49EB">
        <w:rPr>
          <w:szCs w:val="20"/>
        </w:rPr>
        <w:t>Ivoy</w:t>
      </w:r>
      <w:proofErr w:type="spellEnd"/>
      <w:r w:rsidRPr="003D49EB">
        <w:rPr>
          <w:szCs w:val="20"/>
        </w:rPr>
        <w:t xml:space="preserve">, Juana </w:t>
      </w:r>
      <w:proofErr w:type="spellStart"/>
      <w:r w:rsidRPr="003D49EB">
        <w:rPr>
          <w:szCs w:val="20"/>
        </w:rPr>
        <w:t>Chen</w:t>
      </w:r>
      <w:proofErr w:type="spellEnd"/>
      <w:r w:rsidRPr="003D49EB">
        <w:rPr>
          <w:szCs w:val="20"/>
        </w:rPr>
        <w:t xml:space="preserve"> Osorio, Pedro Sic Sánchez, </w:t>
      </w:r>
      <w:proofErr w:type="spellStart"/>
      <w:r w:rsidRPr="003D49EB">
        <w:rPr>
          <w:szCs w:val="20"/>
        </w:rPr>
        <w:t>Silveria</w:t>
      </w:r>
      <w:proofErr w:type="spellEnd"/>
      <w:r w:rsidRPr="003D49EB">
        <w:rPr>
          <w:szCs w:val="20"/>
        </w:rPr>
        <w:t xml:space="preserve"> </w:t>
      </w:r>
      <w:proofErr w:type="spellStart"/>
      <w:r w:rsidRPr="003D49EB">
        <w:rPr>
          <w:szCs w:val="20"/>
        </w:rPr>
        <w:t>Lajuj</w:t>
      </w:r>
      <w:proofErr w:type="spellEnd"/>
      <w:r w:rsidRPr="003D49EB">
        <w:rPr>
          <w:szCs w:val="20"/>
        </w:rPr>
        <w:t xml:space="preserve"> </w:t>
      </w:r>
      <w:proofErr w:type="spellStart"/>
      <w:r w:rsidRPr="003D49EB">
        <w:rPr>
          <w:szCs w:val="20"/>
        </w:rPr>
        <w:t>Tum</w:t>
      </w:r>
      <w:proofErr w:type="spellEnd"/>
      <w:r w:rsidRPr="003D49EB">
        <w:rPr>
          <w:szCs w:val="20"/>
        </w:rPr>
        <w:t xml:space="preserve">, Tomasa Osorio </w:t>
      </w:r>
      <w:proofErr w:type="spellStart"/>
      <w:r w:rsidRPr="003D49EB">
        <w:rPr>
          <w:szCs w:val="20"/>
        </w:rPr>
        <w:t>Chen</w:t>
      </w:r>
      <w:proofErr w:type="spellEnd"/>
      <w:r w:rsidRPr="003D49EB">
        <w:rPr>
          <w:szCs w:val="20"/>
        </w:rPr>
        <w:t xml:space="preserve">, Florinda </w:t>
      </w:r>
      <w:proofErr w:type="spellStart"/>
      <w:r w:rsidRPr="003D49EB">
        <w:rPr>
          <w:szCs w:val="20"/>
        </w:rPr>
        <w:t>Usca</w:t>
      </w:r>
      <w:r w:rsidR="00B23BED" w:rsidRPr="003D49EB">
        <w:rPr>
          <w:szCs w:val="20"/>
        </w:rPr>
        <w:t>p</w:t>
      </w:r>
      <w:proofErr w:type="spellEnd"/>
      <w:r w:rsidR="00B23BED" w:rsidRPr="003D49EB">
        <w:rPr>
          <w:szCs w:val="20"/>
        </w:rPr>
        <w:t xml:space="preserve"> </w:t>
      </w:r>
      <w:proofErr w:type="spellStart"/>
      <w:r w:rsidR="00B23BED" w:rsidRPr="003D49EB">
        <w:rPr>
          <w:szCs w:val="20"/>
        </w:rPr>
        <w:t>Ivoy</w:t>
      </w:r>
      <w:proofErr w:type="spellEnd"/>
      <w:r w:rsidR="00B23BED" w:rsidRPr="003D49EB">
        <w:rPr>
          <w:szCs w:val="20"/>
        </w:rPr>
        <w:t xml:space="preserve"> y Juan Osorio Alvarado. </w:t>
      </w:r>
    </w:p>
    <w:p w14:paraId="05638EEC" w14:textId="77777777" w:rsidR="008B2D54" w:rsidRPr="003D49EB" w:rsidRDefault="008B2D54" w:rsidP="009A4683">
      <w:pPr>
        <w:tabs>
          <w:tab w:val="left" w:pos="180"/>
        </w:tabs>
        <w:spacing w:after="100" w:afterAutospacing="1"/>
        <w:ind w:right="-138"/>
        <w:rPr>
          <w:szCs w:val="20"/>
        </w:rPr>
      </w:pPr>
      <w:r w:rsidRPr="003D49EB">
        <w:rPr>
          <w:szCs w:val="20"/>
        </w:rPr>
        <w:t>155.</w:t>
      </w:r>
      <w:r w:rsidRPr="003D49EB">
        <w:rPr>
          <w:szCs w:val="20"/>
        </w:rPr>
        <w:tab/>
        <w:t xml:space="preserve">La Convención Americana no contempla explícitamente el derecho de “enterrar a los muertos”. La Corte Interamericana ha abordado este tema no como un derecho sustantivo, sino en el marco de las reparaciones en casos de desapariciones forzadas, principalmente, como consecuencia de la vulneración de algún otro derecho que sí esté previsto en la Convención. Así, por ejemplo, el Tribunal ha ordenado que, de encontrarse los restos de una persona desaparecida, éstos sean entregados a sus familiares y que el Estado cubra los gastos funerales o de sepultura. Asimismo, en otros casos, el Tribunal se ha referido a la imposibilidad de enterrar a los muertos como un hecho que incrementa el sufrimiento y angustia de los familiares, lo cual puede ser considerado en las reparaciones para determinar un monto como indemnización inmaterial a favor de ellos. </w:t>
      </w:r>
    </w:p>
    <w:p w14:paraId="576E9F0B" w14:textId="77777777" w:rsidR="008B2D54" w:rsidRPr="003D49EB" w:rsidRDefault="008B2D54" w:rsidP="009A4683">
      <w:pPr>
        <w:pStyle w:val="Prrafodelista"/>
        <w:spacing w:after="100" w:afterAutospacing="1"/>
        <w:ind w:left="0"/>
        <w:rPr>
          <w:szCs w:val="20"/>
          <w:lang w:val="es-PA"/>
        </w:rPr>
      </w:pPr>
      <w:r w:rsidRPr="003D49EB">
        <w:rPr>
          <w:szCs w:val="20"/>
          <w:lang w:val="es-PE"/>
        </w:rPr>
        <w:t>157.</w:t>
      </w:r>
      <w:r w:rsidRPr="003D49EB">
        <w:rPr>
          <w:szCs w:val="20"/>
          <w:lang w:val="es-PE"/>
        </w:rPr>
        <w:tab/>
        <w:t xml:space="preserve">En este caso, a pesar de que se han llevado a cabo algunas exhumaciones de restos presuntamente pertenecientes a miembros de la comunidad de Río Negro, el número de personas identificadas ha sido mínimo </w:t>
      </w:r>
      <w:r w:rsidRPr="003D49EB">
        <w:rPr>
          <w:szCs w:val="20"/>
          <w:lang w:val="es-PA"/>
        </w:rPr>
        <w:t>[…]. Además, en esta Sentencia se estableció que hay 17 personas desaparecidas forzadamente […]. Por lo tanto, es evidente que los familiares de tales personas no han podido enterrarlos ni celebrar los ritos fúnebres de acue</w:t>
      </w:r>
      <w:r w:rsidR="00B23BED" w:rsidRPr="003D49EB">
        <w:rPr>
          <w:szCs w:val="20"/>
          <w:lang w:val="es-PA"/>
        </w:rPr>
        <w:t>rdo a sus creencias religiosas.</w:t>
      </w:r>
    </w:p>
    <w:p w14:paraId="49D84263" w14:textId="77777777" w:rsidR="008B2D54" w:rsidRPr="003D49EB" w:rsidRDefault="008B2D54" w:rsidP="009A4683">
      <w:pPr>
        <w:spacing w:after="100" w:afterAutospacing="1"/>
        <w:rPr>
          <w:szCs w:val="20"/>
          <w:lang w:val="es-GT"/>
        </w:rPr>
      </w:pPr>
      <w:r w:rsidRPr="003D49EB">
        <w:rPr>
          <w:szCs w:val="20"/>
          <w:lang w:val="es-PA"/>
        </w:rPr>
        <w:t>160.</w:t>
      </w:r>
      <w:r w:rsidRPr="003D49EB">
        <w:rPr>
          <w:szCs w:val="20"/>
          <w:lang w:val="es-PA"/>
        </w:rPr>
        <w:tab/>
        <w:t xml:space="preserve">Por lo tanto, por un lado, la Corte observa que actualmente los miembros de la comunidad de Río Negro no pueden realizar sus rituales fúnebres por el hecho de que el Estado no ha localizado ni identificado a la mayor parte de los restos de personas supuestamente ejecutadas durante las masacres, y a que 17 personas se encuentran desaparecidas forzadamente. Pero, por otro lado, tampoco pueden realizar cualquier otro tipo de rituales pues los sitios sagrados a los cuales solían acudir se encuentran inundados a raíz de la construcción de la hidroeléctrica de Chixoy. Esta Corte ya ha señalado que la relación especial de los pueblos indígenas con sus territorios ancestrales no estriba solamente en que constituyen su principal medio de subsistencia, sino un elemento integrante de su cosmovisión, religiosidad y, por ende, de su identidad o integridad cultural, el cual </w:t>
      </w:r>
      <w:r w:rsidRPr="003D49EB">
        <w:rPr>
          <w:szCs w:val="20"/>
          <w:lang w:val="es-CR"/>
        </w:rPr>
        <w:t xml:space="preserve">es un derecho fundamental y de naturaleza colectiva de las comunidades indígenas, que debe ser respetado en una sociedad multicultural, pluralista y democrática, como la de Guatemala. </w:t>
      </w:r>
    </w:p>
    <w:p w14:paraId="08779E32" w14:textId="50170CF7" w:rsidR="008B2D54" w:rsidRPr="003D49EB" w:rsidRDefault="008B2D54" w:rsidP="009A4683">
      <w:pPr>
        <w:spacing w:after="100" w:afterAutospacing="1"/>
        <w:rPr>
          <w:szCs w:val="20"/>
          <w:lang w:val="es-PA"/>
        </w:rPr>
      </w:pPr>
      <w:r w:rsidRPr="003D49EB">
        <w:rPr>
          <w:szCs w:val="20"/>
          <w:lang w:val="es-PA"/>
        </w:rPr>
        <w:lastRenderedPageBreak/>
        <w:t>162.</w:t>
      </w:r>
      <w:r w:rsidRPr="003D49EB">
        <w:rPr>
          <w:szCs w:val="20"/>
          <w:lang w:val="es-PA"/>
        </w:rPr>
        <w:tab/>
        <w:t xml:space="preserve">Por otro lado, en los hechos del presente caso se estableció que las masacres sucedidas durante el conflicto armado interno en Guatemala, aunado al desplazamiento de los miembros de la comunidad de Río Negro y su reasentamiento en la colonia Pacux en condiciones precarias, generó la destrucción de su estructura social, la desintegración familiar y la pérdida de sus prácticas culturales y tradicionales, además del idioma maya achí […]. Todo ello ha impactado la vida colectiva de los miembros de la comunidad de Río Negro que hoy día todavía habitan en Pacux. En este sentido, Bruna Pérez Osorio declaró que “ahora en la comunidad, sólo dos personas practican la medicina natural porque ya eran grandes cuando ocurrieron las masacres, los pequeños ya no aprendieron estas costumbres”. </w:t>
      </w:r>
      <w:r w:rsidR="00B23BED" w:rsidRPr="003D49EB">
        <w:rPr>
          <w:szCs w:val="20"/>
          <w:lang w:val="es-PA"/>
        </w:rPr>
        <w:t>¨(…)</w:t>
      </w:r>
    </w:p>
    <w:p w14:paraId="6FFC898D" w14:textId="77777777" w:rsidR="008B2D54" w:rsidRPr="003D49EB" w:rsidRDefault="008B2D54" w:rsidP="009A4683">
      <w:pPr>
        <w:spacing w:after="100" w:afterAutospacing="1"/>
        <w:rPr>
          <w:rFonts w:cs="Arial"/>
          <w:szCs w:val="20"/>
          <w:shd w:val="clear" w:color="auto" w:fill="FFFFFF"/>
          <w:lang w:val="es-PE"/>
        </w:rPr>
      </w:pPr>
      <w:r w:rsidRPr="003D49EB">
        <w:rPr>
          <w:rFonts w:cs="Arial"/>
          <w:szCs w:val="20"/>
          <w:shd w:val="clear" w:color="auto" w:fill="FFFFFF"/>
          <w:lang w:val="es-PE"/>
        </w:rPr>
        <w:t>164.</w:t>
      </w:r>
      <w:r w:rsidRPr="003D49EB">
        <w:rPr>
          <w:rFonts w:cs="Arial"/>
          <w:szCs w:val="20"/>
          <w:shd w:val="clear" w:color="auto" w:fill="FFFFFF"/>
          <w:lang w:val="es-PE"/>
        </w:rPr>
        <w:tab/>
        <w:t xml:space="preserve">Finalmente, la Corte ha precisado que las malas condiciones de vida que </w:t>
      </w:r>
      <w:r w:rsidRPr="003D49EB">
        <w:rPr>
          <w:szCs w:val="20"/>
          <w:lang w:val="es-PA"/>
        </w:rPr>
        <w:t>padecen</w:t>
      </w:r>
      <w:r w:rsidRPr="003D49EB">
        <w:rPr>
          <w:rFonts w:cs="Arial"/>
          <w:szCs w:val="20"/>
          <w:shd w:val="clear" w:color="auto" w:fill="FFFFFF"/>
          <w:lang w:val="es-PE"/>
        </w:rPr>
        <w:t xml:space="preserve"> los miembros de una comunidad y el estado general de abandono en la que se encuentran generan sufrimientos que necesariamente afectan la integridad psíquica y moral de los miembros de dicha comunidad. Éste es el caso de las víctimas sobrevivientes de las masacres que actualmente residen en la colonia Pacux. </w:t>
      </w:r>
    </w:p>
    <w:p w14:paraId="4635D890" w14:textId="77777777" w:rsidR="008B2D54" w:rsidRPr="003D49EB" w:rsidRDefault="008B2D54" w:rsidP="009A4683">
      <w:pPr>
        <w:spacing w:after="100" w:afterAutospacing="1"/>
        <w:rPr>
          <w:szCs w:val="20"/>
        </w:rPr>
      </w:pPr>
      <w:r w:rsidRPr="003D49EB">
        <w:rPr>
          <w:szCs w:val="20"/>
          <w:lang w:val="es-PA"/>
        </w:rPr>
        <w:t>165.</w:t>
      </w:r>
      <w:r w:rsidRPr="003D49EB">
        <w:rPr>
          <w:szCs w:val="20"/>
          <w:lang w:val="es-PA"/>
        </w:rPr>
        <w:tab/>
        <w:t xml:space="preserve">En consecuencia, la Corte considera que Guatemala </w:t>
      </w:r>
      <w:r w:rsidRPr="003D49EB">
        <w:rPr>
          <w:szCs w:val="20"/>
        </w:rPr>
        <w:t xml:space="preserve">violó el artículo 5.1 de la Convención Americana, en relación con los artículos 12.1 y 1.1 de la misma, en perjuicio de los miembros de la comunidad de Río Negro que viven en </w:t>
      </w:r>
      <w:proofErr w:type="spellStart"/>
      <w:r w:rsidRPr="003D49EB">
        <w:rPr>
          <w:szCs w:val="20"/>
        </w:rPr>
        <w:t>Pacux</w:t>
      </w:r>
      <w:proofErr w:type="spellEnd"/>
      <w:r w:rsidRPr="003D49EB">
        <w:rPr>
          <w:szCs w:val="20"/>
        </w:rPr>
        <w:t>. Los nombres de dichas personas se encuentran referidos en el Anexo VII de esta Sentencia.</w:t>
      </w:r>
      <w:r w:rsidR="008B18CE" w:rsidRPr="003D49EB">
        <w:rPr>
          <w:szCs w:val="20"/>
        </w:rPr>
        <w:t xml:space="preserve"> </w:t>
      </w:r>
    </w:p>
    <w:p w14:paraId="1AC1ED59" w14:textId="05CD1F33" w:rsidR="00B10948" w:rsidRPr="003D49EB" w:rsidRDefault="006023BB" w:rsidP="009A4683">
      <w:pPr>
        <w:spacing w:after="100" w:afterAutospacing="1"/>
        <w:rPr>
          <w:rFonts w:cs="Arial"/>
          <w:b/>
          <w:szCs w:val="20"/>
          <w:lang w:val="es-PE"/>
        </w:rPr>
      </w:pPr>
      <w:r w:rsidRPr="003D49EB">
        <w:rPr>
          <w:rFonts w:cs="Arial"/>
          <w:b/>
          <w:szCs w:val="20"/>
          <w:lang w:val="es-PE"/>
        </w:rPr>
        <w:t>Corte IDH. Caso Acosta y otros Vs. Nicaragua. Excepciones Preliminares, Fondo, Reparaciones y Costas. Sentencia de 25 de marzo de 2017. Serie C No. 334.</w:t>
      </w:r>
      <w:r w:rsidR="00B10948" w:rsidRPr="003D49EB">
        <w:rPr>
          <w:rStyle w:val="Refdenotaalpie"/>
          <w:rFonts w:cs="Arial"/>
          <w:b/>
          <w:szCs w:val="20"/>
          <w:lang w:val="es-PE"/>
        </w:rPr>
        <w:footnoteReference w:id="16"/>
      </w:r>
    </w:p>
    <w:p w14:paraId="1CBB2B6D" w14:textId="77777777" w:rsidR="00B10948" w:rsidRPr="003D49EB" w:rsidRDefault="00ED20FD" w:rsidP="009A4683">
      <w:pPr>
        <w:spacing w:after="100" w:afterAutospacing="1"/>
        <w:rPr>
          <w:rFonts w:cs="Arial"/>
          <w:szCs w:val="20"/>
          <w:lang w:val="es-PE"/>
        </w:rPr>
      </w:pPr>
      <w:r w:rsidRPr="003D49EB">
        <w:rPr>
          <w:rFonts w:cs="Arial"/>
          <w:szCs w:val="20"/>
          <w:lang w:val="es-PE"/>
        </w:rPr>
        <w:t>200.</w:t>
      </w:r>
      <w:r w:rsidRPr="003D49EB">
        <w:rPr>
          <w:rFonts w:cs="Arial"/>
          <w:szCs w:val="20"/>
          <w:lang w:val="es-PE"/>
        </w:rPr>
        <w:tab/>
        <w:t>En relación con la señora Acosta, la Corte considera que han sido aportados suficientes elementos para considerar que ha sufrido particulares afectaciones a su integridad personal, en razón no sólo del grave sufrimiento por el homicidio de su esposo, sino también como consecuencia de la falta de investigación adecuada del mismo; la infundada imputación dentro del mismo procedimiento penal que se suponía debía investigar y procesar a los responsables; la estigmatización que debió enfrentar al haber sido objeto de infundadas acciones judiciales, así como la frustración frente a la impunidad parcial. En este sentido, la Corte considera que el Estado es responsable por la violación del derecho a la integridad psíquica y moral, reconocido en el artículo 5.1 de la Convención, en perjuicio de la señora Acosta.</w:t>
      </w:r>
    </w:p>
    <w:p w14:paraId="1D779F57" w14:textId="59D086D9" w:rsidR="009A0F11" w:rsidRPr="003D49EB" w:rsidRDefault="005C73B8" w:rsidP="009A0F11">
      <w:pPr>
        <w:pStyle w:val="Ttulo2"/>
      </w:pPr>
      <w:bookmarkStart w:id="8" w:name="_Toc530497968"/>
      <w:bookmarkStart w:id="9" w:name="_Toc88914967"/>
      <w:r w:rsidRPr="003D49EB">
        <w:t>Inderogabilidad del derecho a la integridad personal</w:t>
      </w:r>
      <w:bookmarkEnd w:id="8"/>
      <w:bookmarkEnd w:id="9"/>
    </w:p>
    <w:p w14:paraId="2FD210FB" w14:textId="77777777" w:rsidR="009A0F11" w:rsidRPr="003D49EB" w:rsidRDefault="009A0F11" w:rsidP="009A0F11">
      <w:pPr>
        <w:rPr>
          <w:lang w:val="es-CR"/>
        </w:rPr>
      </w:pPr>
    </w:p>
    <w:p w14:paraId="0100B6CC" w14:textId="7EF067A6" w:rsidR="009A0F11" w:rsidRDefault="009A0F11" w:rsidP="009A0F11">
      <w:pPr>
        <w:pStyle w:val="Caso"/>
      </w:pPr>
      <w:r w:rsidRPr="003D49EB">
        <w:lastRenderedPageBreak/>
        <w:t>Corte IDH. Caso de la Masacre de Pueblo Bello Vs. Colombia. Sentencia de 31 de enero de 2006. Serie C No. 140.</w:t>
      </w:r>
      <w:r w:rsidRPr="003D49EB">
        <w:rPr>
          <w:rStyle w:val="Refdenotaalpie"/>
        </w:rPr>
        <w:footnoteReference w:id="17"/>
      </w:r>
    </w:p>
    <w:p w14:paraId="67C53E9E" w14:textId="77777777" w:rsidR="007276B0" w:rsidRPr="003D49EB" w:rsidRDefault="007276B0" w:rsidP="009A0F11">
      <w:pPr>
        <w:pStyle w:val="Caso"/>
      </w:pPr>
    </w:p>
    <w:p w14:paraId="03BDC222" w14:textId="77777777" w:rsidR="007E1B35" w:rsidRPr="003D49EB" w:rsidRDefault="007E1B35" w:rsidP="009A4683">
      <w:pPr>
        <w:pStyle w:val="Textoindependiente"/>
        <w:spacing w:after="100" w:afterAutospacing="1"/>
        <w:rPr>
          <w:rFonts w:ascii="Verdana" w:hAnsi="Verdana"/>
          <w:sz w:val="20"/>
          <w:lang w:val="es-ES_tradnl"/>
        </w:rPr>
      </w:pPr>
      <w:r w:rsidRPr="003D49EB">
        <w:rPr>
          <w:rFonts w:ascii="Verdana" w:hAnsi="Verdana"/>
          <w:sz w:val="20"/>
          <w:lang w:val="es-ES_tradnl"/>
        </w:rPr>
        <w:t>119.</w:t>
      </w:r>
      <w:r w:rsidRPr="003D49EB">
        <w:rPr>
          <w:rFonts w:ascii="Verdana" w:hAnsi="Verdana"/>
          <w:sz w:val="20"/>
          <w:lang w:val="es-ES_tradnl"/>
        </w:rPr>
        <w:tab/>
        <w:t xml:space="preserve">Los derechos a la vida y a la integridad personal revisten un carácter angular en la Convención. De conformidad con el artículo 27.2 del referido tratado, esos derechos forman parte del núcleo inderogable, pues se encuentran consagrados como unos de los que no pueden ser suspendidos en casos de guerra, peligro público u otras amenazas a la independencia o seguridad de los Estados Partes. </w:t>
      </w:r>
    </w:p>
    <w:p w14:paraId="21CD4109" w14:textId="5C4B1A0B" w:rsidR="00E66910" w:rsidRPr="003D49EB" w:rsidRDefault="00E1043D" w:rsidP="009A4683">
      <w:pPr>
        <w:spacing w:after="100" w:afterAutospacing="1"/>
        <w:rPr>
          <w:b/>
          <w:szCs w:val="20"/>
        </w:rPr>
      </w:pPr>
      <w:r w:rsidRPr="003D49EB">
        <w:rPr>
          <w:b/>
          <w:szCs w:val="20"/>
        </w:rPr>
        <w:t>Corte IDH. Caso Montero Aranguren y otros (Retén de Catia) Vs. Venezuela. Excepción Preliminar, Fondo, Reparaciones y Costas. Sentencia de 5 de julio de 2006. Serie C No. 150.</w:t>
      </w:r>
      <w:r w:rsidR="00066A0C" w:rsidRPr="003D49EB">
        <w:rPr>
          <w:rStyle w:val="Refdenotaalpie"/>
          <w:rFonts w:cs="Verdana"/>
          <w:b/>
          <w:szCs w:val="20"/>
        </w:rPr>
        <w:footnoteReference w:id="18"/>
      </w:r>
    </w:p>
    <w:p w14:paraId="5A44AFF7" w14:textId="77777777" w:rsidR="00E66910" w:rsidRPr="003D49EB" w:rsidRDefault="00E66910" w:rsidP="009A4683">
      <w:pPr>
        <w:spacing w:after="100" w:afterAutospacing="1"/>
        <w:rPr>
          <w:szCs w:val="20"/>
          <w:lang w:val="es-ES_tradnl"/>
        </w:rPr>
      </w:pPr>
      <w:r w:rsidRPr="003D49EB">
        <w:rPr>
          <w:szCs w:val="20"/>
          <w:lang w:val="es-ES_tradnl"/>
        </w:rPr>
        <w:t>85.</w:t>
      </w:r>
      <w:r w:rsidRPr="003D49EB">
        <w:rPr>
          <w:szCs w:val="20"/>
          <w:lang w:val="es-ES_tradnl"/>
        </w:rPr>
        <w:tab/>
        <w:t>El artículo 5 de la Convención consagra uno de los valores más fundamentales en una sociedad democrática: el derecho a la integridad personal, según el cual “[t]oda persona tiene derecho a que se respete su integridad física, psíquica y moral”, y quedan expresamente prohibidos la tortura y las penas o tratos crueles, inhumanos o degradantes. En lo que se refiere a personas privadas de la libertad el propio artículo 5.2 de la Convención establece que serán tratadas con el respeto debido a la dignidad inherente al ser humano. De conformidad con el artículo 27.2 de la Convención este derecho forma parte del núcleo inderogable, pues se encuentra consagrado como uno de los que no puede ser suspendido en casos de guerra, peligro público u otras amenazas a la independencia o seguridad de los Estados Partes. En tal sentido, los Estados no pueden alegar dificultades económicas para justificar condiciones de detención que sean tan pobres que no respeten la dignidad inherente del ser humano.</w:t>
      </w:r>
    </w:p>
    <w:p w14:paraId="181F6B54" w14:textId="42C8D6C6" w:rsidR="00D874BE" w:rsidRPr="003D49EB" w:rsidRDefault="00401CD4" w:rsidP="009A4683">
      <w:pPr>
        <w:spacing w:after="100" w:afterAutospacing="1"/>
        <w:rPr>
          <w:b/>
          <w:szCs w:val="20"/>
        </w:rPr>
      </w:pPr>
      <w:r w:rsidRPr="003D49EB">
        <w:rPr>
          <w:b/>
          <w:szCs w:val="20"/>
        </w:rPr>
        <w:t>Corte IDH. Caso Familia Barrios Vs. Venezuela. Fondo, Reparaciones y Costas. Sentencia de 24 de noviembre de 2011. Serie C No. 237.</w:t>
      </w:r>
      <w:r w:rsidR="00D874BE" w:rsidRPr="003D49EB">
        <w:rPr>
          <w:b/>
          <w:szCs w:val="20"/>
        </w:rPr>
        <w:t xml:space="preserve"> </w:t>
      </w:r>
    </w:p>
    <w:p w14:paraId="4F4945C3" w14:textId="16D6B314" w:rsidR="00401CD4" w:rsidRPr="003D49EB" w:rsidRDefault="00D874BE" w:rsidP="00401CD4">
      <w:r w:rsidRPr="003D49EB">
        <w:t>50.</w:t>
      </w:r>
      <w:r w:rsidRPr="003D49EB">
        <w:tab/>
        <w:t xml:space="preserve">Por otra parte, la Convención Americana reconoce expresamente el derecho a la integridad personal, bien jurídico cuya protección encierra la finalidad principal de la prohibición imperativa de la tortura y penas o tratos crueles, inhumanos o degradantes. Este Tribunal ha considerado de forma constante en su jurisprudencia que dicha prohibición pertenece hoy día al dominio del </w:t>
      </w:r>
      <w:r w:rsidRPr="003D49EB">
        <w:rPr>
          <w:i/>
          <w:iCs/>
        </w:rPr>
        <w:t>ius cogens</w:t>
      </w:r>
      <w:r w:rsidRPr="003D49EB">
        <w:t xml:space="preserve">. El derecho a la integridad personal no puede ser suspendido bajo circunstancia alguna. </w:t>
      </w:r>
    </w:p>
    <w:p w14:paraId="45A0BEE9" w14:textId="77777777" w:rsidR="00401CD4" w:rsidRPr="003D49EB" w:rsidRDefault="00401CD4" w:rsidP="00401CD4"/>
    <w:p w14:paraId="2C4CC529" w14:textId="30A3E664" w:rsidR="00211F53" w:rsidRPr="003D49EB" w:rsidRDefault="00401CD4" w:rsidP="009A4683">
      <w:pPr>
        <w:spacing w:after="100" w:afterAutospacing="1"/>
        <w:rPr>
          <w:b/>
          <w:szCs w:val="20"/>
        </w:rPr>
      </w:pPr>
      <w:r w:rsidRPr="00401CD4">
        <w:rPr>
          <w:b/>
          <w:szCs w:val="20"/>
        </w:rPr>
        <w:lastRenderedPageBreak/>
        <w:t xml:space="preserve">Corte IDH. Caso </w:t>
      </w:r>
      <w:proofErr w:type="spellStart"/>
      <w:r w:rsidRPr="00401CD4">
        <w:rPr>
          <w:b/>
          <w:szCs w:val="20"/>
        </w:rPr>
        <w:t>Quispialaya</w:t>
      </w:r>
      <w:proofErr w:type="spellEnd"/>
      <w:r w:rsidRPr="00401CD4">
        <w:rPr>
          <w:b/>
          <w:szCs w:val="20"/>
        </w:rPr>
        <w:t xml:space="preserve"> </w:t>
      </w:r>
      <w:proofErr w:type="spellStart"/>
      <w:r w:rsidRPr="00401CD4">
        <w:rPr>
          <w:b/>
          <w:szCs w:val="20"/>
        </w:rPr>
        <w:t>Vilcapoma</w:t>
      </w:r>
      <w:proofErr w:type="spellEnd"/>
      <w:r w:rsidRPr="00401CD4">
        <w:rPr>
          <w:b/>
          <w:szCs w:val="20"/>
        </w:rPr>
        <w:t xml:space="preserve"> Vs. Perú. Excepciones Preliminares, Fondo, Reparaciones y Costas. Sentencia de 23 de noviembre de 2015. Serie C No. 308</w:t>
      </w:r>
      <w:r w:rsidR="00211F53" w:rsidRPr="003D49EB">
        <w:rPr>
          <w:b/>
          <w:szCs w:val="20"/>
          <w:lang w:val="es-ES_tradnl"/>
        </w:rPr>
        <w:t>.</w:t>
      </w:r>
      <w:r w:rsidRPr="003D49EB">
        <w:rPr>
          <w:rStyle w:val="Refdenotaalpie"/>
          <w:b/>
          <w:szCs w:val="20"/>
          <w:lang w:val="es-ES_tradnl"/>
        </w:rPr>
        <w:footnoteReference w:id="19"/>
      </w:r>
      <w:r w:rsidR="00211F53" w:rsidRPr="003D49EB">
        <w:rPr>
          <w:b/>
          <w:szCs w:val="20"/>
          <w:lang w:val="es-ES_tradnl"/>
        </w:rPr>
        <w:t xml:space="preserve"> </w:t>
      </w:r>
    </w:p>
    <w:p w14:paraId="18349043" w14:textId="77777777" w:rsidR="00211F53" w:rsidRPr="003D49EB" w:rsidRDefault="00211F53" w:rsidP="009A4683">
      <w:pPr>
        <w:spacing w:after="100" w:afterAutospacing="1"/>
        <w:rPr>
          <w:szCs w:val="20"/>
          <w:lang w:val="es-ES_tradnl"/>
        </w:rPr>
      </w:pPr>
      <w:r w:rsidRPr="003D49EB">
        <w:rPr>
          <w:szCs w:val="20"/>
          <w:lang w:val="es-ES_tradnl"/>
        </w:rPr>
        <w:t>126.</w:t>
      </w:r>
      <w:r w:rsidRPr="003D49EB">
        <w:rPr>
          <w:szCs w:val="20"/>
          <w:lang w:val="es-ES_tradnl"/>
        </w:rPr>
        <w:tab/>
        <w:t>Este Tribunal ha establecido que la tortura y las penas o tratos crueles, inhumanos o degradantes se encuentran estrictamente prohibidos por el Derecho Internacional de los Derechos Humanos. Dicha prohibición es absoluta e inderogable, aún en las circunstancias más difíciles, tales como guerra, amenaza de guerra, lucha contra el terrorismo y cualesquiera otros delitos, estado de sitio o de emergencia, conmoción o conflicto interior, suspensión de garantías constitucionales, inestabilidad política interna u otras eme</w:t>
      </w:r>
      <w:r w:rsidR="00B23BED" w:rsidRPr="003D49EB">
        <w:rPr>
          <w:szCs w:val="20"/>
          <w:lang w:val="es-ES_tradnl"/>
        </w:rPr>
        <w:t>rgencias o calamidades públicas</w:t>
      </w:r>
      <w:r w:rsidRPr="003D49EB">
        <w:rPr>
          <w:szCs w:val="20"/>
          <w:lang w:val="es-ES_tradnl"/>
        </w:rPr>
        <w:t>.</w:t>
      </w:r>
    </w:p>
    <w:p w14:paraId="126818B9" w14:textId="777E54B7" w:rsidR="00EE1AA0" w:rsidRPr="003D49EB" w:rsidRDefault="00681B0D" w:rsidP="009A4683">
      <w:pPr>
        <w:pStyle w:val="Ttulo2"/>
      </w:pPr>
      <w:bookmarkStart w:id="10" w:name="_Toc530497969"/>
      <w:bookmarkStart w:id="11" w:name="_Toc88914968"/>
      <w:r w:rsidRPr="003D49EB">
        <w:t>Derecho a la integridad personal y vinculación con otros derechos: vida y libertad personal</w:t>
      </w:r>
      <w:bookmarkEnd w:id="10"/>
      <w:bookmarkEnd w:id="11"/>
    </w:p>
    <w:p w14:paraId="3E891BB1" w14:textId="1678569C" w:rsidR="00EC633C" w:rsidRPr="003D49EB" w:rsidRDefault="00681B0D" w:rsidP="009A4683">
      <w:pPr>
        <w:pStyle w:val="Ttulo3"/>
        <w:rPr>
          <w:lang w:val="es-CR"/>
        </w:rPr>
      </w:pPr>
      <w:bookmarkStart w:id="12" w:name="_Toc530497970"/>
      <w:bookmarkStart w:id="13" w:name="_Toc88914969"/>
      <w:r w:rsidRPr="003D49EB">
        <w:rPr>
          <w:lang w:val="es-CR"/>
        </w:rPr>
        <w:t xml:space="preserve">A) </w:t>
      </w:r>
      <w:r w:rsidR="00EC633C" w:rsidRPr="003D49EB">
        <w:rPr>
          <w:lang w:val="es-CR"/>
        </w:rPr>
        <w:t>Privación ilegal de libertad e integridad personal</w:t>
      </w:r>
      <w:bookmarkEnd w:id="12"/>
      <w:bookmarkEnd w:id="13"/>
    </w:p>
    <w:p w14:paraId="2CF82EC4" w14:textId="30EC0463" w:rsidR="00EC633C" w:rsidRPr="003D49EB" w:rsidRDefault="00EC633C" w:rsidP="009A4683">
      <w:pPr>
        <w:spacing w:after="100" w:afterAutospacing="1"/>
        <w:rPr>
          <w:szCs w:val="20"/>
          <w:lang w:val="es-CR"/>
        </w:rPr>
      </w:pPr>
      <w:r w:rsidRPr="003D49EB">
        <w:rPr>
          <w:szCs w:val="20"/>
          <w:lang w:val="es-CR"/>
        </w:rPr>
        <w:t xml:space="preserve">Este tema </w:t>
      </w:r>
      <w:r w:rsidR="00305729" w:rsidRPr="003D49EB">
        <w:rPr>
          <w:szCs w:val="20"/>
          <w:lang w:val="es-CR"/>
        </w:rPr>
        <w:t xml:space="preserve">es </w:t>
      </w:r>
      <w:r w:rsidRPr="003D49EB">
        <w:rPr>
          <w:szCs w:val="20"/>
          <w:lang w:val="es-CR"/>
        </w:rPr>
        <w:t xml:space="preserve">tratado en el </w:t>
      </w:r>
      <w:hyperlink r:id="rId8" w:history="1">
        <w:r w:rsidRPr="003D49EB">
          <w:rPr>
            <w:rStyle w:val="Hipervnculo"/>
            <w:color w:val="auto"/>
            <w:szCs w:val="20"/>
            <w:u w:val="none"/>
            <w:lang w:val="es-CR"/>
          </w:rPr>
          <w:t>Cuadernillo de Jurisprudencia Nº 9 de la Corte IDH</w:t>
        </w:r>
        <w:r w:rsidR="00305729" w:rsidRPr="003D49EB">
          <w:rPr>
            <w:rStyle w:val="Hipervnculo"/>
            <w:color w:val="auto"/>
            <w:szCs w:val="20"/>
            <w:u w:val="none"/>
            <w:lang w:val="es-CR"/>
          </w:rPr>
          <w:t xml:space="preserve"> sobre </w:t>
        </w:r>
        <w:r w:rsidRPr="003D49EB">
          <w:rPr>
            <w:rStyle w:val="Hipervnculo"/>
            <w:color w:val="auto"/>
            <w:szCs w:val="20"/>
            <w:u w:val="none"/>
            <w:lang w:val="es-CR"/>
          </w:rPr>
          <w:t>Privados de libertad</w:t>
        </w:r>
      </w:hyperlink>
      <w:r w:rsidRPr="003D49EB">
        <w:rPr>
          <w:szCs w:val="20"/>
          <w:lang w:val="es-CR"/>
        </w:rPr>
        <w:t>.</w:t>
      </w:r>
    </w:p>
    <w:p w14:paraId="4826EA65" w14:textId="53E0721C" w:rsidR="00ED1206" w:rsidRPr="003D49EB" w:rsidRDefault="00681B0D" w:rsidP="009A4683">
      <w:pPr>
        <w:pStyle w:val="Ttulo3"/>
        <w:rPr>
          <w:lang w:val="es-CR"/>
        </w:rPr>
      </w:pPr>
      <w:bookmarkStart w:id="14" w:name="_Toc530497971"/>
      <w:bookmarkStart w:id="15" w:name="_Toc88914970"/>
      <w:r w:rsidRPr="003D49EB">
        <w:rPr>
          <w:lang w:val="es-CR"/>
        </w:rPr>
        <w:t xml:space="preserve">B) </w:t>
      </w:r>
      <w:r w:rsidR="00ED1206" w:rsidRPr="003D49EB">
        <w:rPr>
          <w:lang w:val="es-CR"/>
        </w:rPr>
        <w:t>Desaparición forzada de personas e integridad personal</w:t>
      </w:r>
      <w:bookmarkEnd w:id="14"/>
      <w:bookmarkEnd w:id="15"/>
    </w:p>
    <w:p w14:paraId="17FB12B0" w14:textId="30EF2AC1" w:rsidR="00ED1206" w:rsidRPr="003D49EB" w:rsidRDefault="00ED1206" w:rsidP="009A4683">
      <w:pPr>
        <w:spacing w:after="100" w:afterAutospacing="1"/>
        <w:rPr>
          <w:szCs w:val="20"/>
          <w:lang w:val="es-CR"/>
        </w:rPr>
      </w:pPr>
      <w:r w:rsidRPr="003D49EB">
        <w:rPr>
          <w:szCs w:val="20"/>
          <w:lang w:val="es-CR"/>
        </w:rPr>
        <w:t xml:space="preserve">Este tema </w:t>
      </w:r>
      <w:r w:rsidR="00305729" w:rsidRPr="003D49EB">
        <w:rPr>
          <w:szCs w:val="20"/>
          <w:lang w:val="es-CR"/>
        </w:rPr>
        <w:t xml:space="preserve">es </w:t>
      </w:r>
      <w:r w:rsidRPr="003D49EB">
        <w:rPr>
          <w:szCs w:val="20"/>
          <w:lang w:val="es-CR"/>
        </w:rPr>
        <w:t xml:space="preserve">tratado en el </w:t>
      </w:r>
      <w:hyperlink r:id="rId9" w:history="1">
        <w:r w:rsidRPr="003D49EB">
          <w:rPr>
            <w:rStyle w:val="Hipervnculo"/>
            <w:color w:val="auto"/>
            <w:szCs w:val="20"/>
            <w:u w:val="none"/>
            <w:lang w:val="es-CR"/>
          </w:rPr>
          <w:t>Cuadernillo de Jurisprudencia N° 6 de la Corte IDH</w:t>
        </w:r>
      </w:hyperlink>
      <w:r w:rsidRPr="003D49EB">
        <w:rPr>
          <w:szCs w:val="20"/>
          <w:lang w:val="es-CR"/>
        </w:rPr>
        <w:t xml:space="preserve"> sobre Desaparición Forzada. </w:t>
      </w:r>
    </w:p>
    <w:p w14:paraId="1608B64B" w14:textId="77777777" w:rsidR="008B18CE" w:rsidRPr="003D49EB" w:rsidRDefault="008B18CE" w:rsidP="009A4683">
      <w:pPr>
        <w:spacing w:after="100" w:afterAutospacing="1"/>
        <w:rPr>
          <w:szCs w:val="20"/>
          <w:lang w:val="es-CR"/>
        </w:rPr>
      </w:pPr>
    </w:p>
    <w:p w14:paraId="6746123E" w14:textId="77777777" w:rsidR="00960F41" w:rsidRPr="003D49EB" w:rsidRDefault="00960F41" w:rsidP="009A4683">
      <w:pPr>
        <w:spacing w:after="100" w:afterAutospacing="1"/>
        <w:rPr>
          <w:szCs w:val="20"/>
          <w:lang w:val="es-CR"/>
        </w:rPr>
      </w:pPr>
    </w:p>
    <w:p w14:paraId="0636BACE" w14:textId="77777777" w:rsidR="00960F41" w:rsidRPr="003D49EB" w:rsidRDefault="00960F41" w:rsidP="009A4683">
      <w:pPr>
        <w:spacing w:after="100" w:afterAutospacing="1"/>
        <w:rPr>
          <w:szCs w:val="20"/>
          <w:lang w:val="es-CR"/>
        </w:rPr>
      </w:pPr>
    </w:p>
    <w:p w14:paraId="7CA921FC" w14:textId="77777777" w:rsidR="00960F41" w:rsidRPr="003D49EB" w:rsidRDefault="00960F41" w:rsidP="009A4683">
      <w:pPr>
        <w:spacing w:after="100" w:afterAutospacing="1"/>
        <w:rPr>
          <w:szCs w:val="20"/>
          <w:lang w:val="es-CR"/>
        </w:rPr>
      </w:pPr>
    </w:p>
    <w:p w14:paraId="7F89C6BD" w14:textId="77777777" w:rsidR="00960F41" w:rsidRPr="003D49EB" w:rsidRDefault="00960F41" w:rsidP="009A4683">
      <w:pPr>
        <w:spacing w:after="100" w:afterAutospacing="1"/>
        <w:rPr>
          <w:szCs w:val="20"/>
          <w:lang w:val="es-CR"/>
        </w:rPr>
      </w:pPr>
    </w:p>
    <w:p w14:paraId="639A4D26" w14:textId="10F867CC" w:rsidR="008B18CE" w:rsidRPr="003D49EB" w:rsidRDefault="008B18CE" w:rsidP="009A4683">
      <w:pPr>
        <w:spacing w:after="100" w:afterAutospacing="1"/>
        <w:rPr>
          <w:szCs w:val="20"/>
          <w:lang w:val="es-CR"/>
        </w:rPr>
      </w:pPr>
    </w:p>
    <w:p w14:paraId="318E9AD3" w14:textId="77777777" w:rsidR="0025074F" w:rsidRPr="003D49EB" w:rsidRDefault="0025074F" w:rsidP="009A4683">
      <w:pPr>
        <w:spacing w:after="100" w:afterAutospacing="1"/>
        <w:rPr>
          <w:szCs w:val="20"/>
          <w:lang w:val="es-CR"/>
        </w:rPr>
      </w:pPr>
    </w:p>
    <w:p w14:paraId="46D65955" w14:textId="77777777" w:rsidR="0025074F" w:rsidRPr="003D49EB" w:rsidRDefault="0025074F" w:rsidP="009A4683">
      <w:pPr>
        <w:spacing w:after="100" w:afterAutospacing="1"/>
        <w:rPr>
          <w:szCs w:val="20"/>
          <w:lang w:val="es-CR"/>
        </w:rPr>
      </w:pPr>
    </w:p>
    <w:p w14:paraId="282DF310" w14:textId="77777777" w:rsidR="0025074F" w:rsidRPr="003D49EB" w:rsidRDefault="0025074F" w:rsidP="009A4683">
      <w:pPr>
        <w:jc w:val="center"/>
        <w:outlineLvl w:val="0"/>
        <w:rPr>
          <w:szCs w:val="20"/>
        </w:rPr>
      </w:pPr>
    </w:p>
    <w:p w14:paraId="05D276D8" w14:textId="2741871D" w:rsidR="002D2ADC" w:rsidRPr="003D49EB" w:rsidRDefault="002D2ADC" w:rsidP="006E5C73">
      <w:pPr>
        <w:pStyle w:val="Footnotes"/>
      </w:pPr>
    </w:p>
    <w:p w14:paraId="762601A0" w14:textId="77777777" w:rsidR="00375D83" w:rsidRPr="003D49EB" w:rsidRDefault="002D2ADC" w:rsidP="009A4683">
      <w:pPr>
        <w:pStyle w:val="Ttulo1"/>
      </w:pPr>
      <w:bookmarkStart w:id="16" w:name="_Toc530497972"/>
      <w:bookmarkStart w:id="17" w:name="_Toc88914971"/>
      <w:r w:rsidRPr="003D49EB">
        <w:lastRenderedPageBreak/>
        <w:t xml:space="preserve">2. </w:t>
      </w:r>
      <w:r w:rsidR="00375D83" w:rsidRPr="003D49EB">
        <w:t>La prohibición de tortura y otros tratos crueles inhumanos o degradantes</w:t>
      </w:r>
      <w:bookmarkEnd w:id="16"/>
      <w:bookmarkEnd w:id="17"/>
      <w:r w:rsidR="00375D83" w:rsidRPr="003D49EB">
        <w:t xml:space="preserve"> </w:t>
      </w:r>
    </w:p>
    <w:p w14:paraId="7E43C5E2" w14:textId="77777777" w:rsidR="009D5E41" w:rsidRPr="003D49EB" w:rsidRDefault="009D5E41" w:rsidP="009A4683">
      <w:pPr>
        <w:spacing w:after="100" w:afterAutospacing="1"/>
        <w:rPr>
          <w:szCs w:val="20"/>
        </w:rPr>
      </w:pPr>
    </w:p>
    <w:p w14:paraId="2B194A11" w14:textId="6247F9B7" w:rsidR="00E46FF6" w:rsidRPr="003D49EB" w:rsidRDefault="00E46FF6" w:rsidP="009A4683">
      <w:pPr>
        <w:spacing w:after="100" w:afterAutospacing="1"/>
        <w:rPr>
          <w:szCs w:val="20"/>
        </w:rPr>
      </w:pPr>
      <w:r w:rsidRPr="003D49EB">
        <w:rPr>
          <w:szCs w:val="20"/>
        </w:rPr>
        <w:t>La Corte IDH en su jurisprudencia ha establecido que la prohibici</w:t>
      </w:r>
      <w:r w:rsidR="00065564" w:rsidRPr="003D49EB">
        <w:rPr>
          <w:szCs w:val="20"/>
        </w:rPr>
        <w:t xml:space="preserve">ón </w:t>
      </w:r>
      <w:r w:rsidRPr="003D49EB">
        <w:rPr>
          <w:szCs w:val="20"/>
        </w:rPr>
        <w:t>de la tortura</w:t>
      </w:r>
      <w:r w:rsidR="00065564" w:rsidRPr="003D49EB">
        <w:rPr>
          <w:szCs w:val="20"/>
        </w:rPr>
        <w:t xml:space="preserve"> (en todas sus formas)</w:t>
      </w:r>
      <w:r w:rsidR="00476141" w:rsidRPr="003D49EB">
        <w:rPr>
          <w:szCs w:val="20"/>
        </w:rPr>
        <w:t xml:space="preserve"> </w:t>
      </w:r>
      <w:r w:rsidRPr="003D49EB">
        <w:rPr>
          <w:szCs w:val="20"/>
        </w:rPr>
        <w:t xml:space="preserve">es una norma de </w:t>
      </w:r>
      <w:r w:rsidRPr="003D49EB">
        <w:rPr>
          <w:i/>
          <w:szCs w:val="20"/>
        </w:rPr>
        <w:t>ius cogens</w:t>
      </w:r>
      <w:r w:rsidRPr="003D49EB">
        <w:rPr>
          <w:szCs w:val="20"/>
        </w:rPr>
        <w:t xml:space="preserve">. En este sentido, </w:t>
      </w:r>
      <w:r w:rsidR="00065564" w:rsidRPr="003D49EB">
        <w:rPr>
          <w:szCs w:val="20"/>
        </w:rPr>
        <w:t xml:space="preserve">ha profundizado en la inderogabilidad de la norma y en su vigencia en todas las circunstancias (incluyendo amenazas a la seguridad nacional, guerras, estados de emergencia, </w:t>
      </w:r>
      <w:r w:rsidR="00E103E1" w:rsidRPr="003D49EB">
        <w:rPr>
          <w:szCs w:val="20"/>
        </w:rPr>
        <w:t>entre otros</w:t>
      </w:r>
      <w:r w:rsidR="00065564" w:rsidRPr="003D49EB">
        <w:rPr>
          <w:szCs w:val="20"/>
        </w:rPr>
        <w:t>).</w:t>
      </w:r>
    </w:p>
    <w:p w14:paraId="13447CEB" w14:textId="4E1B4390" w:rsidR="009D5E41" w:rsidRPr="003D49EB" w:rsidRDefault="00E56EED" w:rsidP="009D5E41">
      <w:pPr>
        <w:pStyle w:val="Ttulo2"/>
      </w:pPr>
      <w:bookmarkStart w:id="18" w:name="_Toc530497973"/>
      <w:bookmarkStart w:id="19" w:name="_Toc88914972"/>
      <w:r w:rsidRPr="003D49EB">
        <w:t xml:space="preserve">La prohibición de tortura </w:t>
      </w:r>
      <w:r w:rsidR="00F40854" w:rsidRPr="003D49EB">
        <w:t xml:space="preserve">como norma de </w:t>
      </w:r>
      <w:r w:rsidR="00F40854" w:rsidRPr="003D49EB">
        <w:rPr>
          <w:i/>
        </w:rPr>
        <w:t>ius cogens</w:t>
      </w:r>
      <w:r w:rsidR="00F40854" w:rsidRPr="003D49EB">
        <w:t xml:space="preserve"> e inderogabilidad</w:t>
      </w:r>
      <w:bookmarkEnd w:id="18"/>
      <w:bookmarkEnd w:id="19"/>
      <w:r w:rsidR="00F40854" w:rsidRPr="003D49EB">
        <w:t xml:space="preserve"> </w:t>
      </w:r>
    </w:p>
    <w:p w14:paraId="06FBC1EF" w14:textId="77777777" w:rsidR="009D5E41" w:rsidRPr="003D49EB" w:rsidRDefault="009D5E41" w:rsidP="009D5E41">
      <w:pPr>
        <w:rPr>
          <w:lang w:val="es-CR"/>
        </w:rPr>
      </w:pPr>
    </w:p>
    <w:p w14:paraId="622A3B02" w14:textId="0926B03E" w:rsidR="009D5E41" w:rsidRPr="003D49EB" w:rsidRDefault="009D5E41" w:rsidP="009A4683">
      <w:pPr>
        <w:widowControl w:val="0"/>
        <w:spacing w:after="100" w:afterAutospacing="1"/>
        <w:rPr>
          <w:b/>
          <w:szCs w:val="20"/>
        </w:rPr>
      </w:pPr>
      <w:r w:rsidRPr="003D49EB">
        <w:rPr>
          <w:b/>
          <w:szCs w:val="20"/>
        </w:rPr>
        <w:t>Corte IDH. Caso "Instituto de Reeducación del Menor" Vs. Paraguay. Excepciones Preliminares, Fondo, Reparaciones y Costas. Sentencia de 2 de septiembre de 2004. Serie C No. 112.</w:t>
      </w:r>
      <w:r w:rsidRPr="003D49EB">
        <w:rPr>
          <w:rStyle w:val="Refdenotaalpie"/>
          <w:b/>
          <w:szCs w:val="20"/>
        </w:rPr>
        <w:footnoteReference w:id="20"/>
      </w:r>
      <w:r w:rsidRPr="003D49EB">
        <w:rPr>
          <w:b/>
          <w:szCs w:val="20"/>
        </w:rPr>
        <w:t xml:space="preserve"> </w:t>
      </w:r>
    </w:p>
    <w:p w14:paraId="680B1E71" w14:textId="22F9BF3D" w:rsidR="00B81108" w:rsidRPr="003D49EB" w:rsidRDefault="00B81108" w:rsidP="009A4683">
      <w:pPr>
        <w:widowControl w:val="0"/>
        <w:spacing w:after="100" w:afterAutospacing="1"/>
        <w:rPr>
          <w:szCs w:val="20"/>
        </w:rPr>
      </w:pPr>
      <w:r w:rsidRPr="003D49EB">
        <w:rPr>
          <w:szCs w:val="20"/>
        </w:rPr>
        <w:t>157.</w:t>
      </w:r>
      <w:r w:rsidRPr="003D49EB">
        <w:rPr>
          <w:szCs w:val="20"/>
        </w:rPr>
        <w:tab/>
        <w:t xml:space="preserve">Por otro lado, el derecho a la integridad personal es de tal importancia que la Convención Americana lo protege particularmente al establecer, </w:t>
      </w:r>
      <w:r w:rsidRPr="003D49EB">
        <w:rPr>
          <w:i/>
          <w:szCs w:val="20"/>
        </w:rPr>
        <w:t>inter alia</w:t>
      </w:r>
      <w:r w:rsidRPr="003D49EB">
        <w:rPr>
          <w:szCs w:val="20"/>
        </w:rPr>
        <w:t xml:space="preserve">, la prohibición de la tortura, los tratos crueles, inhumanos y degradantes y la imposibilidad de suspenderlo durante estados de emergencia. </w:t>
      </w:r>
    </w:p>
    <w:p w14:paraId="0D9BCA04" w14:textId="287E87C4" w:rsidR="002C7802" w:rsidRPr="003D49EB" w:rsidRDefault="00C24F2D" w:rsidP="009A4683">
      <w:pPr>
        <w:spacing w:after="100" w:afterAutospacing="1"/>
        <w:rPr>
          <w:b/>
          <w:szCs w:val="20"/>
        </w:rPr>
      </w:pPr>
      <w:r w:rsidRPr="003D49EB">
        <w:rPr>
          <w:b/>
          <w:szCs w:val="20"/>
        </w:rPr>
        <w:t>Corte IDH. Caso Tibi Vs. Ecuador. Excepciones Preliminares, Fondo, Reparaciones y Costas. Sentencia de 7 de septiembre de 2004. Serie C No. 114.</w:t>
      </w:r>
      <w:r w:rsidR="00211881" w:rsidRPr="003D49EB">
        <w:rPr>
          <w:rStyle w:val="Refdenotaalpie"/>
          <w:b/>
          <w:szCs w:val="20"/>
          <w:shd w:val="clear" w:color="auto" w:fill="FFFFFF"/>
        </w:rPr>
        <w:footnoteReference w:id="21"/>
      </w:r>
    </w:p>
    <w:p w14:paraId="2CA1C3AF" w14:textId="77777777" w:rsidR="001F1478" w:rsidRPr="003D49EB" w:rsidRDefault="002C7802" w:rsidP="009A4683">
      <w:pPr>
        <w:pStyle w:val="Sangradetextonormal"/>
        <w:spacing w:after="100" w:afterAutospacing="1"/>
        <w:ind w:left="0"/>
        <w:rPr>
          <w:szCs w:val="20"/>
        </w:rPr>
      </w:pPr>
      <w:r w:rsidRPr="003D49EB">
        <w:rPr>
          <w:szCs w:val="20"/>
        </w:rPr>
        <w:t>143.</w:t>
      </w:r>
      <w:r w:rsidRPr="003D49EB">
        <w:rPr>
          <w:szCs w:val="20"/>
        </w:rPr>
        <w:tab/>
        <w:t xml:space="preserve">Existe un régimen jurídico internacional de prohibición absoluta de todas las formas de tortura, tanto física como psicológica, régimen que pertenece hoy día al dominio del </w:t>
      </w:r>
      <w:r w:rsidRPr="003D49EB">
        <w:rPr>
          <w:i/>
          <w:iCs/>
          <w:szCs w:val="20"/>
        </w:rPr>
        <w:t>ius cogens</w:t>
      </w:r>
      <w:r w:rsidRPr="003D49EB">
        <w:rPr>
          <w:szCs w:val="20"/>
        </w:rPr>
        <w:t>.</w:t>
      </w:r>
      <w:r w:rsidR="008B18CE" w:rsidRPr="003D49EB">
        <w:rPr>
          <w:szCs w:val="20"/>
        </w:rPr>
        <w:t xml:space="preserve"> </w:t>
      </w:r>
      <w:r w:rsidRPr="003D49EB">
        <w:rPr>
          <w:szCs w:val="20"/>
        </w:rPr>
        <w:t>La prohibición de la tortura es completa e inderogable, aun en las circunstancias más difíciles, tales como guerra, amenaza de guerra, lucha contra el terrorismo y cualesquiera otros delitos, estado de sitio o de emergencia, conmoción o conflicto interior, suspensión de garantías constitucionales, inestabilidad política interna u otras emergencias o calamidades públicas.</w:t>
      </w:r>
      <w:r w:rsidR="008B18CE" w:rsidRPr="003D49EB">
        <w:rPr>
          <w:szCs w:val="20"/>
        </w:rPr>
        <w:t xml:space="preserve"> </w:t>
      </w:r>
    </w:p>
    <w:p w14:paraId="54DCEE4F" w14:textId="7EFA2EE1" w:rsidR="001F1478" w:rsidRPr="003D49EB" w:rsidRDefault="00386954" w:rsidP="009A4683">
      <w:pPr>
        <w:spacing w:after="100" w:afterAutospacing="1"/>
        <w:rPr>
          <w:b/>
          <w:szCs w:val="20"/>
        </w:rPr>
      </w:pPr>
      <w:r w:rsidRPr="00386954">
        <w:rPr>
          <w:b/>
          <w:szCs w:val="20"/>
        </w:rPr>
        <w:t xml:space="preserve">Corte IDH. Caso </w:t>
      </w:r>
      <w:proofErr w:type="spellStart"/>
      <w:r w:rsidRPr="00386954">
        <w:rPr>
          <w:b/>
          <w:szCs w:val="20"/>
        </w:rPr>
        <w:t>Lori</w:t>
      </w:r>
      <w:proofErr w:type="spellEnd"/>
      <w:r w:rsidRPr="00386954">
        <w:rPr>
          <w:b/>
          <w:szCs w:val="20"/>
        </w:rPr>
        <w:t xml:space="preserve"> </w:t>
      </w:r>
      <w:proofErr w:type="spellStart"/>
      <w:r w:rsidRPr="00386954">
        <w:rPr>
          <w:b/>
          <w:szCs w:val="20"/>
        </w:rPr>
        <w:t>Berenson</w:t>
      </w:r>
      <w:proofErr w:type="spellEnd"/>
      <w:r w:rsidRPr="00386954">
        <w:rPr>
          <w:b/>
          <w:szCs w:val="20"/>
        </w:rPr>
        <w:t xml:space="preserve"> Mejía Vs. Perú. Fondo, Reparaciones y Costas. Sentencia de 25 de noviembre de 2004. Serie C No. 119.</w:t>
      </w:r>
      <w:r w:rsidRPr="003D49EB">
        <w:rPr>
          <w:rStyle w:val="Refdenotaalpie"/>
          <w:b/>
          <w:szCs w:val="20"/>
        </w:rPr>
        <w:footnoteReference w:id="22"/>
      </w:r>
    </w:p>
    <w:p w14:paraId="3AAF2F75" w14:textId="66839C51" w:rsidR="002F6087" w:rsidRPr="003D49EB" w:rsidRDefault="001F1478" w:rsidP="009A4683">
      <w:pPr>
        <w:spacing w:after="100" w:afterAutospacing="1"/>
        <w:rPr>
          <w:b/>
          <w:i/>
          <w:szCs w:val="20"/>
        </w:rPr>
      </w:pPr>
      <w:r w:rsidRPr="003D49EB">
        <w:rPr>
          <w:szCs w:val="20"/>
        </w:rPr>
        <w:lastRenderedPageBreak/>
        <w:t>100.</w:t>
      </w:r>
      <w:r w:rsidRPr="003D49EB">
        <w:rPr>
          <w:szCs w:val="20"/>
        </w:rPr>
        <w:tab/>
        <w:t>Este Tribunal ha indicado que la tortura y las penas o tratos crueles, inhumanos o degradantes están estrictamente prohibidos por el Derecho Internacional de los Derechos Humanos.</w:t>
      </w:r>
      <w:r w:rsidR="008B18CE" w:rsidRPr="003D49EB">
        <w:rPr>
          <w:szCs w:val="20"/>
        </w:rPr>
        <w:t xml:space="preserve"> </w:t>
      </w:r>
      <w:r w:rsidRPr="003D49EB">
        <w:rPr>
          <w:szCs w:val="20"/>
        </w:rPr>
        <w:t>La prohibición de la tortura y las penas o tratos crueles, inhumanos o degradantes es absoluta e inderogable, aun en las circunstancias más difíciles, tales como guerra, amenaza de guerra, lucha contra el terrorismo y cualesquiera otros delitos, estado de sitio o de emergencia, conmoción o conflicto interior, suspensión de garantías constitucionales, inestabilidad política interna u otras emergencias o calamidades públicas.</w:t>
      </w:r>
      <w:r w:rsidR="008B18CE" w:rsidRPr="003D49EB">
        <w:rPr>
          <w:szCs w:val="20"/>
        </w:rPr>
        <w:t xml:space="preserve"> </w:t>
      </w:r>
      <w:r w:rsidR="006E5C73">
        <w:rPr>
          <w:b/>
          <w:i/>
          <w:szCs w:val="20"/>
        </w:rPr>
        <w:t>En similar sentido, ver entre otros</w:t>
      </w:r>
      <w:r w:rsidR="002E2383" w:rsidRPr="003D49EB">
        <w:rPr>
          <w:b/>
          <w:i/>
          <w:szCs w:val="20"/>
        </w:rPr>
        <w:t xml:space="preserve">: Caso García </w:t>
      </w:r>
      <w:proofErr w:type="spellStart"/>
      <w:r w:rsidR="002E2383" w:rsidRPr="003D49EB">
        <w:rPr>
          <w:b/>
          <w:i/>
          <w:szCs w:val="20"/>
        </w:rPr>
        <w:t>Asto</w:t>
      </w:r>
      <w:proofErr w:type="spellEnd"/>
      <w:r w:rsidR="002E2383" w:rsidRPr="003D49EB">
        <w:rPr>
          <w:b/>
          <w:i/>
          <w:szCs w:val="20"/>
        </w:rPr>
        <w:t xml:space="preserve"> y Ramírez Rojas vs. Perú. Sentencia de 25 de noviembre de 2005</w:t>
      </w:r>
      <w:r w:rsidR="002F6087" w:rsidRPr="003D49EB">
        <w:rPr>
          <w:b/>
          <w:i/>
          <w:szCs w:val="20"/>
        </w:rPr>
        <w:t xml:space="preserve">, párr. 222; Caso Penal </w:t>
      </w:r>
      <w:r w:rsidR="00850727" w:rsidRPr="003D49EB">
        <w:rPr>
          <w:b/>
          <w:i/>
          <w:szCs w:val="20"/>
        </w:rPr>
        <w:t xml:space="preserve">Miguel </w:t>
      </w:r>
      <w:r w:rsidR="002F6087" w:rsidRPr="003D49EB">
        <w:rPr>
          <w:b/>
          <w:i/>
          <w:szCs w:val="20"/>
        </w:rPr>
        <w:t xml:space="preserve">Castro </w:t>
      </w:r>
      <w:proofErr w:type="spellStart"/>
      <w:r w:rsidR="002F6087" w:rsidRPr="003D49EB">
        <w:rPr>
          <w:b/>
          <w:i/>
          <w:szCs w:val="20"/>
        </w:rPr>
        <w:t>Castro</w:t>
      </w:r>
      <w:proofErr w:type="spellEnd"/>
      <w:r w:rsidR="002F6087" w:rsidRPr="003D49EB">
        <w:rPr>
          <w:b/>
          <w:i/>
          <w:szCs w:val="20"/>
        </w:rPr>
        <w:t xml:space="preserve"> vs. Perú. Sentencia de 25 de noviembre de 2006</w:t>
      </w:r>
      <w:r w:rsidR="00973224" w:rsidRPr="003D49EB">
        <w:rPr>
          <w:b/>
          <w:i/>
          <w:szCs w:val="20"/>
        </w:rPr>
        <w:t xml:space="preserve">, párr. 271; Caso </w:t>
      </w:r>
      <w:proofErr w:type="spellStart"/>
      <w:r w:rsidR="00973224" w:rsidRPr="003D49EB">
        <w:rPr>
          <w:b/>
          <w:i/>
          <w:szCs w:val="20"/>
        </w:rPr>
        <w:t>Quispialaya</w:t>
      </w:r>
      <w:proofErr w:type="spellEnd"/>
      <w:r w:rsidR="00973224" w:rsidRPr="003D49EB">
        <w:rPr>
          <w:b/>
          <w:i/>
          <w:szCs w:val="20"/>
        </w:rPr>
        <w:t xml:space="preserve"> </w:t>
      </w:r>
      <w:proofErr w:type="spellStart"/>
      <w:r w:rsidR="00973224" w:rsidRPr="003D49EB">
        <w:rPr>
          <w:b/>
          <w:i/>
          <w:szCs w:val="20"/>
        </w:rPr>
        <w:t>Vilcapoma</w:t>
      </w:r>
      <w:proofErr w:type="spellEnd"/>
      <w:r w:rsidR="00973224" w:rsidRPr="003D49EB">
        <w:rPr>
          <w:b/>
          <w:i/>
          <w:szCs w:val="20"/>
        </w:rPr>
        <w:t xml:space="preserve"> Vs. Perú. Excepciones Preliminares, Fondo, Reparaciones y Costas. Sentencia de 23 de noviembre de 2015, párr. 126. </w:t>
      </w:r>
    </w:p>
    <w:p w14:paraId="6DBC5E6A" w14:textId="5C36341A" w:rsidR="00800384" w:rsidRPr="003D49EB" w:rsidRDefault="00386954" w:rsidP="009A4683">
      <w:pPr>
        <w:spacing w:after="100" w:afterAutospacing="1"/>
        <w:rPr>
          <w:b/>
          <w:szCs w:val="20"/>
        </w:rPr>
      </w:pPr>
      <w:r w:rsidRPr="00386954">
        <w:rPr>
          <w:b/>
          <w:szCs w:val="20"/>
        </w:rPr>
        <w:t xml:space="preserve">Corte IDH. Caso </w:t>
      </w:r>
      <w:proofErr w:type="spellStart"/>
      <w:r w:rsidRPr="00386954">
        <w:rPr>
          <w:b/>
          <w:szCs w:val="20"/>
        </w:rPr>
        <w:t>Caesar</w:t>
      </w:r>
      <w:proofErr w:type="spellEnd"/>
      <w:r w:rsidRPr="00386954">
        <w:rPr>
          <w:b/>
          <w:szCs w:val="20"/>
        </w:rPr>
        <w:t xml:space="preserve"> Vs. Trinidad y Tobago. Fondo, Reparaciones y Costas. Sentencia de 11 de marzo de 2005. Serie C No. 123</w:t>
      </w:r>
      <w:r w:rsidR="00211881" w:rsidRPr="003D49EB">
        <w:rPr>
          <w:b/>
          <w:bCs/>
          <w:szCs w:val="20"/>
        </w:rPr>
        <w:t>.</w:t>
      </w:r>
      <w:r w:rsidRPr="003D49EB">
        <w:rPr>
          <w:rStyle w:val="Refdenotaalpie"/>
          <w:b/>
          <w:bCs/>
          <w:szCs w:val="20"/>
        </w:rPr>
        <w:footnoteReference w:id="23"/>
      </w:r>
    </w:p>
    <w:p w14:paraId="6E7EEA36" w14:textId="77777777" w:rsidR="00800384" w:rsidRPr="003D49EB" w:rsidRDefault="00800384" w:rsidP="009A4683">
      <w:pPr>
        <w:spacing w:after="100" w:afterAutospacing="1"/>
        <w:rPr>
          <w:szCs w:val="20"/>
        </w:rPr>
      </w:pPr>
      <w:r w:rsidRPr="003D49EB">
        <w:rPr>
          <w:szCs w:val="20"/>
        </w:rPr>
        <w:t>58.</w:t>
      </w:r>
      <w:r w:rsidRPr="003D49EB">
        <w:rPr>
          <w:szCs w:val="20"/>
        </w:rPr>
        <w:tab/>
        <w:t>Todos los instrumentos internacionales de derechos humanos de alcance general, sean de carácter regional o universal, contienen preceptos de contenido similar al artículo 5 de la Convención Americana.</w:t>
      </w:r>
      <w:r w:rsidR="008B18CE" w:rsidRPr="003D49EB">
        <w:rPr>
          <w:szCs w:val="20"/>
        </w:rPr>
        <w:t xml:space="preserve"> </w:t>
      </w:r>
      <w:r w:rsidRPr="003D49EB">
        <w:rPr>
          <w:szCs w:val="20"/>
        </w:rPr>
        <w:t xml:space="preserve">Dichos preceptos generales se complementan con la prohibición expresa de la tortura y otros tratos o penas crueles, inhumanos o degradantes previstos en los instrumentos internacionales específicos y, para efectos del presente caso, la prohibición de la imposición de penas corporales. </w:t>
      </w:r>
    </w:p>
    <w:p w14:paraId="15EC146D" w14:textId="3457B7BE" w:rsidR="005C73B8" w:rsidRPr="003D49EB" w:rsidRDefault="00AE6F5A" w:rsidP="009A4683">
      <w:pPr>
        <w:spacing w:after="100" w:afterAutospacing="1"/>
        <w:rPr>
          <w:b/>
          <w:szCs w:val="20"/>
        </w:rPr>
      </w:pPr>
      <w:r w:rsidRPr="003D49EB">
        <w:rPr>
          <w:b/>
          <w:szCs w:val="20"/>
        </w:rPr>
        <w:t xml:space="preserve">Corte IDH. Caso </w:t>
      </w:r>
      <w:proofErr w:type="spellStart"/>
      <w:r w:rsidRPr="003D49EB">
        <w:rPr>
          <w:b/>
          <w:szCs w:val="20"/>
        </w:rPr>
        <w:t>Ximenes</w:t>
      </w:r>
      <w:proofErr w:type="spellEnd"/>
      <w:r w:rsidRPr="003D49EB">
        <w:rPr>
          <w:b/>
          <w:szCs w:val="20"/>
        </w:rPr>
        <w:t xml:space="preserve"> </w:t>
      </w:r>
      <w:proofErr w:type="spellStart"/>
      <w:r w:rsidRPr="003D49EB">
        <w:rPr>
          <w:b/>
          <w:szCs w:val="20"/>
        </w:rPr>
        <w:t>Lopes</w:t>
      </w:r>
      <w:proofErr w:type="spellEnd"/>
      <w:r w:rsidRPr="003D49EB">
        <w:rPr>
          <w:b/>
          <w:szCs w:val="20"/>
        </w:rPr>
        <w:t xml:space="preserve"> Vs. Brasil. Sentencia de 4 de julio de 2006. Serie C No. 149.</w:t>
      </w:r>
    </w:p>
    <w:p w14:paraId="1CD8685A" w14:textId="34E3FFBF" w:rsidR="001F1478" w:rsidRPr="003D49EB" w:rsidRDefault="005C73B8" w:rsidP="009A4683">
      <w:pPr>
        <w:spacing w:after="100" w:afterAutospacing="1"/>
        <w:rPr>
          <w:b/>
          <w:szCs w:val="20"/>
        </w:rPr>
      </w:pPr>
      <w:r w:rsidRPr="003D49EB">
        <w:rPr>
          <w:szCs w:val="20"/>
          <w:lang w:val="es-ES_tradnl"/>
        </w:rPr>
        <w:t>126.</w:t>
      </w:r>
      <w:r w:rsidRPr="003D49EB">
        <w:rPr>
          <w:szCs w:val="20"/>
          <w:lang w:val="es-ES_tradnl"/>
        </w:rPr>
        <w:tab/>
        <w:t>A su vez, la Convención Americana reconoce expresamente el derecho a la integridad personal, bien jurídico cuya protección encierra la finalidad principal de la prohibición imperativa de la tortura y penas o tratos crueles, inhumanos o degradantes.</w:t>
      </w:r>
      <w:r w:rsidR="008B18CE" w:rsidRPr="003D49EB">
        <w:rPr>
          <w:szCs w:val="20"/>
          <w:lang w:val="es-ES_tradnl"/>
        </w:rPr>
        <w:t xml:space="preserve"> </w:t>
      </w:r>
      <w:r w:rsidRPr="003D49EB">
        <w:rPr>
          <w:szCs w:val="20"/>
          <w:lang w:val="es-ES_tradnl"/>
        </w:rPr>
        <w:t xml:space="preserve">Este Tribunal ha considerado de forma constante en su jurisprudencia que dicha prohibición </w:t>
      </w:r>
      <w:r w:rsidRPr="003D49EB">
        <w:rPr>
          <w:szCs w:val="20"/>
        </w:rPr>
        <w:t xml:space="preserve">pertenece hoy día al dominio del </w:t>
      </w:r>
      <w:r w:rsidRPr="003D49EB">
        <w:rPr>
          <w:i/>
          <w:szCs w:val="20"/>
        </w:rPr>
        <w:t>ius cogens</w:t>
      </w:r>
      <w:r w:rsidRPr="003D49EB">
        <w:rPr>
          <w:szCs w:val="20"/>
          <w:lang w:val="es-ES_tradnl"/>
        </w:rPr>
        <w:t>.</w:t>
      </w:r>
      <w:r w:rsidR="008B18CE" w:rsidRPr="003D49EB">
        <w:rPr>
          <w:szCs w:val="20"/>
          <w:lang w:val="es-ES_tradnl"/>
        </w:rPr>
        <w:t xml:space="preserve"> </w:t>
      </w:r>
      <w:r w:rsidRPr="003D49EB">
        <w:rPr>
          <w:szCs w:val="20"/>
          <w:lang w:val="es-ES_tradnl"/>
        </w:rPr>
        <w:t>El derecho a la integridad personal no puede ser suspendido bajo circunstancia alguna.</w:t>
      </w:r>
      <w:r w:rsidR="008B18CE" w:rsidRPr="003D49EB">
        <w:rPr>
          <w:szCs w:val="20"/>
          <w:lang w:val="es-ES_tradnl"/>
        </w:rPr>
        <w:t xml:space="preserve"> </w:t>
      </w:r>
      <w:r w:rsidR="006E5C73">
        <w:rPr>
          <w:rStyle w:val="EnelmismoCar"/>
        </w:rPr>
        <w:t>En similar sentido, ver entre otros</w:t>
      </w:r>
      <w:r w:rsidR="002E2383" w:rsidRPr="003D49EB">
        <w:rPr>
          <w:rStyle w:val="EnelmismoCar"/>
        </w:rPr>
        <w:t xml:space="preserve">: </w:t>
      </w:r>
      <w:r w:rsidR="009E10C1" w:rsidRPr="009E10C1">
        <w:rPr>
          <w:b/>
          <w:i/>
          <w:sz w:val="18"/>
          <w:szCs w:val="18"/>
        </w:rPr>
        <w:t>Caso de la Masacre de La Rochela Vs. Colombia. Fondo, Reparaciones y Costas. Sentencia de 11 de mayo de 2007. Serie C No. 163</w:t>
      </w:r>
      <w:r w:rsidR="009E10C1" w:rsidRPr="003D49EB">
        <w:rPr>
          <w:b/>
          <w:i/>
          <w:sz w:val="18"/>
          <w:szCs w:val="18"/>
        </w:rPr>
        <w:t xml:space="preserve">, párr. 132; y </w:t>
      </w:r>
      <w:r w:rsidR="002E2383" w:rsidRPr="003D49EB">
        <w:rPr>
          <w:rStyle w:val="EnelmismoCar"/>
        </w:rPr>
        <w:t>Caso Familia Barrios vs. Venezuela. Sentencia de 24 de novi</w:t>
      </w:r>
      <w:r w:rsidR="00850727" w:rsidRPr="003D49EB">
        <w:rPr>
          <w:rStyle w:val="EnelmismoCar"/>
        </w:rPr>
        <w:t>embre de 2011</w:t>
      </w:r>
      <w:r w:rsidR="002E2383" w:rsidRPr="003D49EB">
        <w:rPr>
          <w:rStyle w:val="EnelmismoCar"/>
        </w:rPr>
        <w:t>, párr. 50.</w:t>
      </w:r>
    </w:p>
    <w:p w14:paraId="14801A87" w14:textId="61F9C39C" w:rsidR="00507315" w:rsidRPr="003D49EB" w:rsidRDefault="009E10C1" w:rsidP="009A4683">
      <w:pPr>
        <w:spacing w:after="100" w:afterAutospacing="1"/>
        <w:rPr>
          <w:b/>
          <w:bCs/>
          <w:szCs w:val="20"/>
        </w:rPr>
      </w:pPr>
      <w:r w:rsidRPr="009E10C1">
        <w:rPr>
          <w:b/>
          <w:bCs/>
          <w:szCs w:val="20"/>
        </w:rPr>
        <w:t>Corte IDH. Caso Bueno Alves Vs. Argentina. Fondo, Reparaciones y Costas. Sentencia de 11 de mayo de 2007. Serie C No. 164.</w:t>
      </w:r>
      <w:r w:rsidRPr="003D49EB">
        <w:rPr>
          <w:rStyle w:val="Refdenotaalpie"/>
          <w:b/>
          <w:bCs/>
          <w:szCs w:val="20"/>
        </w:rPr>
        <w:footnoteReference w:id="24"/>
      </w:r>
    </w:p>
    <w:p w14:paraId="1186659E" w14:textId="77777777" w:rsidR="00507315" w:rsidRPr="003D49EB" w:rsidRDefault="00507315" w:rsidP="009A4683">
      <w:pPr>
        <w:spacing w:after="100" w:afterAutospacing="1"/>
        <w:rPr>
          <w:szCs w:val="20"/>
        </w:rPr>
      </w:pPr>
      <w:r w:rsidRPr="003D49EB">
        <w:rPr>
          <w:szCs w:val="20"/>
        </w:rPr>
        <w:lastRenderedPageBreak/>
        <w:t>76.</w:t>
      </w:r>
      <w:r w:rsidRPr="003D49EB">
        <w:rPr>
          <w:szCs w:val="20"/>
        </w:rPr>
        <w:tab/>
        <w:t xml:space="preserve">En primer lugar, la Corte reitera su jurisprudencia en el sentido de que la tortura y las penas o tratos crueles, inhumanos o degradantes están estrictamente prohibidos por el Derecho Internacional de los Derechos Humanos. La prohibición absoluta de la tortura, tanto física como psicológica, pertenece hoy día al dominio del </w:t>
      </w:r>
      <w:proofErr w:type="spellStart"/>
      <w:r w:rsidRPr="003D49EB">
        <w:rPr>
          <w:i/>
          <w:szCs w:val="20"/>
        </w:rPr>
        <w:t>jus</w:t>
      </w:r>
      <w:proofErr w:type="spellEnd"/>
      <w:r w:rsidRPr="003D49EB">
        <w:rPr>
          <w:i/>
          <w:szCs w:val="20"/>
        </w:rPr>
        <w:t xml:space="preserve"> cogens </w:t>
      </w:r>
      <w:r w:rsidRPr="003D49EB">
        <w:rPr>
          <w:szCs w:val="20"/>
        </w:rPr>
        <w:t>internacional. Dicha prohibición subsiste aun en las circunstancias más difíciles, tales como guerra, amenaza de guerra, lucha contra el terrorismo y cualesquiera otros delitos, estado de sitio o de emergencia, conmoción o conflicto interno, suspensión de garantías constitucionales, inestabilidad política interna u otras emergencias o calamidades públicas.</w:t>
      </w:r>
    </w:p>
    <w:p w14:paraId="6BF51731" w14:textId="77777777" w:rsidR="00547489" w:rsidRPr="003D49EB" w:rsidRDefault="00507315" w:rsidP="009A4683">
      <w:pPr>
        <w:spacing w:after="100" w:afterAutospacing="1"/>
        <w:rPr>
          <w:szCs w:val="20"/>
        </w:rPr>
      </w:pPr>
      <w:r w:rsidRPr="003D49EB">
        <w:rPr>
          <w:szCs w:val="20"/>
        </w:rPr>
        <w:t>77.</w:t>
      </w:r>
      <w:r w:rsidRPr="003D49EB">
        <w:rPr>
          <w:szCs w:val="20"/>
        </w:rPr>
        <w:tab/>
        <w:t>Los tratados de alcance universal y regional consagran tal prohibición y el derecho inderogable a no ser torturado. Igualmente, numerosos instrumentos internacionales consagran ese derecho y reiteran la misma prohibición, incluso bajo el derecho internacional humanitario.</w:t>
      </w:r>
      <w:r w:rsidR="00547489" w:rsidRPr="003D49EB">
        <w:rPr>
          <w:szCs w:val="20"/>
        </w:rPr>
        <w:t xml:space="preserve"> </w:t>
      </w:r>
    </w:p>
    <w:p w14:paraId="3487A6DE" w14:textId="3A6025E4" w:rsidR="00A86983" w:rsidRPr="003D49EB" w:rsidRDefault="006E5C73" w:rsidP="009A4683">
      <w:pPr>
        <w:pStyle w:val="Enelmismo"/>
        <w:spacing w:line="240" w:lineRule="auto"/>
      </w:pPr>
      <w:r>
        <w:t>En similar sentido, ver entre otros</w:t>
      </w:r>
      <w:r w:rsidR="00A86983" w:rsidRPr="003D49EB">
        <w:t xml:space="preserve">: </w:t>
      </w:r>
      <w:r w:rsidR="00B857C3" w:rsidRPr="003D49EB">
        <w:t>Caso J. v</w:t>
      </w:r>
      <w:r w:rsidR="00A86983" w:rsidRPr="003D49EB">
        <w:t xml:space="preserve">s. Perú. Excepción Preliminar, Fondo, Reparaciones y Costas. Sentencia de 27 de noviembre de 2013, párr. 304; </w:t>
      </w:r>
      <w:r w:rsidR="00B857C3" w:rsidRPr="003D49EB">
        <w:t xml:space="preserve">Caso Espinoza Gonzáles vs. Perú. Excepciones Preliminares, Fondo, Reparaciones y Costas. Sentencia de 20 de noviembre de 2014, </w:t>
      </w:r>
      <w:r w:rsidR="00A86983" w:rsidRPr="003D49EB">
        <w:t>párr. 141.</w:t>
      </w:r>
    </w:p>
    <w:p w14:paraId="5319540F" w14:textId="5B3660B3" w:rsidR="00951502" w:rsidRPr="003D49EB" w:rsidRDefault="00667E3D" w:rsidP="009E10C1">
      <w:pPr>
        <w:pStyle w:val="Caso"/>
      </w:pPr>
      <w:r w:rsidRPr="003D49EB">
        <w:t>Corte IDH. Caso Familia Barrios Vs. Venezuela. Fondo, Reparaciones y Costas. Sentencia de 24 de noviembre de 2011. Serie C No. 237.</w:t>
      </w:r>
      <w:r w:rsidR="002E2383" w:rsidRPr="003D49EB">
        <w:t xml:space="preserve"> </w:t>
      </w:r>
    </w:p>
    <w:p w14:paraId="0DBAB33F" w14:textId="15002238" w:rsidR="00951502" w:rsidRDefault="00951502" w:rsidP="009E10C1">
      <w:pPr>
        <w:rPr>
          <w:szCs w:val="20"/>
        </w:rPr>
      </w:pPr>
      <w:r w:rsidRPr="003D49EB">
        <w:rPr>
          <w:szCs w:val="20"/>
        </w:rPr>
        <w:t>51.</w:t>
      </w:r>
      <w:r w:rsidRPr="003D49EB">
        <w:rPr>
          <w:szCs w:val="20"/>
        </w:rPr>
        <w:tab/>
        <w:t>De esta forma, se ha conformado un régimen jurídico internacional de prohibición absoluta de todas las formas de tortura, tanto física como psicológica, y respecto a esta última, se ha reconocido que las amenazas y el peligro real de someter a una persona a graves lesiones físicas produce, en determinadas circunstancias, una angustia moral de tal grado que puede ser considerada “tortura psicológica”</w:t>
      </w:r>
      <w:r w:rsidR="00B23BED" w:rsidRPr="003D49EB">
        <w:rPr>
          <w:szCs w:val="20"/>
        </w:rPr>
        <w:t>.</w:t>
      </w:r>
    </w:p>
    <w:p w14:paraId="412D8A9F" w14:textId="77777777" w:rsidR="007276B0" w:rsidRPr="003D49EB" w:rsidRDefault="007276B0" w:rsidP="009E10C1">
      <w:pPr>
        <w:rPr>
          <w:szCs w:val="20"/>
        </w:rPr>
      </w:pPr>
    </w:p>
    <w:p w14:paraId="4E7B2BA9" w14:textId="16154121" w:rsidR="008654B2" w:rsidRPr="003D49EB" w:rsidRDefault="005A07D0" w:rsidP="009A4683">
      <w:pPr>
        <w:spacing w:after="100" w:afterAutospacing="1"/>
        <w:rPr>
          <w:b/>
          <w:bCs/>
          <w:szCs w:val="20"/>
          <w:shd w:val="clear" w:color="auto" w:fill="FFFFFF"/>
        </w:rPr>
      </w:pPr>
      <w:r w:rsidRPr="005A07D0">
        <w:rPr>
          <w:b/>
          <w:bCs/>
          <w:szCs w:val="20"/>
          <w:shd w:val="clear" w:color="auto" w:fill="FFFFFF"/>
        </w:rPr>
        <w:t>Corte IDH. Caso Masacres de El Mozote y lugares aledaños Vs. El Salvador. Fondo, Reparaciones y Costas. Sentencia de 25 de octubre de 2012. Serie C No. 252</w:t>
      </w:r>
      <w:r w:rsidR="00211881" w:rsidRPr="003D49EB">
        <w:rPr>
          <w:b/>
          <w:bCs/>
          <w:szCs w:val="20"/>
          <w:shd w:val="clear" w:color="auto" w:fill="FFFFFF"/>
        </w:rPr>
        <w:t>.</w:t>
      </w:r>
      <w:r w:rsidRPr="003D49EB">
        <w:rPr>
          <w:rStyle w:val="Refdenotaalpie"/>
          <w:b/>
          <w:bCs/>
          <w:szCs w:val="20"/>
          <w:shd w:val="clear" w:color="auto" w:fill="FFFFFF"/>
        </w:rPr>
        <w:footnoteReference w:id="25"/>
      </w:r>
    </w:p>
    <w:p w14:paraId="6646DFF0" w14:textId="77777777" w:rsidR="0021364C" w:rsidRPr="003D49EB" w:rsidRDefault="008654B2" w:rsidP="009A4683">
      <w:pPr>
        <w:autoSpaceDE w:val="0"/>
        <w:autoSpaceDN w:val="0"/>
        <w:adjustRightInd w:val="0"/>
        <w:spacing w:after="100" w:afterAutospacing="1"/>
        <w:rPr>
          <w:rFonts w:cs="Verdana"/>
          <w:szCs w:val="20"/>
        </w:rPr>
      </w:pPr>
      <w:r w:rsidRPr="003D49EB">
        <w:rPr>
          <w:rFonts w:eastAsia="Times"/>
          <w:szCs w:val="20"/>
        </w:rPr>
        <w:t>147.</w:t>
      </w:r>
      <w:r w:rsidRPr="003D49EB">
        <w:rPr>
          <w:rFonts w:eastAsia="Times"/>
          <w:szCs w:val="20"/>
        </w:rPr>
        <w:tab/>
        <w:t>Por</w:t>
      </w:r>
      <w:r w:rsidRPr="003D49EB">
        <w:rPr>
          <w:rFonts w:cs="Verdana"/>
          <w:szCs w:val="20"/>
        </w:rPr>
        <w:t xml:space="preserve"> otra parte, la Convención Americana reconoce expresamente el derecho a la integridad personal, bien jurídico cuya protección encierra la finalidad principal de la prohibición imperativa de la tortura y penas o tratos crueles, inhumanos o degradantes. Este Tribunal ha considerado de forma constante en su jurisprudencia que dicha prohibición ha alcanzado el dominio del </w:t>
      </w:r>
      <w:r w:rsidRPr="003D49EB">
        <w:rPr>
          <w:rFonts w:cs="Verdana"/>
          <w:i/>
          <w:iCs/>
          <w:szCs w:val="20"/>
        </w:rPr>
        <w:t>ius cogens</w:t>
      </w:r>
      <w:r w:rsidRPr="003D49EB">
        <w:rPr>
          <w:rFonts w:cs="Verdana"/>
          <w:szCs w:val="20"/>
        </w:rPr>
        <w:t xml:space="preserve">. De esta forma, se ha conformado un régimen jurídico internacional de prohibición absoluta de todas las formas de tortura, tanto física como psicológica, y respecto a esta última, se ha reconocido que las amenazas y el peligro real de someter a una persona a graves lesiones físicas produce, en determinadas circunstancias, una angustia moral de tal grado que puede ser considerada “tortura psicológica”. </w:t>
      </w:r>
      <w:r w:rsidR="0021364C" w:rsidRPr="003D49EB">
        <w:rPr>
          <w:rFonts w:cs="Verdana"/>
          <w:szCs w:val="20"/>
        </w:rPr>
        <w:t>[…]</w:t>
      </w:r>
      <w:r w:rsidR="008B18CE" w:rsidRPr="003D49EB">
        <w:rPr>
          <w:rFonts w:cs="Verdana"/>
          <w:szCs w:val="20"/>
        </w:rPr>
        <w:t xml:space="preserve"> </w:t>
      </w:r>
    </w:p>
    <w:p w14:paraId="4809E975" w14:textId="77777777" w:rsidR="008654B2" w:rsidRPr="003D49EB" w:rsidRDefault="008654B2" w:rsidP="009A4683">
      <w:pPr>
        <w:autoSpaceDE w:val="0"/>
        <w:autoSpaceDN w:val="0"/>
        <w:adjustRightInd w:val="0"/>
        <w:spacing w:after="100" w:afterAutospacing="1"/>
        <w:rPr>
          <w:rFonts w:eastAsia="Times"/>
          <w:szCs w:val="20"/>
        </w:rPr>
      </w:pPr>
      <w:r w:rsidRPr="003D49EB">
        <w:rPr>
          <w:rFonts w:eastAsia="Times"/>
          <w:szCs w:val="20"/>
          <w:lang w:val="es-EC"/>
        </w:rPr>
        <w:lastRenderedPageBreak/>
        <w:t>148.</w:t>
      </w:r>
      <w:r w:rsidRPr="003D49EB">
        <w:rPr>
          <w:rFonts w:eastAsia="Times"/>
          <w:szCs w:val="20"/>
          <w:lang w:val="es-EC"/>
        </w:rPr>
        <w:tab/>
        <w:t xml:space="preserve">Los </w:t>
      </w:r>
      <w:r w:rsidRPr="003D49EB">
        <w:rPr>
          <w:rFonts w:eastAsia="Times"/>
          <w:szCs w:val="20"/>
        </w:rPr>
        <w:t>derechos</w:t>
      </w:r>
      <w:r w:rsidRPr="003D49EB">
        <w:rPr>
          <w:rFonts w:eastAsia="Times"/>
          <w:szCs w:val="20"/>
          <w:lang w:val="es-EC"/>
        </w:rPr>
        <w:t xml:space="preserve"> a la vida y a la integridad personal revisten un carácter esencial en la Convención. De conformidad con el artículo 27.2 del referido tratado, esos derechos forman parte del núcleo inderogable, pues no pueden ser suspendidos en casos de guerra, peligro público u otras amenazas </w:t>
      </w:r>
      <w:r w:rsidRPr="003D49EB">
        <w:rPr>
          <w:rFonts w:eastAsia="Times"/>
          <w:szCs w:val="20"/>
        </w:rPr>
        <w:t>a la independencia o seguridad de los Estados Partes. Por su parte, el Protocolo II adicional a los Convenios de Ginebra señala en su artículo 4 que “están y quedarán prohibidos en todo tiempo y lugar […] los atentados contra la vida, la salud y la integridad física o mental de las personas [que no participen directamente en las hostilidades, o que hayan dejado de participar en ellas], en particular el homicidio y los tratos crueles tales como la tortura y las mutilaciones o toda forma de pena corporal”. Resalta también que “[q]</w:t>
      </w:r>
      <w:proofErr w:type="spellStart"/>
      <w:r w:rsidRPr="003D49EB">
        <w:rPr>
          <w:rFonts w:eastAsia="Times"/>
          <w:szCs w:val="20"/>
        </w:rPr>
        <w:t>ueda</w:t>
      </w:r>
      <w:proofErr w:type="spellEnd"/>
      <w:r w:rsidRPr="003D49EB">
        <w:rPr>
          <w:rFonts w:eastAsia="Times"/>
          <w:szCs w:val="20"/>
        </w:rPr>
        <w:t xml:space="preserve"> prohibido ordenar que no haya supervivientes”. Además, especifica en su artículo 13 las obligaciones de protección de la población civil y las personas civiles, salvo si participan directamente en las hostilidades y mientras dure tal participación, al disponer que “gozarán de protección general contra los peligros procedentes de operaciones militares” y que “no serán objeto de ataque”.</w:t>
      </w:r>
    </w:p>
    <w:p w14:paraId="3F4DFD3A" w14:textId="77777777" w:rsidR="008654B2" w:rsidRPr="003D49EB" w:rsidRDefault="008654B2" w:rsidP="009A4683">
      <w:pPr>
        <w:autoSpaceDE w:val="0"/>
        <w:autoSpaceDN w:val="0"/>
        <w:adjustRightInd w:val="0"/>
        <w:spacing w:after="100" w:afterAutospacing="1"/>
        <w:rPr>
          <w:szCs w:val="20"/>
          <w:lang w:val="es-EC"/>
        </w:rPr>
      </w:pPr>
      <w:r w:rsidRPr="003D49EB">
        <w:rPr>
          <w:szCs w:val="20"/>
          <w:lang w:val="es-EC"/>
        </w:rPr>
        <w:t>149.</w:t>
      </w:r>
      <w:r w:rsidRPr="003D49EB">
        <w:rPr>
          <w:szCs w:val="20"/>
          <w:lang w:val="es-EC"/>
        </w:rPr>
        <w:tab/>
      </w:r>
      <w:r w:rsidR="002E29B9" w:rsidRPr="003D49EB">
        <w:rPr>
          <w:szCs w:val="20"/>
          <w:lang w:val="es-EC"/>
        </w:rPr>
        <w:t>[...]</w:t>
      </w:r>
      <w:r w:rsidRPr="003D49EB">
        <w:rPr>
          <w:szCs w:val="20"/>
          <w:lang w:val="es-EC"/>
        </w:rPr>
        <w:t xml:space="preserve"> </w:t>
      </w:r>
      <w:r w:rsidRPr="003D49EB">
        <w:rPr>
          <w:rFonts w:cs="Verdana"/>
          <w:bCs/>
          <w:szCs w:val="20"/>
        </w:rPr>
        <w:t>La jurisprudencia constante de esta Corte reconoce que las personas sometidas a privación de libertad que se encuentren bajo la custodia de cuerpos represivos oficiales, agentes estatales o particulares que actúen con su aquiescencia o tolerancia, que impunemente practiquen la tortura y el asesinato representa, por sí mismo, una infracción al deber de prevención de violaciones al derecho a la integridad personal.</w:t>
      </w:r>
    </w:p>
    <w:p w14:paraId="2DF87E1A" w14:textId="77777777" w:rsidR="008654B2" w:rsidRPr="003D49EB" w:rsidRDefault="008654B2" w:rsidP="009A4683">
      <w:pPr>
        <w:autoSpaceDE w:val="0"/>
        <w:autoSpaceDN w:val="0"/>
        <w:adjustRightInd w:val="0"/>
        <w:spacing w:after="100" w:afterAutospacing="1"/>
        <w:rPr>
          <w:rFonts w:cs="Verdana"/>
          <w:szCs w:val="20"/>
        </w:rPr>
      </w:pPr>
      <w:r w:rsidRPr="003D49EB">
        <w:rPr>
          <w:szCs w:val="20"/>
        </w:rPr>
        <w:t>150.</w:t>
      </w:r>
      <w:r w:rsidRPr="003D49EB">
        <w:rPr>
          <w:szCs w:val="20"/>
        </w:rPr>
        <w:tab/>
        <w:t xml:space="preserve">El </w:t>
      </w:r>
      <w:r w:rsidRPr="003D49EB">
        <w:rPr>
          <w:szCs w:val="20"/>
          <w:lang w:val="es-EC"/>
        </w:rPr>
        <w:t>Tribunal</w:t>
      </w:r>
      <w:r w:rsidRPr="003D49EB">
        <w:rPr>
          <w:szCs w:val="20"/>
        </w:rPr>
        <w:t xml:space="preserve"> reitera que revisten especial gravedad los casos en los cuales las víctimas de violaciones a los derechos humanos son niños y niñas, quienes</w:t>
      </w:r>
      <w:r w:rsidRPr="003D49EB">
        <w:rPr>
          <w:rFonts w:cs="Verdana"/>
          <w:szCs w:val="20"/>
          <w:lang w:val="es-EC"/>
        </w:rPr>
        <w:t xml:space="preserve"> son titulares de los derechos establecidos en la Convención Americana, además de contar con las medidas especiales de protección contempladas en su artículo 19, las cuales deben ser definidas según las circunstancias particulares de cada caso concreto. La adopción de medidas especiales para la protección de los niños y niñas corresponde tanto al Estado como a la familia, a la comunidad y a la sociedad a la que pertenecen, y éstas </w:t>
      </w:r>
      <w:r w:rsidRPr="003D49EB">
        <w:rPr>
          <w:rFonts w:cs="Verdana"/>
          <w:szCs w:val="20"/>
        </w:rPr>
        <w:t xml:space="preserve">incluyen las referentes a la no discriminación, a la prohibición de la tortura y a las condiciones que deben observarse en casos de privación de la libertad de niños. </w:t>
      </w:r>
    </w:p>
    <w:p w14:paraId="310A71BB" w14:textId="0B2BCC28" w:rsidR="002D2ADC" w:rsidRDefault="00C94D80" w:rsidP="009A4683">
      <w:pPr>
        <w:pStyle w:val="Caso"/>
      </w:pPr>
      <w:r w:rsidRPr="003D49EB">
        <w:t xml:space="preserve">Corte IDH. Caso </w:t>
      </w:r>
      <w:proofErr w:type="spellStart"/>
      <w:r w:rsidRPr="003D49EB">
        <w:t>Omeara</w:t>
      </w:r>
      <w:proofErr w:type="spellEnd"/>
      <w:r w:rsidRPr="003D49EB">
        <w:t xml:space="preserve"> Carrascal y otros Vs. Colombia. Fondo, Reparaciones y Costas. Sentencia de 21 de noviembre de 2018. Serie C No. 368.</w:t>
      </w:r>
    </w:p>
    <w:p w14:paraId="2A43DE91" w14:textId="77777777" w:rsidR="007276B0" w:rsidRPr="003D49EB" w:rsidRDefault="007276B0" w:rsidP="009A4683">
      <w:pPr>
        <w:pStyle w:val="Caso"/>
      </w:pPr>
    </w:p>
    <w:p w14:paraId="5A994427" w14:textId="08BE37D2" w:rsidR="00C94D80" w:rsidRDefault="00C94D80" w:rsidP="009A4683">
      <w:r w:rsidRPr="003D49EB">
        <w:t xml:space="preserve">192. La Corte recuerda que la Convención Americana reconoce expresamente el derecho a la integridad personal, el cual es un bien </w:t>
      </w:r>
      <w:proofErr w:type="spellStart"/>
      <w:r w:rsidRPr="003D49EB">
        <w:t>jurídico</w:t>
      </w:r>
      <w:proofErr w:type="spellEnd"/>
      <w:r w:rsidRPr="003D49EB">
        <w:t xml:space="preserve"> cuya protección encierra la finalidad principal de la </w:t>
      </w:r>
      <w:proofErr w:type="spellStart"/>
      <w:r w:rsidRPr="003D49EB">
        <w:t>prohibición</w:t>
      </w:r>
      <w:proofErr w:type="spellEnd"/>
      <w:r w:rsidRPr="003D49EB">
        <w:t xml:space="preserve"> imperativa de la tortura y penas o tratos crueles, inhumanos o degradantes. Este Tribunal ha considerado de forma constante en su jurisprudencia que dicha </w:t>
      </w:r>
      <w:proofErr w:type="spellStart"/>
      <w:r w:rsidRPr="003D49EB">
        <w:t>prohibición</w:t>
      </w:r>
      <w:proofErr w:type="spellEnd"/>
      <w:r w:rsidRPr="003D49EB">
        <w:t xml:space="preserve"> pertenece hoy </w:t>
      </w:r>
      <w:proofErr w:type="spellStart"/>
      <w:r w:rsidRPr="003D49EB">
        <w:t>día</w:t>
      </w:r>
      <w:proofErr w:type="spellEnd"/>
      <w:r w:rsidRPr="003D49EB">
        <w:t xml:space="preserve"> al dominio del ius cogens</w:t>
      </w:r>
      <w:r w:rsidRPr="003D49EB">
        <w:rPr>
          <w:position w:val="10"/>
          <w:sz w:val="12"/>
          <w:szCs w:val="12"/>
        </w:rPr>
        <w:t xml:space="preserve"> </w:t>
      </w:r>
      <w:r w:rsidRPr="003D49EB">
        <w:t xml:space="preserve">y que el derecho a la integridad personal no puede ser suspendido bajo circunstancia alguna. De esta forma, en la jurisprudencia de este Tribunal se ha conformado un </w:t>
      </w:r>
      <w:proofErr w:type="spellStart"/>
      <w:r w:rsidRPr="003D49EB">
        <w:t>régimen</w:t>
      </w:r>
      <w:proofErr w:type="spellEnd"/>
      <w:r w:rsidRPr="003D49EB">
        <w:t xml:space="preserve"> </w:t>
      </w:r>
      <w:proofErr w:type="spellStart"/>
      <w:r w:rsidRPr="003D49EB">
        <w:t>jurídico</w:t>
      </w:r>
      <w:proofErr w:type="spellEnd"/>
      <w:r w:rsidRPr="003D49EB">
        <w:t xml:space="preserve"> internacional de </w:t>
      </w:r>
      <w:proofErr w:type="spellStart"/>
      <w:r w:rsidRPr="003D49EB">
        <w:t>prohibición</w:t>
      </w:r>
      <w:proofErr w:type="spellEnd"/>
      <w:r w:rsidRPr="003D49EB">
        <w:t xml:space="preserve"> absoluta de todas las formas de tortura, tanto </w:t>
      </w:r>
      <w:proofErr w:type="spellStart"/>
      <w:r w:rsidRPr="003D49EB">
        <w:t>física</w:t>
      </w:r>
      <w:proofErr w:type="spellEnd"/>
      <w:r w:rsidRPr="003D49EB">
        <w:t xml:space="preserve"> como </w:t>
      </w:r>
      <w:proofErr w:type="spellStart"/>
      <w:r w:rsidRPr="003D49EB">
        <w:t>psicológica</w:t>
      </w:r>
      <w:proofErr w:type="spellEnd"/>
      <w:r w:rsidRPr="003D49EB">
        <w:t xml:space="preserve">, y respecto a esta </w:t>
      </w:r>
      <w:proofErr w:type="spellStart"/>
      <w:r w:rsidRPr="003D49EB">
        <w:t>última</w:t>
      </w:r>
      <w:proofErr w:type="spellEnd"/>
      <w:r w:rsidRPr="003D49EB">
        <w:t xml:space="preserve">, se ha reconocido que las amenazas y el peligro real de someter a una persona a graves lesiones </w:t>
      </w:r>
      <w:proofErr w:type="spellStart"/>
      <w:r w:rsidRPr="003D49EB">
        <w:t>físicas</w:t>
      </w:r>
      <w:proofErr w:type="spellEnd"/>
      <w:r w:rsidRPr="003D49EB">
        <w:t xml:space="preserve"> produce, en determinadas circunstancias, una angustia moral de tal grado que puede ser considerada “tortura </w:t>
      </w:r>
      <w:proofErr w:type="spellStart"/>
      <w:r w:rsidRPr="003D49EB">
        <w:t>psicológica</w:t>
      </w:r>
      <w:proofErr w:type="spellEnd"/>
      <w:r w:rsidRPr="003D49EB">
        <w:t xml:space="preserve">”. </w:t>
      </w:r>
    </w:p>
    <w:p w14:paraId="04703049" w14:textId="77777777" w:rsidR="007276B0" w:rsidRPr="003D49EB" w:rsidRDefault="007276B0" w:rsidP="009A4683"/>
    <w:p w14:paraId="7F42E24A" w14:textId="7D826B6E" w:rsidR="000B75D0" w:rsidRPr="003D49EB" w:rsidRDefault="000B75D0" w:rsidP="009A4683">
      <w:pPr>
        <w:pStyle w:val="Caso"/>
      </w:pPr>
      <w:r w:rsidRPr="003D49EB">
        <w:t>Corte IDH. Caso Mujeres Víctimas de Tortura Sexual en Atenco Vs. México. Excepción Preliminar, Fondo, Reparaciones y Costas. Sentencia de 28 de noviembre de 2018. Serie C No. 371.</w:t>
      </w:r>
      <w:r w:rsidR="007B2062" w:rsidRPr="003D49EB">
        <w:rPr>
          <w:rStyle w:val="Refdenotaalpie"/>
        </w:rPr>
        <w:footnoteReference w:id="26"/>
      </w:r>
    </w:p>
    <w:p w14:paraId="13AC38E2" w14:textId="77777777" w:rsidR="007276B0" w:rsidRDefault="007276B0" w:rsidP="009A4683"/>
    <w:p w14:paraId="09F0C5BF" w14:textId="510EE72E" w:rsidR="000B75D0" w:rsidRDefault="000B75D0" w:rsidP="009A4683">
      <w:r w:rsidRPr="003D49EB">
        <w:t>178.</w:t>
      </w:r>
      <w:r w:rsidRPr="003D49EB">
        <w:tab/>
        <w:t>La Corte ha establecido que la tortura y las penas o tratos crueles, inhumanos o degradantes están absoluta y estrictamente prohibidos por el Derecho Internacional de los Derechos Humanos. Esta prohibición es absoluta e inderogable, aún en las circunstancias más difíciles, tales como guerra, amenaza de guerra, lucha contra el terrorismo y cualesquiera otros delitos, estado de sitio o de emergencia, conmoción o conflicto interior, suspensión de garantías constitucionales, inestabilidad política interna u otras emergencias o calamidades públicas</w:t>
      </w:r>
      <w:r w:rsidR="006A660B" w:rsidRPr="003D49EB">
        <w:t>,</w:t>
      </w:r>
      <w:r w:rsidRPr="003D49EB">
        <w:t xml:space="preserve"> y pertenece hoy día al dominio del </w:t>
      </w:r>
      <w:proofErr w:type="spellStart"/>
      <w:r w:rsidRPr="003D49EB">
        <w:t>jus</w:t>
      </w:r>
      <w:proofErr w:type="spellEnd"/>
      <w:r w:rsidRPr="003D49EB">
        <w:t xml:space="preserve"> cogens internacional</w:t>
      </w:r>
      <w:r w:rsidR="006A660B" w:rsidRPr="003D49EB">
        <w:t>.</w:t>
      </w:r>
      <w:r w:rsidRPr="003D49EB">
        <w:t xml:space="preserve"> Los tratados de alcance universal  y regional  consagran tal prohibición y el derecho inderogable a no ser sometido a ninguna forma de tortura.</w:t>
      </w:r>
    </w:p>
    <w:p w14:paraId="43C7A893" w14:textId="77777777" w:rsidR="007276B0" w:rsidRPr="003D49EB" w:rsidRDefault="007276B0" w:rsidP="009A4683"/>
    <w:p w14:paraId="4CB3A851" w14:textId="5D9AF993" w:rsidR="00C94D80" w:rsidRDefault="00EA7516" w:rsidP="009A4683">
      <w:pPr>
        <w:pStyle w:val="Caso"/>
      </w:pPr>
      <w:r w:rsidRPr="003D49EB">
        <w:t>Corte IDH. Caso Azul Rojas Marín y otra Vs. Perú. Excepciones Preliminares, Fondo, Reparaciones y Costas. Sentencia de 12 de marzo de 2020. Serie C No. 402.</w:t>
      </w:r>
      <w:r w:rsidR="009B0099" w:rsidRPr="003D49EB">
        <w:rPr>
          <w:rStyle w:val="Refdenotaalpie"/>
        </w:rPr>
        <w:footnoteReference w:id="27"/>
      </w:r>
    </w:p>
    <w:p w14:paraId="1D656501" w14:textId="77777777" w:rsidR="007276B0" w:rsidRPr="003D49EB" w:rsidRDefault="007276B0" w:rsidP="009A4683">
      <w:pPr>
        <w:pStyle w:val="Caso"/>
      </w:pPr>
    </w:p>
    <w:p w14:paraId="6419CA22" w14:textId="30E4C5A2" w:rsidR="00EA7516" w:rsidRPr="003D49EB" w:rsidRDefault="00EA7516" w:rsidP="009A4683">
      <w:pPr>
        <w:autoSpaceDE w:val="0"/>
        <w:autoSpaceDN w:val="0"/>
        <w:adjustRightInd w:val="0"/>
        <w:spacing w:after="100" w:afterAutospacing="1"/>
        <w:rPr>
          <w:rFonts w:cs="Verdana"/>
          <w:szCs w:val="20"/>
        </w:rPr>
      </w:pPr>
      <w:r w:rsidRPr="003D49EB">
        <w:rPr>
          <w:rFonts w:cs="Verdana"/>
          <w:szCs w:val="20"/>
        </w:rPr>
        <w:t xml:space="preserve">140. La Corte ha establecido que la tortura y las penas o tratos crueles, inhumanos o degradantes </w:t>
      </w:r>
      <w:proofErr w:type="spellStart"/>
      <w:r w:rsidRPr="003D49EB">
        <w:rPr>
          <w:rFonts w:cs="Verdana"/>
          <w:szCs w:val="20"/>
        </w:rPr>
        <w:t>están</w:t>
      </w:r>
      <w:proofErr w:type="spellEnd"/>
      <w:r w:rsidRPr="003D49EB">
        <w:rPr>
          <w:rFonts w:cs="Verdana"/>
          <w:szCs w:val="20"/>
        </w:rPr>
        <w:t xml:space="preserve"> absoluta y estrictamente prohibidos por el Derecho Internacional de los Derechos Humanos. Esta </w:t>
      </w:r>
      <w:proofErr w:type="spellStart"/>
      <w:r w:rsidRPr="003D49EB">
        <w:rPr>
          <w:rFonts w:cs="Verdana"/>
          <w:szCs w:val="20"/>
        </w:rPr>
        <w:t>prohibición</w:t>
      </w:r>
      <w:proofErr w:type="spellEnd"/>
      <w:r w:rsidRPr="003D49EB">
        <w:rPr>
          <w:rFonts w:cs="Verdana"/>
          <w:szCs w:val="20"/>
        </w:rPr>
        <w:t xml:space="preserve"> es absoluta e inderogable, </w:t>
      </w:r>
      <w:proofErr w:type="spellStart"/>
      <w:r w:rsidRPr="003D49EB">
        <w:rPr>
          <w:rFonts w:cs="Verdana"/>
          <w:szCs w:val="20"/>
        </w:rPr>
        <w:t>aún</w:t>
      </w:r>
      <w:proofErr w:type="spellEnd"/>
      <w:r w:rsidRPr="003D49EB">
        <w:rPr>
          <w:rFonts w:cs="Verdana"/>
          <w:szCs w:val="20"/>
        </w:rPr>
        <w:t xml:space="preserve"> en las circunstancias </w:t>
      </w:r>
      <w:proofErr w:type="spellStart"/>
      <w:r w:rsidRPr="003D49EB">
        <w:rPr>
          <w:rFonts w:cs="Verdana"/>
          <w:szCs w:val="20"/>
        </w:rPr>
        <w:t>más</w:t>
      </w:r>
      <w:proofErr w:type="spellEnd"/>
      <w:r w:rsidRPr="003D49EB">
        <w:rPr>
          <w:rFonts w:cs="Verdana"/>
          <w:szCs w:val="20"/>
        </w:rPr>
        <w:t xml:space="preserve"> </w:t>
      </w:r>
      <w:proofErr w:type="spellStart"/>
      <w:r w:rsidRPr="003D49EB">
        <w:rPr>
          <w:rFonts w:cs="Verdana"/>
          <w:szCs w:val="20"/>
        </w:rPr>
        <w:t>difíciles</w:t>
      </w:r>
      <w:proofErr w:type="spellEnd"/>
      <w:r w:rsidRPr="003D49EB">
        <w:rPr>
          <w:rFonts w:cs="Verdana"/>
          <w:szCs w:val="20"/>
        </w:rPr>
        <w:t xml:space="preserve">, tales como guerra, amenaza de guerra, lucha contra el terrorismo y cualesquiera otros delitos, estado de sitio o de emergencia, </w:t>
      </w:r>
      <w:proofErr w:type="spellStart"/>
      <w:r w:rsidRPr="003D49EB">
        <w:rPr>
          <w:rFonts w:cs="Verdana"/>
          <w:szCs w:val="20"/>
        </w:rPr>
        <w:t>conmoción</w:t>
      </w:r>
      <w:proofErr w:type="spellEnd"/>
      <w:r w:rsidRPr="003D49EB">
        <w:rPr>
          <w:rFonts w:cs="Verdana"/>
          <w:szCs w:val="20"/>
        </w:rPr>
        <w:t xml:space="preserve"> o conflicto interior, </w:t>
      </w:r>
      <w:proofErr w:type="spellStart"/>
      <w:r w:rsidRPr="003D49EB">
        <w:rPr>
          <w:rFonts w:cs="Verdana"/>
          <w:szCs w:val="20"/>
        </w:rPr>
        <w:t>suspensión</w:t>
      </w:r>
      <w:proofErr w:type="spellEnd"/>
      <w:r w:rsidRPr="003D49EB">
        <w:rPr>
          <w:rFonts w:cs="Verdana"/>
          <w:szCs w:val="20"/>
        </w:rPr>
        <w:t xml:space="preserve"> de </w:t>
      </w:r>
      <w:proofErr w:type="spellStart"/>
      <w:r w:rsidRPr="003D49EB">
        <w:rPr>
          <w:rFonts w:cs="Verdana"/>
          <w:szCs w:val="20"/>
        </w:rPr>
        <w:t>garantías</w:t>
      </w:r>
      <w:proofErr w:type="spellEnd"/>
      <w:r w:rsidRPr="003D49EB">
        <w:rPr>
          <w:rFonts w:cs="Verdana"/>
          <w:szCs w:val="20"/>
        </w:rPr>
        <w:t xml:space="preserve"> constitucionales, inestabilidad </w:t>
      </w:r>
      <w:proofErr w:type="spellStart"/>
      <w:r w:rsidRPr="003D49EB">
        <w:rPr>
          <w:rFonts w:cs="Verdana"/>
          <w:szCs w:val="20"/>
        </w:rPr>
        <w:t>política</w:t>
      </w:r>
      <w:proofErr w:type="spellEnd"/>
      <w:r w:rsidRPr="003D49EB">
        <w:rPr>
          <w:rFonts w:cs="Verdana"/>
          <w:szCs w:val="20"/>
        </w:rPr>
        <w:t xml:space="preserve"> interna u otras emergencias o calamidades </w:t>
      </w:r>
      <w:proofErr w:type="spellStart"/>
      <w:r w:rsidRPr="003D49EB">
        <w:rPr>
          <w:rFonts w:cs="Verdana"/>
          <w:szCs w:val="20"/>
        </w:rPr>
        <w:t>públicas</w:t>
      </w:r>
      <w:proofErr w:type="spellEnd"/>
      <w:r w:rsidRPr="003D49EB">
        <w:rPr>
          <w:rFonts w:cs="Verdana"/>
          <w:szCs w:val="20"/>
        </w:rPr>
        <w:t xml:space="preserve">, y pertenece hoy </w:t>
      </w:r>
      <w:proofErr w:type="spellStart"/>
      <w:r w:rsidRPr="003D49EB">
        <w:rPr>
          <w:rFonts w:cs="Verdana"/>
          <w:szCs w:val="20"/>
        </w:rPr>
        <w:t>día</w:t>
      </w:r>
      <w:proofErr w:type="spellEnd"/>
      <w:r w:rsidRPr="003D49EB">
        <w:rPr>
          <w:rFonts w:cs="Verdana"/>
          <w:szCs w:val="20"/>
        </w:rPr>
        <w:t xml:space="preserve"> al dominio del </w:t>
      </w:r>
      <w:proofErr w:type="spellStart"/>
      <w:r w:rsidRPr="003D49EB">
        <w:rPr>
          <w:rFonts w:cs="Verdana"/>
          <w:szCs w:val="20"/>
        </w:rPr>
        <w:t>jus</w:t>
      </w:r>
      <w:proofErr w:type="spellEnd"/>
      <w:r w:rsidRPr="003D49EB">
        <w:rPr>
          <w:rFonts w:cs="Verdana"/>
          <w:szCs w:val="20"/>
        </w:rPr>
        <w:t xml:space="preserve"> cogens internacional. Los tratados de alcance universal y regional consagran tal </w:t>
      </w:r>
      <w:proofErr w:type="spellStart"/>
      <w:r w:rsidRPr="003D49EB">
        <w:rPr>
          <w:rFonts w:cs="Verdana"/>
          <w:szCs w:val="20"/>
        </w:rPr>
        <w:t>prohibición</w:t>
      </w:r>
      <w:proofErr w:type="spellEnd"/>
      <w:r w:rsidRPr="003D49EB">
        <w:rPr>
          <w:rFonts w:cs="Verdana"/>
          <w:szCs w:val="20"/>
        </w:rPr>
        <w:t xml:space="preserve"> y el derecho inderogable a no ser sometido a ninguna forma de tortura.</w:t>
      </w:r>
    </w:p>
    <w:p w14:paraId="7B7CD788" w14:textId="7EADA772" w:rsidR="00386954" w:rsidRPr="003D49EB" w:rsidRDefault="00984FCA" w:rsidP="00BD210B">
      <w:pPr>
        <w:pStyle w:val="Ttulo2"/>
      </w:pPr>
      <w:bookmarkStart w:id="20" w:name="_Toc530497974"/>
      <w:bookmarkStart w:id="21" w:name="_Toc88914973"/>
      <w:r w:rsidRPr="003D49EB">
        <w:t>Prohibición de</w:t>
      </w:r>
      <w:r w:rsidR="00E56EED" w:rsidRPr="003D49EB">
        <w:t xml:space="preserve"> tortura y penas corporales</w:t>
      </w:r>
      <w:bookmarkEnd w:id="20"/>
      <w:bookmarkEnd w:id="21"/>
    </w:p>
    <w:p w14:paraId="66FDACE8" w14:textId="77777777" w:rsidR="00BD210B" w:rsidRPr="003D49EB" w:rsidRDefault="00BD210B" w:rsidP="00BD210B">
      <w:pPr>
        <w:rPr>
          <w:lang w:val="es-CR"/>
        </w:rPr>
      </w:pPr>
    </w:p>
    <w:p w14:paraId="6DE0191A" w14:textId="1B5C12C2" w:rsidR="00EC633C" w:rsidRDefault="00386954" w:rsidP="009A4683">
      <w:pPr>
        <w:spacing w:after="100" w:afterAutospacing="1"/>
        <w:rPr>
          <w:b/>
          <w:szCs w:val="20"/>
        </w:rPr>
      </w:pPr>
      <w:r w:rsidRPr="003D49EB">
        <w:rPr>
          <w:b/>
          <w:szCs w:val="20"/>
        </w:rPr>
        <w:t xml:space="preserve">Corte IDH. Caso </w:t>
      </w:r>
      <w:proofErr w:type="spellStart"/>
      <w:r w:rsidRPr="003D49EB">
        <w:rPr>
          <w:b/>
          <w:szCs w:val="20"/>
        </w:rPr>
        <w:t>Caesar</w:t>
      </w:r>
      <w:proofErr w:type="spellEnd"/>
      <w:r w:rsidRPr="003D49EB">
        <w:rPr>
          <w:b/>
          <w:szCs w:val="20"/>
        </w:rPr>
        <w:t xml:space="preserve"> Vs. Trinidad y Tobago. Fondo, Reparaciones y Costas. Sentencia de 11 de marzo de 2005. Serie C No. 123.</w:t>
      </w:r>
      <w:r w:rsidR="00EC633C" w:rsidRPr="003D49EB">
        <w:rPr>
          <w:b/>
          <w:szCs w:val="20"/>
        </w:rPr>
        <w:t xml:space="preserve"> </w:t>
      </w:r>
    </w:p>
    <w:p w14:paraId="36486502" w14:textId="77777777" w:rsidR="007276B0" w:rsidRPr="003D49EB" w:rsidRDefault="007276B0" w:rsidP="009A4683">
      <w:pPr>
        <w:spacing w:after="100" w:afterAutospacing="1"/>
        <w:rPr>
          <w:szCs w:val="20"/>
        </w:rPr>
      </w:pPr>
    </w:p>
    <w:p w14:paraId="737B13BC" w14:textId="55E0A0B8" w:rsidR="00386954" w:rsidRDefault="00EC633C" w:rsidP="009A4683">
      <w:r w:rsidRPr="003D49EB">
        <w:t>67.</w:t>
      </w:r>
      <w:r w:rsidRPr="003D49EB">
        <w:tab/>
        <w:t>La Corte Europea de Derechos Humanos ha sostenido que para que un trato sea considerado como inhumano o degradante y, en grado extremo, como tortura, debe alcanzar un mínimo nivel de severidad. La evaluación de este nivel mínimo es relativa y depende de las circunstancias de cada caso, tales como la duración del trato y de sus consecuencias físicas y mentales.</w:t>
      </w:r>
    </w:p>
    <w:p w14:paraId="25828604" w14:textId="77777777" w:rsidR="007276B0" w:rsidRPr="003D49EB" w:rsidRDefault="007276B0" w:rsidP="009A4683"/>
    <w:p w14:paraId="4E56BF28" w14:textId="77777777" w:rsidR="00EC633C" w:rsidRPr="003D49EB" w:rsidRDefault="00EC633C" w:rsidP="009A4683">
      <w:pPr>
        <w:spacing w:after="100" w:afterAutospacing="1"/>
        <w:rPr>
          <w:szCs w:val="20"/>
        </w:rPr>
      </w:pPr>
      <w:r w:rsidRPr="003D49EB">
        <w:rPr>
          <w:szCs w:val="20"/>
        </w:rPr>
        <w:t>68.</w:t>
      </w:r>
      <w:r w:rsidRPr="003D49EB">
        <w:rPr>
          <w:szCs w:val="20"/>
        </w:rPr>
        <w:tab/>
        <w:t xml:space="preserve">Por su parte, en el caso </w:t>
      </w:r>
      <w:proofErr w:type="spellStart"/>
      <w:r w:rsidRPr="003D49EB">
        <w:rPr>
          <w:szCs w:val="20"/>
        </w:rPr>
        <w:t>Celebici</w:t>
      </w:r>
      <w:proofErr w:type="spellEnd"/>
      <w:r w:rsidRPr="003D49EB">
        <w:rPr>
          <w:szCs w:val="20"/>
        </w:rPr>
        <w:t>, la Cámara de Juicio del Tribunal Penal Internacional para la ex-Yugoslavia analizó estándares normativos del derecho internacional humanitario y de los derechos humanos, con base en los cuales definió trato inhumano o cruel como:</w:t>
      </w:r>
    </w:p>
    <w:p w14:paraId="70F033CD" w14:textId="77777777" w:rsidR="00EC633C" w:rsidRPr="003D49EB" w:rsidRDefault="00EC633C" w:rsidP="009A4683">
      <w:pPr>
        <w:spacing w:after="100" w:afterAutospacing="1"/>
        <w:ind w:left="1416"/>
        <w:rPr>
          <w:sz w:val="18"/>
          <w:szCs w:val="18"/>
        </w:rPr>
      </w:pPr>
      <w:r w:rsidRPr="003D49EB">
        <w:rPr>
          <w:sz w:val="18"/>
          <w:szCs w:val="18"/>
        </w:rPr>
        <w:t>[…] un acto u omisión intencional, que […] juzgado objetivamente, es intencionado y no accidental, que causa graves sufrimientos o daños mentales o físicos, o constituye un serio ataque a la dignidad humana.</w:t>
      </w:r>
    </w:p>
    <w:p w14:paraId="4A002A3F" w14:textId="77777777" w:rsidR="00EC633C" w:rsidRPr="003D49EB" w:rsidRDefault="00EC633C" w:rsidP="009A4683">
      <w:pPr>
        <w:spacing w:after="100" w:afterAutospacing="1"/>
        <w:rPr>
          <w:szCs w:val="20"/>
        </w:rPr>
      </w:pPr>
      <w:r w:rsidRPr="003D49EB">
        <w:rPr>
          <w:szCs w:val="20"/>
        </w:rPr>
        <w:t>70.</w:t>
      </w:r>
      <w:r w:rsidRPr="003D49EB">
        <w:rPr>
          <w:szCs w:val="20"/>
        </w:rPr>
        <w:tab/>
        <w:t xml:space="preserve">La propia jurisprudencia de este Tribunal así como de otros tribunales y autoridades internacionales, llevan a la Corte a concluir que existe una prohibición universal tanto de la tortura como de otros tratos o penas crueles, inhumanos o degradantes, independientemente de cualquier codificación o declaración, por ser todos </w:t>
      </w:r>
      <w:r w:rsidR="0029681D" w:rsidRPr="003D49EB">
        <w:rPr>
          <w:szCs w:val="20"/>
        </w:rPr>
        <w:t>estos</w:t>
      </w:r>
      <w:r w:rsidRPr="003D49EB">
        <w:rPr>
          <w:szCs w:val="20"/>
        </w:rPr>
        <w:t xml:space="preserve"> violatorios de normas perentorias de derecho internacional. Asimismo, la Corte es consciente de la creciente tendencia, a nivel internacional e interno, hacia el reconocimiento del carácter no permisible de las penas corporales, debido a su naturaleza intrínsecamente cruel, inhumana y degradante. Consecuentemente, un Estado Parte de la Convención Americana, en cumplimiento de sus obligaciones derivadas de los artículos 1.1, 5.1 y 5.2 de dicha Convención, tiene una obligación erga omnes de abstenerse de imponer penas corporales, así como de prevenir su imposición, por constituir, en cualquier circunstancia, un trato o pena cruel, inhumano o degradante. </w:t>
      </w:r>
    </w:p>
    <w:p w14:paraId="03618696" w14:textId="77777777" w:rsidR="00EC633C" w:rsidRPr="003D49EB" w:rsidRDefault="00EC633C" w:rsidP="009A4683">
      <w:pPr>
        <w:spacing w:after="100" w:afterAutospacing="1"/>
        <w:rPr>
          <w:szCs w:val="20"/>
        </w:rPr>
      </w:pPr>
      <w:r w:rsidRPr="003D49EB">
        <w:rPr>
          <w:szCs w:val="20"/>
        </w:rPr>
        <w:t>71.</w:t>
      </w:r>
      <w:r w:rsidRPr="003D49EB">
        <w:rPr>
          <w:szCs w:val="20"/>
        </w:rPr>
        <w:tab/>
        <w:t xml:space="preserve">En el presente caso, el señor </w:t>
      </w:r>
      <w:proofErr w:type="spellStart"/>
      <w:r w:rsidRPr="003D49EB">
        <w:rPr>
          <w:szCs w:val="20"/>
        </w:rPr>
        <w:t>Caesar</w:t>
      </w:r>
      <w:proofErr w:type="spellEnd"/>
      <w:r w:rsidRPr="003D49EB">
        <w:rPr>
          <w:szCs w:val="20"/>
        </w:rPr>
        <w:t xml:space="preserve"> fue sometido a un castigo corporal de flagelación, en aplicación de la sentencia emitida por la High </w:t>
      </w:r>
      <w:proofErr w:type="spellStart"/>
      <w:r w:rsidRPr="003D49EB">
        <w:rPr>
          <w:szCs w:val="20"/>
        </w:rPr>
        <w:t>Court</w:t>
      </w:r>
      <w:proofErr w:type="spellEnd"/>
      <w:r w:rsidRPr="003D49EB">
        <w:rPr>
          <w:szCs w:val="20"/>
        </w:rPr>
        <w:t xml:space="preserve"> de Trinidad y Tobago, en los términos de la Ley de Penas Corporales.</w:t>
      </w:r>
      <w:r w:rsidR="008B18CE" w:rsidRPr="003D49EB">
        <w:rPr>
          <w:szCs w:val="20"/>
        </w:rPr>
        <w:t xml:space="preserve"> </w:t>
      </w:r>
      <w:r w:rsidRPr="003D49EB">
        <w:rPr>
          <w:szCs w:val="20"/>
        </w:rPr>
        <w:t>Esta ley autoriza a los tribunales internos a ordenar la aplicación de penas corporales contra cualquier delincuente varón condenado por determinados delitos, además de cualquier otro castigo que le sea aplicable, ya sea por flagelación con el “gato de nueve colas”, por latigazos con una vara de tamarindo, abedul u otros objetos, o “en cualquiera de los dos casos, cualquier otro instrumento que el Presidente puede aprobar periódicamente” […].</w:t>
      </w:r>
    </w:p>
    <w:p w14:paraId="4F74D7D9" w14:textId="77777777" w:rsidR="00EC633C" w:rsidRPr="003D49EB" w:rsidRDefault="00EC633C" w:rsidP="009A4683">
      <w:pPr>
        <w:spacing w:after="100" w:afterAutospacing="1"/>
        <w:rPr>
          <w:szCs w:val="20"/>
        </w:rPr>
      </w:pPr>
      <w:r w:rsidRPr="003D49EB">
        <w:rPr>
          <w:szCs w:val="20"/>
        </w:rPr>
        <w:t>73.</w:t>
      </w:r>
      <w:r w:rsidRPr="003D49EB">
        <w:rPr>
          <w:szCs w:val="20"/>
        </w:rPr>
        <w:tab/>
        <w:t>En atención a la regulación y aplicación de las penas corporales de flagelación en Trinidad y Tobago, la Corte considera que la naturaleza misma de éstas refleja una institucionalización de la violencia que, pese a ser permitida por la ley, ordenada por las autoridades judiciales y ejecutada por las autoridades penitenciarias, constituye una sanción incompatible con la Convención. Como tales, las penas corporales por medio de flagelación constituyen una forma de tortura y, en consecuencia, una violación per se del derecho de cualquier persona sometida a la misma a que se respete su integridad física, psíquica y mental, en los términos del artículo 5.1 y 5.2 de la Convención, en relación con el artículo 1.1 de la misma.</w:t>
      </w:r>
      <w:r w:rsidR="008B18CE" w:rsidRPr="003D49EB">
        <w:rPr>
          <w:szCs w:val="20"/>
        </w:rPr>
        <w:t xml:space="preserve"> </w:t>
      </w:r>
      <w:r w:rsidRPr="003D49EB">
        <w:rPr>
          <w:szCs w:val="20"/>
        </w:rPr>
        <w:t xml:space="preserve">En consecuencia, la Ley de Penas Corporales debe ser considerada contraria a los términos del artículo 5.1 y 5.2 de la Convención Americana [...]. </w:t>
      </w:r>
    </w:p>
    <w:p w14:paraId="508971E1" w14:textId="77777777" w:rsidR="00EC633C" w:rsidRPr="003D49EB" w:rsidRDefault="00EC633C" w:rsidP="009A4683">
      <w:pPr>
        <w:spacing w:after="100" w:afterAutospacing="1"/>
        <w:rPr>
          <w:szCs w:val="20"/>
        </w:rPr>
      </w:pPr>
      <w:r w:rsidRPr="003D49EB">
        <w:rPr>
          <w:szCs w:val="20"/>
        </w:rPr>
        <w:t>74.</w:t>
      </w:r>
      <w:r w:rsidRPr="003D49EB">
        <w:rPr>
          <w:szCs w:val="20"/>
        </w:rPr>
        <w:tab/>
        <w:t xml:space="preserve">Aún cuando la Corte Interamericana no está autorizada u obligada por la Convención para pronunciarse sobre la compatibilidad de acciones individuales con la Convención Americana, es obvio que las conductas y decisiones de los funcionarios </w:t>
      </w:r>
      <w:r w:rsidRPr="003D49EB">
        <w:rPr>
          <w:szCs w:val="20"/>
        </w:rPr>
        <w:lastRenderedPageBreak/>
        <w:t xml:space="preserve">y agentes del Estado deben enmarcarse en dichas obligaciones internacionales. En el presente caso, en el cual la Ley de Penas Corporales de Trinidad y Tobago otorga a la autoridad judicial la opción de ordenar, en ciertas circunstancias, la imposición de penas corporales además del encarcelamiento, la Corte siente la obligación de dejar constancia de su profunda preocupación por el hecho de que el juez de la High </w:t>
      </w:r>
      <w:proofErr w:type="spellStart"/>
      <w:r w:rsidRPr="003D49EB">
        <w:rPr>
          <w:szCs w:val="20"/>
        </w:rPr>
        <w:t>Court</w:t>
      </w:r>
      <w:proofErr w:type="spellEnd"/>
      <w:r w:rsidRPr="003D49EB">
        <w:rPr>
          <w:szCs w:val="20"/>
        </w:rPr>
        <w:t xml:space="preserve"> tuvo a bien ejercer una opción que manifiestamente tendría el efecto de infligir una pena que no sólo constituye una violación ostensible de las obligaciones internacionales contraídas por el Estado bajo la Convención, sino que es además universalmente estigmatizada como cruel, inhumana y degradante.</w:t>
      </w:r>
    </w:p>
    <w:p w14:paraId="43E29A9B" w14:textId="77777777" w:rsidR="00EC633C" w:rsidRPr="003D49EB" w:rsidRDefault="00EC633C" w:rsidP="009A4683">
      <w:pPr>
        <w:spacing w:after="100" w:afterAutospacing="1"/>
        <w:rPr>
          <w:szCs w:val="20"/>
        </w:rPr>
      </w:pPr>
      <w:r w:rsidRPr="003D49EB">
        <w:rPr>
          <w:szCs w:val="20"/>
        </w:rPr>
        <w:t>77.</w:t>
      </w:r>
      <w:r w:rsidRPr="003D49EB">
        <w:rPr>
          <w:szCs w:val="20"/>
        </w:rPr>
        <w:tab/>
        <w:t xml:space="preserve">El dolor y el daño físico causados por la flagelación fueron exacerbados por la angustia, el estrés y el miedo padecidos durante el período en que el señor </w:t>
      </w:r>
      <w:proofErr w:type="spellStart"/>
      <w:r w:rsidRPr="003D49EB">
        <w:rPr>
          <w:szCs w:val="20"/>
        </w:rPr>
        <w:t>Caesar</w:t>
      </w:r>
      <w:proofErr w:type="spellEnd"/>
      <w:r w:rsidRPr="003D49EB">
        <w:rPr>
          <w:szCs w:val="20"/>
        </w:rPr>
        <w:t xml:space="preserve"> estuvo esperando su pena corporal en la cárcel. Más aún, en tres o cuatro diferentes ocasiones fue expuesto al sufrimiento de otros reclusos sometidos a penas</w:t>
      </w:r>
      <w:r w:rsidR="008B18CE" w:rsidRPr="003D49EB">
        <w:rPr>
          <w:szCs w:val="20"/>
        </w:rPr>
        <w:t xml:space="preserve"> </w:t>
      </w:r>
      <w:r w:rsidRPr="003D49EB">
        <w:rPr>
          <w:szCs w:val="20"/>
        </w:rPr>
        <w:t>similares.</w:t>
      </w:r>
      <w:r w:rsidR="008B18CE" w:rsidRPr="003D49EB">
        <w:rPr>
          <w:szCs w:val="20"/>
        </w:rPr>
        <w:t xml:space="preserve"> </w:t>
      </w:r>
      <w:r w:rsidRPr="003D49EB">
        <w:rPr>
          <w:szCs w:val="20"/>
        </w:rPr>
        <w:t xml:space="preserve">[…] </w:t>
      </w:r>
    </w:p>
    <w:p w14:paraId="67520C4A" w14:textId="77777777" w:rsidR="00EC633C" w:rsidRPr="003D49EB" w:rsidRDefault="00EC633C" w:rsidP="009A4683">
      <w:pPr>
        <w:spacing w:after="100" w:afterAutospacing="1"/>
        <w:rPr>
          <w:szCs w:val="20"/>
        </w:rPr>
      </w:pPr>
      <w:r w:rsidRPr="003D49EB">
        <w:rPr>
          <w:szCs w:val="20"/>
        </w:rPr>
        <w:t>78.</w:t>
      </w:r>
      <w:r w:rsidRPr="003D49EB">
        <w:rPr>
          <w:szCs w:val="20"/>
        </w:rPr>
        <w:tab/>
        <w:t xml:space="preserve">De esta manera, el señor Cesar fue sometido a la amenaza de un abuso físico inminente y fue intencionalmente forzado a presenciar los efectos de dicha pena en otros reclusos, lo que le ocasionó angustia y miedo severos. </w:t>
      </w:r>
    </w:p>
    <w:p w14:paraId="51AE66DF" w14:textId="77777777" w:rsidR="00EC633C" w:rsidRPr="003D49EB" w:rsidRDefault="00EC633C" w:rsidP="009A4683">
      <w:pPr>
        <w:spacing w:after="100" w:afterAutospacing="1"/>
        <w:rPr>
          <w:szCs w:val="20"/>
        </w:rPr>
      </w:pPr>
      <w:r w:rsidRPr="003D49EB">
        <w:rPr>
          <w:szCs w:val="20"/>
        </w:rPr>
        <w:t>79.</w:t>
      </w:r>
      <w:r w:rsidRPr="003D49EB">
        <w:rPr>
          <w:szCs w:val="20"/>
        </w:rPr>
        <w:tab/>
        <w:t xml:space="preserve">Asimismo, la Corte comparte la opinión de la Comisión de que la sentencia fue ejecutada de forma tal que humilló gravemente al señor </w:t>
      </w:r>
      <w:proofErr w:type="spellStart"/>
      <w:r w:rsidRPr="003D49EB">
        <w:rPr>
          <w:szCs w:val="20"/>
        </w:rPr>
        <w:t>Caesar</w:t>
      </w:r>
      <w:proofErr w:type="spellEnd"/>
      <w:r w:rsidRPr="003D49EB">
        <w:rPr>
          <w:szCs w:val="20"/>
        </w:rPr>
        <w:t>, ya que fue flagelado al menos frente a seis personas y atado desnudo “en forma de águila extendida” a un artefacto de metal que lo inmovilizó mientras era golpeado</w:t>
      </w:r>
    </w:p>
    <w:p w14:paraId="2AAD59BF" w14:textId="77777777" w:rsidR="00EC633C" w:rsidRPr="003D49EB" w:rsidRDefault="00EC633C" w:rsidP="009A4683">
      <w:pPr>
        <w:spacing w:after="100" w:afterAutospacing="1"/>
        <w:rPr>
          <w:szCs w:val="20"/>
        </w:rPr>
      </w:pPr>
      <w:r w:rsidRPr="003D49EB">
        <w:rPr>
          <w:szCs w:val="20"/>
        </w:rPr>
        <w:t>88.</w:t>
      </w:r>
      <w:r w:rsidRPr="003D49EB">
        <w:rPr>
          <w:szCs w:val="20"/>
        </w:rPr>
        <w:tab/>
        <w:t xml:space="preserve">En los párrafos anteriores, la Corte ha declarado que la pena corporal por flagelación, según ha sido examinado en el presente caso, debe ser considerada como una forma de tortura y, por lo tanto, contraria per se al artículo 5.1 y 5.2 de la Convención y a normas perentorias de derecho internacional […]. Además, la Corte es consciente de las circunstancias que rodearon la imposición de la pena corporal del señor </w:t>
      </w:r>
      <w:proofErr w:type="spellStart"/>
      <w:r w:rsidRPr="003D49EB">
        <w:rPr>
          <w:szCs w:val="20"/>
        </w:rPr>
        <w:t>Caesar</w:t>
      </w:r>
      <w:proofErr w:type="spellEnd"/>
      <w:r w:rsidRPr="003D49EB">
        <w:rPr>
          <w:szCs w:val="20"/>
        </w:rPr>
        <w:t xml:space="preserve">, tales como: la humillación extrema causada por la flagelación en sí; la angustia, el estrés y el miedo sufridos mientras esperaba su castigo en prisión, período que fue caracterizado por una demora excesiva; así como el hecho de haber presenciado el sufrimiento de otros prisioneros que habían sido flagelados. La extrema gravedad y el grado de intensidad del sufrimiento físico y mental que estas circunstancias provocaron en el señor </w:t>
      </w:r>
      <w:proofErr w:type="spellStart"/>
      <w:r w:rsidRPr="003D49EB">
        <w:rPr>
          <w:szCs w:val="20"/>
        </w:rPr>
        <w:t>Caesar</w:t>
      </w:r>
      <w:proofErr w:type="spellEnd"/>
      <w:r w:rsidRPr="003D49EB">
        <w:rPr>
          <w:szCs w:val="20"/>
        </w:rPr>
        <w:t>, serán consideradas por la Corte al momento de fijar la</w:t>
      </w:r>
      <w:r w:rsidR="0095281D" w:rsidRPr="003D49EB">
        <w:rPr>
          <w:szCs w:val="20"/>
        </w:rPr>
        <w:t>s reparaciones pertinentes […].</w:t>
      </w:r>
    </w:p>
    <w:p w14:paraId="5758BAF8" w14:textId="2C8C9CAE" w:rsidR="002D2ADC" w:rsidRPr="003D49EB" w:rsidRDefault="002D2ADC" w:rsidP="009A4683">
      <w:pPr>
        <w:rPr>
          <w:szCs w:val="20"/>
        </w:rPr>
      </w:pPr>
      <w:r w:rsidRPr="003D49EB">
        <w:rPr>
          <w:szCs w:val="20"/>
        </w:rPr>
        <w:br w:type="page"/>
      </w:r>
    </w:p>
    <w:p w14:paraId="020999FC" w14:textId="77777777" w:rsidR="002D0B62" w:rsidRPr="003D49EB" w:rsidRDefault="002D0B62" w:rsidP="009A4683">
      <w:pPr>
        <w:pStyle w:val="Ttulo1"/>
      </w:pPr>
      <w:bookmarkStart w:id="22" w:name="_Toc530497975"/>
    </w:p>
    <w:p w14:paraId="4564FC83" w14:textId="77777777" w:rsidR="00375D83" w:rsidRPr="003D49EB" w:rsidRDefault="00897F90" w:rsidP="009A4683">
      <w:pPr>
        <w:pStyle w:val="Ttulo1"/>
      </w:pPr>
      <w:bookmarkStart w:id="23" w:name="_Toc88914974"/>
      <w:r w:rsidRPr="003D49EB">
        <w:t>3. De</w:t>
      </w:r>
      <w:r w:rsidR="00375D83" w:rsidRPr="003D49EB">
        <w:t>finición</w:t>
      </w:r>
      <w:r w:rsidRPr="003D49EB">
        <w:t xml:space="preserve"> y elementos</w:t>
      </w:r>
      <w:r w:rsidR="00375D83" w:rsidRPr="003D49EB">
        <w:t xml:space="preserve"> de</w:t>
      </w:r>
      <w:r w:rsidRPr="003D49EB">
        <w:t xml:space="preserve"> la</w:t>
      </w:r>
      <w:r w:rsidR="00375D83" w:rsidRPr="003D49EB">
        <w:t xml:space="preserve"> tortura</w:t>
      </w:r>
      <w:bookmarkEnd w:id="22"/>
      <w:bookmarkEnd w:id="23"/>
      <w:r w:rsidR="00375D83" w:rsidRPr="003D49EB">
        <w:t xml:space="preserve"> </w:t>
      </w:r>
    </w:p>
    <w:p w14:paraId="71252D75" w14:textId="77777777" w:rsidR="006E5C73" w:rsidRDefault="006E5C73" w:rsidP="009A4683">
      <w:pPr>
        <w:spacing w:after="100" w:afterAutospacing="1"/>
        <w:rPr>
          <w:szCs w:val="20"/>
        </w:rPr>
      </w:pPr>
    </w:p>
    <w:p w14:paraId="5795E338" w14:textId="6FF3A59B" w:rsidR="002D2ADC" w:rsidRPr="003D49EB" w:rsidRDefault="00A67421" w:rsidP="009A4683">
      <w:pPr>
        <w:spacing w:after="100" w:afterAutospacing="1"/>
        <w:rPr>
          <w:szCs w:val="20"/>
        </w:rPr>
      </w:pPr>
      <w:r w:rsidRPr="003D49EB">
        <w:rPr>
          <w:szCs w:val="20"/>
        </w:rPr>
        <w:t xml:space="preserve">Uno de los aspectos más interesantes de la jurisprudencia interamericana es su evolución en cuanto a los elementos que </w:t>
      </w:r>
      <w:r w:rsidR="00E103E1" w:rsidRPr="003D49EB">
        <w:rPr>
          <w:szCs w:val="20"/>
        </w:rPr>
        <w:t>constituyen un acto que pueda ser calificado como</w:t>
      </w:r>
      <w:r w:rsidRPr="003D49EB">
        <w:rPr>
          <w:szCs w:val="20"/>
        </w:rPr>
        <w:t xml:space="preserve"> tortura. Para conformar el concepto actual de tortura y sus elementos, la Corte IDH </w:t>
      </w:r>
      <w:r w:rsidR="00305729" w:rsidRPr="003D49EB">
        <w:rPr>
          <w:szCs w:val="20"/>
        </w:rPr>
        <w:t>se ha referido a la Convención Americana,</w:t>
      </w:r>
      <w:r w:rsidR="0029681D" w:rsidRPr="003D49EB">
        <w:rPr>
          <w:szCs w:val="20"/>
        </w:rPr>
        <w:t xml:space="preserve"> </w:t>
      </w:r>
      <w:r w:rsidR="00305729" w:rsidRPr="003D49EB">
        <w:rPr>
          <w:szCs w:val="20"/>
        </w:rPr>
        <w:t xml:space="preserve">su propia jurisprudencia y a </w:t>
      </w:r>
      <w:r w:rsidRPr="003D49EB">
        <w:rPr>
          <w:szCs w:val="20"/>
        </w:rPr>
        <w:t>los desarrollos de otros órganos de protección de derechos humanos, así como los enunciados normativos de los instrumentos internacionales que la prohíben.</w:t>
      </w:r>
    </w:p>
    <w:p w14:paraId="2C3AC60B" w14:textId="58ED7458" w:rsidR="00A84D35" w:rsidRDefault="00A84D35" w:rsidP="009A4683">
      <w:pPr>
        <w:pStyle w:val="Ttulo2"/>
      </w:pPr>
      <w:bookmarkStart w:id="24" w:name="_Toc530497976"/>
      <w:bookmarkStart w:id="25" w:name="_Toc88914975"/>
      <w:r w:rsidRPr="003D49EB">
        <w:t>Elementos de la tortura</w:t>
      </w:r>
      <w:bookmarkEnd w:id="24"/>
      <w:bookmarkEnd w:id="25"/>
    </w:p>
    <w:p w14:paraId="28952797" w14:textId="77777777" w:rsidR="007276B0" w:rsidRPr="007276B0" w:rsidRDefault="007276B0" w:rsidP="007276B0">
      <w:pPr>
        <w:rPr>
          <w:lang w:val="es-CR"/>
        </w:rPr>
      </w:pPr>
    </w:p>
    <w:p w14:paraId="65CC60A5" w14:textId="1459E89B" w:rsidR="0001369E" w:rsidRPr="003D49EB" w:rsidRDefault="009B0099" w:rsidP="009A4683">
      <w:pPr>
        <w:spacing w:after="100" w:afterAutospacing="1"/>
        <w:rPr>
          <w:b/>
          <w:szCs w:val="20"/>
        </w:rPr>
      </w:pPr>
      <w:r w:rsidRPr="003D49EB">
        <w:rPr>
          <w:b/>
          <w:szCs w:val="20"/>
        </w:rPr>
        <w:t xml:space="preserve">Corte IDH. Caso </w:t>
      </w:r>
      <w:proofErr w:type="spellStart"/>
      <w:r w:rsidRPr="003D49EB">
        <w:rPr>
          <w:b/>
          <w:szCs w:val="20"/>
        </w:rPr>
        <w:t>Bámaca</w:t>
      </w:r>
      <w:proofErr w:type="spellEnd"/>
      <w:r w:rsidRPr="003D49EB">
        <w:rPr>
          <w:b/>
          <w:szCs w:val="20"/>
        </w:rPr>
        <w:t xml:space="preserve"> Velásquez Vs. Guatemala. Fondo. Sentencia de 25 de noviembre de 2000. Serie C No. 70.</w:t>
      </w:r>
      <w:r w:rsidR="00B87EEC" w:rsidRPr="003D49EB">
        <w:rPr>
          <w:rStyle w:val="Refdenotaalpie"/>
          <w:b/>
          <w:bCs/>
          <w:szCs w:val="20"/>
        </w:rPr>
        <w:footnoteReference w:id="28"/>
      </w:r>
    </w:p>
    <w:p w14:paraId="6CA4932C" w14:textId="77777777" w:rsidR="0001369E" w:rsidRPr="003D49EB" w:rsidRDefault="0001369E" w:rsidP="009A4683">
      <w:pPr>
        <w:tabs>
          <w:tab w:val="left" w:pos="0"/>
        </w:tabs>
        <w:spacing w:after="100" w:afterAutospacing="1"/>
        <w:rPr>
          <w:b/>
          <w:szCs w:val="20"/>
          <w:lang w:val="es-ES_tradnl"/>
        </w:rPr>
      </w:pPr>
      <w:r w:rsidRPr="003D49EB">
        <w:rPr>
          <w:szCs w:val="20"/>
          <w:lang w:val="es-ES_tradnl"/>
        </w:rPr>
        <w:t>156.</w:t>
      </w:r>
      <w:r w:rsidRPr="003D49EB">
        <w:rPr>
          <w:szCs w:val="20"/>
          <w:lang w:val="es-ES_tradnl"/>
        </w:rPr>
        <w:tab/>
        <w:t>De acuerdo con el artículo 1 de la Convención contra la Tortura y otros Tratos o Penas Crueles, Inhumanos o Degradantes, la tortura implica que se inflijan a una persona penas o sufrimientos físicos o mentales deliberadamente dirigidos a intimidar, castigar, investigar o prevenir crímenes, penar su comisión o con cualquier otro fin.</w:t>
      </w:r>
    </w:p>
    <w:p w14:paraId="00AEFB25" w14:textId="77777777" w:rsidR="0001369E" w:rsidRPr="003D49EB" w:rsidRDefault="0001369E" w:rsidP="009A4683">
      <w:pPr>
        <w:spacing w:after="100" w:afterAutospacing="1"/>
        <w:rPr>
          <w:szCs w:val="20"/>
          <w:lang w:val="es-ES_tradnl"/>
        </w:rPr>
      </w:pPr>
      <w:r w:rsidRPr="003D49EB">
        <w:rPr>
          <w:szCs w:val="20"/>
          <w:lang w:val="es-ES_tradnl"/>
        </w:rPr>
        <w:t>157.</w:t>
      </w:r>
      <w:r w:rsidRPr="003D49EB">
        <w:rPr>
          <w:szCs w:val="20"/>
          <w:lang w:val="es-ES_tradnl"/>
        </w:rPr>
        <w:tab/>
        <w:t>La Convención Interamericana para Prevenir y San</w:t>
      </w:r>
      <w:r w:rsidR="00B87EEC" w:rsidRPr="003D49EB">
        <w:rPr>
          <w:szCs w:val="20"/>
          <w:lang w:val="es-ES_tradnl"/>
        </w:rPr>
        <w:t>c</w:t>
      </w:r>
      <w:r w:rsidRPr="003D49EB">
        <w:rPr>
          <w:szCs w:val="20"/>
          <w:lang w:val="es-ES_tradnl"/>
        </w:rPr>
        <w:t xml:space="preserve">ionar la Tortura define ésta en su artículo 2, como </w:t>
      </w:r>
    </w:p>
    <w:p w14:paraId="53E56D2B" w14:textId="77777777" w:rsidR="0001369E" w:rsidRPr="003D49EB" w:rsidRDefault="0001369E" w:rsidP="009A4683">
      <w:pPr>
        <w:pStyle w:val="Textodebloque1"/>
        <w:spacing w:after="100" w:afterAutospacing="1"/>
        <w:ind w:left="1416"/>
        <w:rPr>
          <w:szCs w:val="18"/>
        </w:rPr>
      </w:pPr>
      <w:r w:rsidRPr="003D49EB">
        <w:rPr>
          <w:szCs w:val="18"/>
        </w:rPr>
        <w:t>todo acto realizado intencionalmente por el cual se inflijan a una persona penas o sufrimientos físicos o mentales, con fines de investigación criminal, como medio intimidatorio, como castigo personal, como medida preventiva, como pena o con cualquier otro fin.</w:t>
      </w:r>
      <w:r w:rsidR="008B18CE" w:rsidRPr="003D49EB">
        <w:rPr>
          <w:szCs w:val="18"/>
        </w:rPr>
        <w:t xml:space="preserve"> </w:t>
      </w:r>
      <w:r w:rsidRPr="003D49EB">
        <w:rPr>
          <w:szCs w:val="18"/>
        </w:rPr>
        <w:t>Se entenderá también como tortura la aplicación sobre una persona de métodos tendientes a anular la personalidad de la víctima o a disminuir su capacidad física o mental, aunque no causen dolor f</w:t>
      </w:r>
      <w:r w:rsidR="00B23BED" w:rsidRPr="003D49EB">
        <w:rPr>
          <w:szCs w:val="18"/>
        </w:rPr>
        <w:t>ísico o angustia psíquica.</w:t>
      </w:r>
    </w:p>
    <w:p w14:paraId="2399E357" w14:textId="77777777" w:rsidR="0001369E" w:rsidRPr="003D49EB" w:rsidRDefault="00B23BED" w:rsidP="009A4683">
      <w:pPr>
        <w:pStyle w:val="Textodebloque1"/>
        <w:spacing w:after="100" w:afterAutospacing="1"/>
        <w:ind w:left="0" w:right="0"/>
        <w:rPr>
          <w:sz w:val="20"/>
        </w:rPr>
      </w:pPr>
      <w:r w:rsidRPr="003D49EB">
        <w:rPr>
          <w:sz w:val="20"/>
        </w:rPr>
        <w:t>Y agrega:</w:t>
      </w:r>
    </w:p>
    <w:p w14:paraId="61B341F1" w14:textId="77777777" w:rsidR="0001369E" w:rsidRPr="003D49EB" w:rsidRDefault="0001369E" w:rsidP="009A4683">
      <w:pPr>
        <w:pStyle w:val="Textodebloque1"/>
        <w:spacing w:after="100" w:afterAutospacing="1"/>
        <w:ind w:left="1416"/>
        <w:rPr>
          <w:szCs w:val="18"/>
        </w:rPr>
      </w:pPr>
      <w:r w:rsidRPr="003D49EB">
        <w:rPr>
          <w:szCs w:val="18"/>
        </w:rPr>
        <w:t xml:space="preserve">No estarán comprendidos en el concepto de tortura las penas o sufrimientos físicos o mentales que sean únicamente consecuencia de medidas legales o inherentes a éstas, siempre que no incluyan la </w:t>
      </w:r>
      <w:r w:rsidRPr="003D49EB">
        <w:rPr>
          <w:szCs w:val="18"/>
        </w:rPr>
        <w:lastRenderedPageBreak/>
        <w:t>realización de los actos o la aplicación de los métodos a que s</w:t>
      </w:r>
      <w:r w:rsidR="00B23BED" w:rsidRPr="003D49EB">
        <w:rPr>
          <w:szCs w:val="18"/>
        </w:rPr>
        <w:t>e refiere el presente artículo.</w:t>
      </w:r>
    </w:p>
    <w:p w14:paraId="34F5A360" w14:textId="77777777" w:rsidR="002C7802" w:rsidRPr="003D49EB" w:rsidRDefault="0001369E" w:rsidP="009A4683">
      <w:pPr>
        <w:pStyle w:val="Textoindependiente"/>
        <w:widowControl/>
        <w:tabs>
          <w:tab w:val="left" w:pos="0"/>
        </w:tabs>
        <w:spacing w:after="100" w:afterAutospacing="1"/>
        <w:rPr>
          <w:rFonts w:ascii="Verdana" w:hAnsi="Verdana"/>
          <w:sz w:val="20"/>
          <w:lang w:val="es-ES_tradnl"/>
        </w:rPr>
      </w:pPr>
      <w:r w:rsidRPr="003D49EB">
        <w:rPr>
          <w:rFonts w:ascii="Verdana" w:hAnsi="Verdana"/>
          <w:sz w:val="20"/>
          <w:lang w:val="es-ES_tradnl"/>
        </w:rPr>
        <w:t>158.</w:t>
      </w:r>
      <w:r w:rsidRPr="003D49EB">
        <w:rPr>
          <w:rFonts w:ascii="Verdana" w:hAnsi="Verdana"/>
          <w:sz w:val="20"/>
          <w:lang w:val="es-ES_tradnl"/>
        </w:rPr>
        <w:tab/>
        <w:t xml:space="preserve">La Corte estima que los actos denunciados en el presente caso fueron preparados e infligidos deliberadamente, con el fin de obtener de Efraín </w:t>
      </w:r>
      <w:proofErr w:type="spellStart"/>
      <w:r w:rsidRPr="003D49EB">
        <w:rPr>
          <w:rFonts w:ascii="Verdana" w:hAnsi="Verdana"/>
          <w:sz w:val="20"/>
          <w:lang w:val="es-ES_tradnl"/>
        </w:rPr>
        <w:t>Bámaca</w:t>
      </w:r>
      <w:proofErr w:type="spellEnd"/>
      <w:r w:rsidRPr="003D49EB">
        <w:rPr>
          <w:rFonts w:ascii="Verdana" w:hAnsi="Verdana"/>
          <w:sz w:val="20"/>
          <w:lang w:val="es-ES_tradnl"/>
        </w:rPr>
        <w:t xml:space="preserve"> Velásquez información relevante para el Ejército. Según los testimonios recabados en el presente proceso, la supuesta víctima fue sometida a actos graves de violencia física y psíquica durante un prolongado período de tiempo con los fines antes mencionados y, así, puesta en un contexto de angustia y de sufrimiento físico intenso de modo intencional, lo que no puede calificarse sino como tortura,</w:t>
      </w:r>
      <w:r w:rsidR="00B23BED" w:rsidRPr="003D49EB">
        <w:rPr>
          <w:rFonts w:ascii="Verdana" w:hAnsi="Verdana"/>
          <w:sz w:val="20"/>
          <w:lang w:val="es-ES_tradnl"/>
        </w:rPr>
        <w:t xml:space="preserve"> tanto física como psicológica.</w:t>
      </w:r>
    </w:p>
    <w:p w14:paraId="4E897822" w14:textId="35965872" w:rsidR="0021364C" w:rsidRPr="003D49EB" w:rsidRDefault="00B305AC" w:rsidP="009A4683">
      <w:pPr>
        <w:pStyle w:val="Textoindependiente"/>
        <w:widowControl/>
        <w:tabs>
          <w:tab w:val="left" w:pos="0"/>
        </w:tabs>
        <w:spacing w:after="100" w:afterAutospacing="1"/>
        <w:rPr>
          <w:rFonts w:ascii="Verdana" w:hAnsi="Verdana"/>
          <w:b/>
          <w:sz w:val="20"/>
          <w:lang w:val="es-ES_tradnl"/>
        </w:rPr>
      </w:pPr>
      <w:r w:rsidRPr="003D49EB">
        <w:rPr>
          <w:rFonts w:ascii="Verdana" w:hAnsi="Verdana"/>
          <w:b/>
          <w:sz w:val="20"/>
          <w:lang w:val="es-ES_tradnl"/>
        </w:rPr>
        <w:t>Corte IDH. Caso Cantoral Benavides Vs. Perú. Fondo. Sentencia de 18 de agosto de 2000. Serie C No. 69.</w:t>
      </w:r>
      <w:r w:rsidR="0021364C" w:rsidRPr="003D49EB">
        <w:rPr>
          <w:rFonts w:ascii="Verdana" w:hAnsi="Verdana"/>
          <w:b/>
          <w:sz w:val="20"/>
          <w:vertAlign w:val="superscript"/>
        </w:rPr>
        <w:footnoteReference w:id="29"/>
      </w:r>
    </w:p>
    <w:p w14:paraId="0AD29D87" w14:textId="77777777" w:rsidR="0021364C" w:rsidRPr="003D49EB" w:rsidRDefault="0021364C" w:rsidP="009A4683">
      <w:pPr>
        <w:pStyle w:val="Textoindependiente"/>
        <w:widowControl/>
        <w:tabs>
          <w:tab w:val="left" w:pos="0"/>
        </w:tabs>
        <w:spacing w:after="100" w:afterAutospacing="1"/>
        <w:rPr>
          <w:rFonts w:ascii="Verdana" w:hAnsi="Verdana"/>
          <w:sz w:val="20"/>
          <w:lang w:val="es-ES_tradnl"/>
        </w:rPr>
      </w:pPr>
      <w:r w:rsidRPr="003D49EB">
        <w:rPr>
          <w:rFonts w:ascii="Verdana" w:hAnsi="Verdana"/>
          <w:sz w:val="20"/>
          <w:lang w:val="es-ES_tradnl"/>
        </w:rPr>
        <w:t>104.</w:t>
      </w:r>
      <w:r w:rsidRPr="003D49EB">
        <w:rPr>
          <w:rFonts w:ascii="Verdana" w:hAnsi="Verdana"/>
          <w:sz w:val="20"/>
          <w:lang w:val="es-ES_tradnl"/>
        </w:rPr>
        <w:tab/>
        <w:t>Atendiendo al conjunto de las circunstancias del caso y al contexto en que se produjeron los hechos, estima este Tribunal, sin lugar a duda razonable, que cuando menos parte de los actos de agresión examinados en esta ca</w:t>
      </w:r>
      <w:r w:rsidR="00E103E1" w:rsidRPr="003D49EB">
        <w:rPr>
          <w:rFonts w:ascii="Verdana" w:hAnsi="Verdana"/>
          <w:sz w:val="20"/>
          <w:lang w:val="es-ES_tradnl"/>
        </w:rPr>
        <w:t>usa pueden ser calificados como</w:t>
      </w:r>
      <w:r w:rsidRPr="003D49EB">
        <w:rPr>
          <w:rFonts w:ascii="Verdana" w:hAnsi="Verdana"/>
          <w:sz w:val="20"/>
          <w:lang w:val="es-ES_tradnl"/>
        </w:rPr>
        <w:t xml:space="preserve"> torturas, físicas y psíquicas. Considera también la Corte que dichos actos fueron preparados e infligidos deliberadamente contra el señor Cantoral Benavides cuando menos con un doble propósito. En la fase previa a la condena, para suprimir su resistencia psíquica y forzarlo a </w:t>
      </w:r>
      <w:proofErr w:type="spellStart"/>
      <w:r w:rsidRPr="003D49EB">
        <w:rPr>
          <w:rFonts w:ascii="Verdana" w:hAnsi="Verdana"/>
          <w:sz w:val="20"/>
          <w:lang w:val="es-ES_tradnl"/>
        </w:rPr>
        <w:t>autoinculparse</w:t>
      </w:r>
      <w:proofErr w:type="spellEnd"/>
      <w:r w:rsidRPr="003D49EB">
        <w:rPr>
          <w:rFonts w:ascii="Verdana" w:hAnsi="Verdana"/>
          <w:sz w:val="20"/>
          <w:lang w:val="es-ES_tradnl"/>
        </w:rPr>
        <w:t xml:space="preserve"> o a confesar determinadas conductas delictivas. En la etapa posterior a la condena, para someterlo a modalidades de castigo adicionales a la privaci</w:t>
      </w:r>
      <w:r w:rsidR="00B23BED" w:rsidRPr="003D49EB">
        <w:rPr>
          <w:rFonts w:ascii="Verdana" w:hAnsi="Verdana"/>
          <w:sz w:val="20"/>
          <w:lang w:val="es-ES_tradnl"/>
        </w:rPr>
        <w:t xml:space="preserve">ón de la libertad en sí misma. </w:t>
      </w:r>
    </w:p>
    <w:p w14:paraId="4CF1EA1B" w14:textId="66D89D04" w:rsidR="002C7802" w:rsidRPr="003D49EB" w:rsidRDefault="006B2EAF" w:rsidP="009A4683">
      <w:pPr>
        <w:spacing w:after="100" w:afterAutospacing="1"/>
        <w:rPr>
          <w:b/>
          <w:szCs w:val="20"/>
        </w:rPr>
      </w:pPr>
      <w:r w:rsidRPr="003D49EB">
        <w:rPr>
          <w:b/>
          <w:szCs w:val="20"/>
        </w:rPr>
        <w:t>Corte IDH. Caso Tibi Vs. Ecuador. Excepciones Preliminares, Fondo, Reparaciones y Costas. Sentencia de 7 de septiembre de 2004. Serie C No. 114</w:t>
      </w:r>
      <w:r w:rsidR="002C7802" w:rsidRPr="003D49EB">
        <w:rPr>
          <w:b/>
          <w:szCs w:val="20"/>
        </w:rPr>
        <w:t xml:space="preserve">. </w:t>
      </w:r>
    </w:p>
    <w:p w14:paraId="77AEF222" w14:textId="77777777" w:rsidR="002C7802" w:rsidRPr="003D49EB" w:rsidRDefault="002C7802" w:rsidP="009A4683">
      <w:pPr>
        <w:tabs>
          <w:tab w:val="left" w:pos="0"/>
        </w:tabs>
        <w:spacing w:after="100" w:afterAutospacing="1"/>
        <w:rPr>
          <w:rFonts w:cs="Times"/>
          <w:szCs w:val="20"/>
        </w:rPr>
      </w:pPr>
      <w:r w:rsidRPr="003D49EB">
        <w:rPr>
          <w:rFonts w:cs="Times"/>
          <w:szCs w:val="20"/>
        </w:rPr>
        <w:t>146.</w:t>
      </w:r>
      <w:r w:rsidRPr="003D49EB">
        <w:rPr>
          <w:rFonts w:cs="Times"/>
          <w:szCs w:val="20"/>
        </w:rPr>
        <w:tab/>
        <w:t xml:space="preserve">De conformidad con esta definición y en atención a las circunstancias de cada caso, pueden calificarse como torturas físicas y psíquicas aquellos actos que han sido “preparados y realizados deliberadamente contra la víctima para suprimir su resistencia psíquica y forzarla a </w:t>
      </w:r>
      <w:proofErr w:type="spellStart"/>
      <w:r w:rsidRPr="003D49EB">
        <w:rPr>
          <w:rFonts w:cs="Times"/>
          <w:szCs w:val="20"/>
        </w:rPr>
        <w:t>autoinculparse</w:t>
      </w:r>
      <w:proofErr w:type="spellEnd"/>
      <w:r w:rsidRPr="003D49EB">
        <w:rPr>
          <w:rFonts w:cs="Times"/>
          <w:szCs w:val="20"/>
        </w:rPr>
        <w:t xml:space="preserve"> o a confesar determinadas conductas delictivas o para someterla a modalidades de castigos adicionales a la privación de la libertad en sí misma”. </w:t>
      </w:r>
    </w:p>
    <w:p w14:paraId="0D8C0AE0" w14:textId="77777777" w:rsidR="002C7802" w:rsidRPr="003D49EB" w:rsidRDefault="002C7802" w:rsidP="009A4683">
      <w:pPr>
        <w:tabs>
          <w:tab w:val="left" w:pos="0"/>
        </w:tabs>
        <w:spacing w:after="100" w:afterAutospacing="1"/>
        <w:rPr>
          <w:rFonts w:cs="Times"/>
          <w:szCs w:val="20"/>
        </w:rPr>
      </w:pPr>
      <w:r w:rsidRPr="003D49EB">
        <w:rPr>
          <w:rFonts w:cs="Times"/>
          <w:szCs w:val="20"/>
        </w:rPr>
        <w:t>148.</w:t>
      </w:r>
      <w:r w:rsidRPr="003D49EB">
        <w:rPr>
          <w:rFonts w:cs="Times"/>
          <w:szCs w:val="20"/>
        </w:rPr>
        <w:tab/>
        <w:t>En el presente caso está demostrado que durante los meses de marzo y abril de 1996 cuando el señor Daniel Tibi permanecía detenido en la Penitenciaría del Litoral, fue objeto, por parte de los guardias de la cárcel, de sesiones de violencia física con el fin</w:t>
      </w:r>
      <w:r w:rsidR="00897F90" w:rsidRPr="003D49EB">
        <w:rPr>
          <w:rFonts w:cs="Times"/>
          <w:szCs w:val="20"/>
        </w:rPr>
        <w:t xml:space="preserve"> de obtener su autoinculpación […]</w:t>
      </w:r>
      <w:r w:rsidRPr="003D49EB">
        <w:rPr>
          <w:rFonts w:cs="Times"/>
          <w:szCs w:val="20"/>
        </w:rPr>
        <w:t>.</w:t>
      </w:r>
      <w:r w:rsidR="008B18CE" w:rsidRPr="003D49EB">
        <w:rPr>
          <w:rFonts w:cs="Times"/>
          <w:szCs w:val="20"/>
        </w:rPr>
        <w:t xml:space="preserve"> </w:t>
      </w:r>
      <w:r w:rsidRPr="003D49EB">
        <w:rPr>
          <w:rFonts w:cs="Times"/>
          <w:szCs w:val="20"/>
        </w:rPr>
        <w:t>Durante estas sesiones, la presunta víctima recibió golpes de puño en el cuerpo y en el rostro, quemaduras en las piernas con cigarrillos y descargas eléctricas en los testículos.</w:t>
      </w:r>
      <w:r w:rsidR="008B18CE" w:rsidRPr="003D49EB">
        <w:rPr>
          <w:rFonts w:cs="Times"/>
          <w:szCs w:val="20"/>
        </w:rPr>
        <w:t xml:space="preserve"> </w:t>
      </w:r>
      <w:r w:rsidRPr="003D49EB">
        <w:rPr>
          <w:rFonts w:cs="Times"/>
          <w:szCs w:val="20"/>
        </w:rPr>
        <w:t>En una ocasión fue golpeado con un objeto contundente y en otra se le sumergió la cabeza en un tanque de agua.</w:t>
      </w:r>
      <w:r w:rsidR="008B18CE" w:rsidRPr="003D49EB">
        <w:rPr>
          <w:rFonts w:cs="Times"/>
          <w:szCs w:val="20"/>
        </w:rPr>
        <w:t xml:space="preserve"> </w:t>
      </w:r>
      <w:r w:rsidRPr="003D49EB">
        <w:rPr>
          <w:rFonts w:cs="Times"/>
          <w:szCs w:val="20"/>
        </w:rPr>
        <w:t>El señor Tibi padeció al menos</w:t>
      </w:r>
      <w:r w:rsidR="00897F90" w:rsidRPr="003D49EB">
        <w:rPr>
          <w:rFonts w:cs="Times"/>
          <w:szCs w:val="20"/>
        </w:rPr>
        <w:t xml:space="preserve"> siete “sesiones” de este tipo […]</w:t>
      </w:r>
      <w:r w:rsidRPr="003D49EB">
        <w:rPr>
          <w:rFonts w:cs="Times"/>
          <w:szCs w:val="20"/>
        </w:rPr>
        <w:t xml:space="preserve">. </w:t>
      </w:r>
    </w:p>
    <w:p w14:paraId="5089E50D" w14:textId="77777777" w:rsidR="002C7802" w:rsidRPr="003D49EB" w:rsidRDefault="002C7802" w:rsidP="009A4683">
      <w:pPr>
        <w:widowControl w:val="0"/>
        <w:tabs>
          <w:tab w:val="left" w:pos="0"/>
          <w:tab w:val="left" w:pos="720"/>
        </w:tabs>
        <w:spacing w:after="100" w:afterAutospacing="1"/>
        <w:rPr>
          <w:rFonts w:cs="Times"/>
          <w:szCs w:val="20"/>
        </w:rPr>
      </w:pPr>
      <w:r w:rsidRPr="003D49EB">
        <w:rPr>
          <w:rFonts w:cs="Times"/>
          <w:szCs w:val="20"/>
        </w:rPr>
        <w:t>149.</w:t>
      </w:r>
      <w:r w:rsidRPr="003D49EB">
        <w:rPr>
          <w:rFonts w:cs="Times"/>
          <w:szCs w:val="20"/>
        </w:rPr>
        <w:tab/>
        <w:t>Los actos de violencia perpetrados de manera intencional por agentes del Estado contra el señor Daniel Tibi produjeron a éste grave sufrimiento físico y mental.</w:t>
      </w:r>
      <w:r w:rsidR="008B18CE" w:rsidRPr="003D49EB">
        <w:rPr>
          <w:rFonts w:cs="Times"/>
          <w:szCs w:val="20"/>
        </w:rPr>
        <w:t xml:space="preserve"> </w:t>
      </w:r>
      <w:r w:rsidRPr="003D49EB">
        <w:rPr>
          <w:rFonts w:cs="Times"/>
          <w:szCs w:val="20"/>
        </w:rPr>
        <w:lastRenderedPageBreak/>
        <w:t>La ejecución reiterada de estos actos violentos tenía como fin disminuir sus capacidades físicas y mentales y anular su personalidad para que se declarara culpable de un delito.</w:t>
      </w:r>
      <w:r w:rsidR="008B18CE" w:rsidRPr="003D49EB">
        <w:rPr>
          <w:rFonts w:cs="Times"/>
          <w:szCs w:val="20"/>
        </w:rPr>
        <w:t xml:space="preserve"> </w:t>
      </w:r>
      <w:r w:rsidRPr="003D49EB">
        <w:rPr>
          <w:rFonts w:cs="Times"/>
          <w:szCs w:val="20"/>
        </w:rPr>
        <w:t xml:space="preserve">En el caso </w:t>
      </w:r>
      <w:r w:rsidRPr="003D49EB">
        <w:rPr>
          <w:rFonts w:cs="Times"/>
          <w:i/>
          <w:iCs/>
          <w:szCs w:val="20"/>
        </w:rPr>
        <w:t>sub judice</w:t>
      </w:r>
      <w:r w:rsidRPr="003D49EB">
        <w:rPr>
          <w:rFonts w:cs="Times"/>
          <w:szCs w:val="20"/>
        </w:rPr>
        <w:t xml:space="preserve"> se ha demostrado, además, que la presunta víctima recibió amenazas y sufrió hostigamientos durante el período de su detención, que le produjeron pánico y temor por su vida.</w:t>
      </w:r>
      <w:r w:rsidR="008B18CE" w:rsidRPr="003D49EB">
        <w:rPr>
          <w:rFonts w:cs="Times"/>
          <w:szCs w:val="20"/>
        </w:rPr>
        <w:t xml:space="preserve"> </w:t>
      </w:r>
      <w:r w:rsidRPr="003D49EB">
        <w:rPr>
          <w:rFonts w:cs="Times"/>
          <w:szCs w:val="20"/>
        </w:rPr>
        <w:t xml:space="preserve">Todo ello constituye una forma de tortura, en los términos del artículo 5.2 de la Convención Americana. </w:t>
      </w:r>
    </w:p>
    <w:p w14:paraId="55250DF8" w14:textId="322C7C9E" w:rsidR="00A84D35" w:rsidRPr="00081EFB" w:rsidRDefault="00A056EF" w:rsidP="009A4683">
      <w:pPr>
        <w:spacing w:after="100" w:afterAutospacing="1"/>
        <w:rPr>
          <w:szCs w:val="20"/>
        </w:rPr>
      </w:pPr>
      <w:r w:rsidRPr="00081EFB">
        <w:rPr>
          <w:b/>
          <w:szCs w:val="20"/>
        </w:rPr>
        <w:t xml:space="preserve">Corte IDH. Caso del Penal Miguel Castro </w:t>
      </w:r>
      <w:proofErr w:type="spellStart"/>
      <w:r w:rsidRPr="00081EFB">
        <w:rPr>
          <w:b/>
          <w:szCs w:val="20"/>
        </w:rPr>
        <w:t>Castro</w:t>
      </w:r>
      <w:proofErr w:type="spellEnd"/>
      <w:r w:rsidRPr="00081EFB">
        <w:rPr>
          <w:b/>
          <w:szCs w:val="20"/>
        </w:rPr>
        <w:t xml:space="preserve"> Vs. Perú. Fondo, Reparaciones y Costas. Sentencia de 25 de noviembre de 2006. Serie C No. 160</w:t>
      </w:r>
      <w:r w:rsidR="00A84D35" w:rsidRPr="00081EFB">
        <w:rPr>
          <w:b/>
          <w:szCs w:val="20"/>
        </w:rPr>
        <w:t>.</w:t>
      </w:r>
      <w:r w:rsidRPr="00081EFB">
        <w:rPr>
          <w:rStyle w:val="Refdenotaalpie"/>
          <w:rFonts w:cstheme="minorHAnsi"/>
          <w:szCs w:val="20"/>
        </w:rPr>
        <w:footnoteReference w:id="30"/>
      </w:r>
      <w:r w:rsidR="00A84D35" w:rsidRPr="00081EFB">
        <w:rPr>
          <w:b/>
          <w:szCs w:val="20"/>
        </w:rPr>
        <w:t xml:space="preserve"> </w:t>
      </w:r>
    </w:p>
    <w:p w14:paraId="0995D2AA" w14:textId="77777777" w:rsidR="00A84D35" w:rsidRPr="003D49EB" w:rsidRDefault="00A84D35" w:rsidP="009A4683">
      <w:pPr>
        <w:tabs>
          <w:tab w:val="left" w:pos="720"/>
        </w:tabs>
        <w:spacing w:after="100" w:afterAutospacing="1"/>
        <w:rPr>
          <w:szCs w:val="20"/>
        </w:rPr>
      </w:pPr>
      <w:r w:rsidRPr="003D49EB">
        <w:rPr>
          <w:szCs w:val="20"/>
        </w:rPr>
        <w:t xml:space="preserve">316. </w:t>
      </w:r>
      <w:r w:rsidRPr="003D49EB">
        <w:rPr>
          <w:szCs w:val="20"/>
        </w:rPr>
        <w:tab/>
        <w:t xml:space="preserve">En el análisis de la gravedad de los actos que puedan constituir tratos crueles, inhumanos o degradantes o tortura es preciso ponderar todas las circunstancias del caso, tales como la duración de los tratos, sus efectos físicos y mentales, y en algunos casos, el sexo, la edad y el estado de salud de la víctima, entre otros. </w:t>
      </w:r>
    </w:p>
    <w:p w14:paraId="53BF88FE" w14:textId="58CC1D45" w:rsidR="00A84D35" w:rsidRPr="003D49EB" w:rsidRDefault="00A84D35" w:rsidP="009A4683">
      <w:pPr>
        <w:tabs>
          <w:tab w:val="left" w:pos="720"/>
        </w:tabs>
        <w:spacing w:after="100" w:afterAutospacing="1"/>
        <w:rPr>
          <w:szCs w:val="20"/>
        </w:rPr>
      </w:pPr>
      <w:r w:rsidRPr="003D49EB">
        <w:rPr>
          <w:szCs w:val="20"/>
        </w:rPr>
        <w:t>317.</w:t>
      </w:r>
      <w:r w:rsidRPr="003D49EB">
        <w:rPr>
          <w:szCs w:val="20"/>
        </w:rPr>
        <w:tab/>
        <w:t xml:space="preserve">Las torturas físicas y psíquicas son actos “preparados y realizados deliberadamente contra la víctima para suprimir su resistencia psíquica y forzarla a </w:t>
      </w:r>
      <w:proofErr w:type="spellStart"/>
      <w:r w:rsidRPr="003D49EB">
        <w:rPr>
          <w:szCs w:val="20"/>
        </w:rPr>
        <w:t>autoinculparse</w:t>
      </w:r>
      <w:proofErr w:type="spellEnd"/>
      <w:r w:rsidRPr="003D49EB">
        <w:rPr>
          <w:szCs w:val="20"/>
        </w:rPr>
        <w:t xml:space="preserve"> o a confesar determinadas conductas delictivas o para someterla a modalidades de castigos adicionales a la privación de la libertad en sí misma”. Dentro de la noción de tortura establecida en el artículo 2 de la Convención Interamericana para Prevenir y Sancionar la Tortura se encuentra el infligir a una persona sufrimientos físicos o mentales con cualquier fin. En situaciones de violación masiva de derechos humanos, el uso sistemático de tortura generalmente tiene el fin de intimidar a la población.</w:t>
      </w:r>
    </w:p>
    <w:p w14:paraId="75F74BD1" w14:textId="4FBAB555" w:rsidR="00A84D35" w:rsidRPr="003D49EB" w:rsidRDefault="00FE0DAB" w:rsidP="009A4683">
      <w:pPr>
        <w:tabs>
          <w:tab w:val="right" w:pos="8838"/>
        </w:tabs>
        <w:spacing w:after="100" w:afterAutospacing="1"/>
        <w:rPr>
          <w:szCs w:val="20"/>
        </w:rPr>
      </w:pPr>
      <w:r w:rsidRPr="003D49EB">
        <w:rPr>
          <w:b/>
          <w:szCs w:val="20"/>
        </w:rPr>
        <w:t>Corte IDH. Caso Bueno Alves Vs. Argentina. Fondo, Reparaciones y Costas. Sentencia de 11 de mayo de 2007. Serie C No. 164.</w:t>
      </w:r>
      <w:r w:rsidR="00A84D35" w:rsidRPr="003D49EB">
        <w:rPr>
          <w:szCs w:val="20"/>
        </w:rPr>
        <w:tab/>
      </w:r>
    </w:p>
    <w:p w14:paraId="2B247F12" w14:textId="298BB809" w:rsidR="00A84D35" w:rsidRPr="003D49EB" w:rsidRDefault="00A84D35" w:rsidP="009A4683">
      <w:pPr>
        <w:spacing w:after="100" w:afterAutospacing="1"/>
        <w:rPr>
          <w:szCs w:val="20"/>
        </w:rPr>
      </w:pPr>
      <w:r w:rsidRPr="003D49EB">
        <w:rPr>
          <w:szCs w:val="20"/>
        </w:rPr>
        <w:t>78.</w:t>
      </w:r>
      <w:r w:rsidRPr="003D49EB">
        <w:rPr>
          <w:szCs w:val="20"/>
        </w:rPr>
        <w:tab/>
        <w:t xml:space="preserve">Ahora bien, para definir lo que a la luz del artículo 5.2 de la Convención Americana debe entenderse como “tortura”, la Corte debe tomar en cuenta la definición que al respecto hace la primera parte del artículo 2 de la Convención Interamericana para Prevenir y Sancionar la Tortura (en adelante “CIPST”), así como las diversas definiciones </w:t>
      </w:r>
      <w:r w:rsidRPr="003D49EB" w:rsidDel="00CD77D5">
        <w:rPr>
          <w:szCs w:val="20"/>
        </w:rPr>
        <w:t>contenidas en</w:t>
      </w:r>
      <w:r w:rsidRPr="003D49EB">
        <w:rPr>
          <w:szCs w:val="20"/>
        </w:rPr>
        <w:t xml:space="preserve"> algunos de los instrumentos citados en el párrafo anterior. Esto es particularmente relevante para el Tribunal, puesto que conforme a su propia jurisprudencia, “al dar interpretación a un tratado no sólo se toman en cuenta los acuerdos e instrumentos formalmente relacionados con éste (inciso segundo del artículo 31 de la Convención de Viena), sino también el sistema dentro del cual se inscribe (inciso tercero del artículo 31)”. Esta orientación tiene particular importancia para el Derecho Internacional de los Derechos Humanos, que ha avanzado sustancialmente mediante la interpretación evolutiva de los instrumentos internacionales de protección.</w:t>
      </w:r>
    </w:p>
    <w:p w14:paraId="322BAFFB" w14:textId="62E00470" w:rsidR="00A84D35" w:rsidRPr="003D49EB" w:rsidRDefault="00A84D35" w:rsidP="009A4683">
      <w:pPr>
        <w:spacing w:after="100" w:afterAutospacing="1"/>
        <w:rPr>
          <w:i/>
          <w:szCs w:val="20"/>
        </w:rPr>
      </w:pPr>
      <w:r w:rsidRPr="003D49EB">
        <w:rPr>
          <w:szCs w:val="20"/>
        </w:rPr>
        <w:t>79.</w:t>
      </w:r>
      <w:r w:rsidRPr="003D49EB">
        <w:rPr>
          <w:szCs w:val="20"/>
        </w:rPr>
        <w:tab/>
        <w:t xml:space="preserve">En razón de lo expuesto, la Corte entiende que los elementos constitutivos de la tortura son los siguientes: a) un acto intencional; b) que cause severos sufrimientos físicos o mentales, y c) que se cometa con determinado fin o propósito. </w:t>
      </w:r>
      <w:r w:rsidR="006E5C73">
        <w:rPr>
          <w:rStyle w:val="EnelmismoCar"/>
        </w:rPr>
        <w:t>En similar sentido, ver entre otros</w:t>
      </w:r>
      <w:r w:rsidR="00E56EED" w:rsidRPr="003D49EB">
        <w:rPr>
          <w:rStyle w:val="EnelmismoCar"/>
        </w:rPr>
        <w:t xml:space="preserve">: Caso Fernández Ortega y otros. Vs. México. Excepción Preliminar, Fondo, Reparaciones y Costas. Sentencia de 30 de agosto de </w:t>
      </w:r>
      <w:r w:rsidR="00E56EED" w:rsidRPr="003D49EB">
        <w:rPr>
          <w:rStyle w:val="EnelmismoCar"/>
        </w:rPr>
        <w:lastRenderedPageBreak/>
        <w:t>2010, párr. 120; Caso Rosendo Cantú y otra Vs. México. Excepción Preliminar, Fondo, Reparaciones y Costas. Sentencia de 31 de agosto de 2010, párr. 110.</w:t>
      </w:r>
    </w:p>
    <w:p w14:paraId="510AECE0" w14:textId="77777777" w:rsidR="00A84D35" w:rsidRPr="003D49EB" w:rsidRDefault="00A84D35" w:rsidP="009A4683">
      <w:pPr>
        <w:spacing w:after="100" w:afterAutospacing="1"/>
        <w:rPr>
          <w:szCs w:val="20"/>
        </w:rPr>
      </w:pPr>
      <w:r w:rsidRPr="003D49EB">
        <w:rPr>
          <w:szCs w:val="20"/>
        </w:rPr>
        <w:t>81.</w:t>
      </w:r>
      <w:r w:rsidRPr="003D49EB">
        <w:rPr>
          <w:szCs w:val="20"/>
        </w:rPr>
        <w:tab/>
        <w:t>Las pruebas que constan en el expediente acreditan que los actos cometidos fueron deliberadamente infligidos en contra de la víctima y no producto de una conducta imprudente, accidente o caso fortuito.</w:t>
      </w:r>
    </w:p>
    <w:p w14:paraId="2B2E2C29" w14:textId="77777777" w:rsidR="00A84D35" w:rsidRPr="003D49EB" w:rsidRDefault="00A84D35" w:rsidP="009A4683">
      <w:pPr>
        <w:spacing w:after="100" w:afterAutospacing="1"/>
        <w:rPr>
          <w:szCs w:val="20"/>
        </w:rPr>
      </w:pPr>
      <w:r w:rsidRPr="003D49EB">
        <w:rPr>
          <w:szCs w:val="20"/>
        </w:rPr>
        <w:t>82.</w:t>
      </w:r>
      <w:r w:rsidRPr="003D49EB">
        <w:rPr>
          <w:szCs w:val="20"/>
        </w:rPr>
        <w:tab/>
        <w:t>El señor Bueno Alves denunció en su declaración ante el juez que investigaba los actos de maltrato […] que éstos tuvieron como propósito que confesara en contra de quien era su abogado, el señor Carlos Alberto Baltasar Pérez Galindo. En vista de ello y teniendo en cuenta la aceptación del Estado, la Corte considera que los maltratos tuvieron como finalidad específica forzar la confesión del señor Bueno Alves.</w:t>
      </w:r>
    </w:p>
    <w:p w14:paraId="2560F21E" w14:textId="77777777" w:rsidR="00A84D35" w:rsidRPr="003D49EB" w:rsidRDefault="00A84D35" w:rsidP="009A4683">
      <w:pPr>
        <w:spacing w:after="100" w:afterAutospacing="1"/>
        <w:rPr>
          <w:szCs w:val="20"/>
        </w:rPr>
      </w:pPr>
      <w:r w:rsidRPr="003D49EB">
        <w:rPr>
          <w:szCs w:val="20"/>
        </w:rPr>
        <w:t>83.</w:t>
      </w:r>
      <w:r w:rsidRPr="003D49EB">
        <w:rPr>
          <w:szCs w:val="20"/>
        </w:rPr>
        <w:tab/>
        <w:t xml:space="preserve">Finalmente, al apreciar la severidad del sufrimiento padecido, la Corte debe tomar en cuenta </w:t>
      </w:r>
      <w:r w:rsidRPr="003D49EB">
        <w:rPr>
          <w:szCs w:val="20"/>
          <w:lang w:val="es-AR"/>
        </w:rPr>
        <w:t xml:space="preserve">las circunstancias específicas de cada caso, teniendo en cuenta factores endógenos y exógenos. Los primeros se refieren a </w:t>
      </w:r>
      <w:r w:rsidRPr="003D49EB">
        <w:rPr>
          <w:szCs w:val="20"/>
        </w:rPr>
        <w:t>las características del trato, tales como la duración, el método utilizado o el modo en que fueron infligidos los padecimientos, así como los efectos físicos y mentales que éstos tienden a causar. Los segundos remiten a las condiciones de la persona que padece dichos sufrimientos, entre ellos la edad, el sexo, el estado de salud, así como toda otra circunstancia personal.</w:t>
      </w:r>
    </w:p>
    <w:p w14:paraId="13353ED8" w14:textId="5E71095B" w:rsidR="00A84D35" w:rsidRPr="003D49EB" w:rsidRDefault="00A84D35" w:rsidP="009A4683">
      <w:pPr>
        <w:spacing w:after="100" w:afterAutospacing="1"/>
        <w:ind w:right="-7"/>
        <w:rPr>
          <w:szCs w:val="20"/>
        </w:rPr>
      </w:pPr>
      <w:r w:rsidRPr="003D49EB">
        <w:rPr>
          <w:szCs w:val="20"/>
        </w:rPr>
        <w:t>84.</w:t>
      </w:r>
      <w:r w:rsidRPr="003D49EB">
        <w:rPr>
          <w:szCs w:val="20"/>
        </w:rPr>
        <w:tab/>
        <w:t>El sufrimiento que el señor Bueno Alves padeció queda evidenciado en su testimonio inicial, en el que especifica que “al ser golpeado de esta manera, […] reaccionó diciendo ‘mátenme’”. De igual forma, cobran especial relevancia los efectos físicos que el trato produjo.</w:t>
      </w:r>
      <w:r w:rsidRPr="003D49EB" w:rsidDel="00794877">
        <w:rPr>
          <w:szCs w:val="20"/>
        </w:rPr>
        <w:t xml:space="preserve"> </w:t>
      </w:r>
      <w:r w:rsidRPr="003D49EB">
        <w:rPr>
          <w:szCs w:val="20"/>
        </w:rPr>
        <w:t xml:space="preserve">Según los hallazgos de los peritos médicos que presentaron sus informes </w:t>
      </w:r>
      <w:r w:rsidR="002E29B9" w:rsidRPr="003D49EB">
        <w:rPr>
          <w:szCs w:val="20"/>
        </w:rPr>
        <w:t>[...]</w:t>
      </w:r>
      <w:r w:rsidRPr="003D49EB">
        <w:rPr>
          <w:szCs w:val="20"/>
        </w:rPr>
        <w:t>, el tratamiento padecido por el señor Bueno Alves le produjo una “[p]</w:t>
      </w:r>
      <w:proofErr w:type="spellStart"/>
      <w:r w:rsidRPr="003D49EB">
        <w:rPr>
          <w:szCs w:val="20"/>
        </w:rPr>
        <w:t>erforación</w:t>
      </w:r>
      <w:proofErr w:type="spellEnd"/>
      <w:r w:rsidRPr="003D49EB">
        <w:rPr>
          <w:szCs w:val="20"/>
        </w:rPr>
        <w:t xml:space="preserve"> de la membrana timpánica de 2mm. de diámetro”, que conllevó una pérdida de la audición del 0,3% en el oído izquierdo y 16.7% en el oído derecho, así como severos padecimientos psicológicos. En efecto, los peritos psiquiatras que actuaron en este proceso expusieron que:</w:t>
      </w:r>
    </w:p>
    <w:p w14:paraId="7CB8A50E" w14:textId="3180DFA5" w:rsidR="00A84D35" w:rsidRPr="003D49EB" w:rsidRDefault="00A84D35" w:rsidP="007276B0">
      <w:pPr>
        <w:spacing w:after="100" w:afterAutospacing="1"/>
        <w:ind w:left="1416" w:right="-7"/>
        <w:rPr>
          <w:sz w:val="18"/>
          <w:szCs w:val="18"/>
        </w:rPr>
      </w:pPr>
      <w:r w:rsidRPr="003D49EB">
        <w:rPr>
          <w:sz w:val="18"/>
          <w:szCs w:val="18"/>
        </w:rPr>
        <w:t xml:space="preserve">En relación a los hechos de la </w:t>
      </w:r>
      <w:proofErr w:type="spellStart"/>
      <w:r w:rsidRPr="003D49EB">
        <w:rPr>
          <w:sz w:val="18"/>
          <w:szCs w:val="18"/>
        </w:rPr>
        <w:t>litis</w:t>
      </w:r>
      <w:proofErr w:type="spellEnd"/>
      <w:r w:rsidRPr="003D49EB">
        <w:rPr>
          <w:sz w:val="18"/>
          <w:szCs w:val="18"/>
        </w:rPr>
        <w:t xml:space="preserve"> […] su relato es claro, emotivo pero a la vez pudoroso. No resulta grandilocuente ni busca causar impacto emocional en el oyente. Su relato resulta verosímil. […] A partir de ese episodio, ocurrido hace más de 18 años, todo hecho de su existencia parece quedar asociado, de una manera u otra, a dicho episodio. Como sintomatología reactiva al mismo refiere […] fallas amnésicas, trastornos en el dormir, estado de alerta y temores permanentes, inactividad laboral total y un estilo de vida social y afectiva supeditada al sistema de recaudos y seguridades instaurado a posteriori del episodio del 88. Es ahí, siempre según sus dichos, puntualmente durante la detención que sufriera, que comienza con trastornos alimenticios y en la piel. […] Su actividad mental y también su vida cotidiana […] parecen capturadas por el tema. Tema que parece ser la razón de su existir. Toda su energía psíquica está puesta allí. Ha montado un sistema de constantes recaudos, acompañado de una actitud </w:t>
      </w:r>
      <w:proofErr w:type="spellStart"/>
      <w:r w:rsidRPr="003D49EB">
        <w:rPr>
          <w:sz w:val="18"/>
          <w:szCs w:val="18"/>
        </w:rPr>
        <w:t>hipervigilante</w:t>
      </w:r>
      <w:proofErr w:type="spellEnd"/>
      <w:r w:rsidRPr="003D49EB">
        <w:rPr>
          <w:sz w:val="18"/>
          <w:szCs w:val="18"/>
        </w:rPr>
        <w:t>. […] No aparecen indicadores de simulación.</w:t>
      </w:r>
    </w:p>
    <w:p w14:paraId="52A0F9F4" w14:textId="63C712A4" w:rsidR="00B857C3" w:rsidRPr="003D49EB" w:rsidRDefault="00A84D35" w:rsidP="009A4683">
      <w:pPr>
        <w:spacing w:after="100" w:afterAutospacing="1"/>
        <w:rPr>
          <w:szCs w:val="20"/>
        </w:rPr>
      </w:pPr>
      <w:r w:rsidRPr="003D49EB">
        <w:rPr>
          <w:szCs w:val="20"/>
        </w:rPr>
        <w:t>85.</w:t>
      </w:r>
      <w:r w:rsidRPr="003D49EB">
        <w:rPr>
          <w:szCs w:val="20"/>
        </w:rPr>
        <w:tab/>
        <w:t>Además, los peritos concluyeron que los trastornos producidos por los maltratos impidieron e impiden al señor Bueno Alves “desarrollar sus actividades cotidianas”, y requieren la continuidad de un tratamiento psiquiátrico psicológico “de por vida”.</w:t>
      </w:r>
    </w:p>
    <w:p w14:paraId="04A1E6D4" w14:textId="29BD71E4" w:rsidR="00E56EED" w:rsidRPr="003D49EB" w:rsidRDefault="00BD210B" w:rsidP="009A4683">
      <w:pPr>
        <w:spacing w:after="100" w:afterAutospacing="1"/>
        <w:rPr>
          <w:b/>
          <w:szCs w:val="20"/>
        </w:rPr>
      </w:pPr>
      <w:r w:rsidRPr="003D49EB">
        <w:rPr>
          <w:b/>
          <w:szCs w:val="20"/>
        </w:rPr>
        <w:lastRenderedPageBreak/>
        <w:t>Corte IDH. Caso Fernández Ortega y otros Vs. México. Excepción Preliminar, Fondo, Reparaciones y Costas. Sentencia de 30 de agosto de 2010. Serie C No. 215.</w:t>
      </w:r>
      <w:r w:rsidRPr="003D49EB">
        <w:rPr>
          <w:rStyle w:val="Refdenotaalpie"/>
          <w:rFonts w:cstheme="minorHAnsi"/>
        </w:rPr>
        <w:footnoteReference w:id="31"/>
      </w:r>
    </w:p>
    <w:p w14:paraId="5220F6AE" w14:textId="77777777" w:rsidR="00E56EED" w:rsidRPr="003D49EB" w:rsidRDefault="00E56EED" w:rsidP="009A4683">
      <w:pPr>
        <w:spacing w:after="100" w:afterAutospacing="1"/>
        <w:rPr>
          <w:szCs w:val="20"/>
        </w:rPr>
      </w:pPr>
      <w:r w:rsidRPr="003D49EB">
        <w:rPr>
          <w:szCs w:val="20"/>
        </w:rPr>
        <w:t>121.</w:t>
      </w:r>
      <w:r w:rsidRPr="003D49EB">
        <w:rPr>
          <w:szCs w:val="20"/>
        </w:rPr>
        <w:tab/>
        <w:t xml:space="preserve">Con respecto a la existencia de un acto intencional, de las pruebas que constan en el expediente queda acreditado que el maltrato fue deliberadamente infligido en contra de la víctima. En efecto, la Corte considera probado que uno de los atacantes tomó a la señora Fernández Ortega de las manos, la obligó a acostarse en el suelo, y mientras era apuntada al menos con un arma, un militar la penetró sexualmente mientras los otros dos presenciaban la ejecución de la violación sexual. </w:t>
      </w:r>
    </w:p>
    <w:p w14:paraId="55A45CBB" w14:textId="77777777" w:rsidR="00E56EED" w:rsidRPr="003D49EB" w:rsidRDefault="00E56EED" w:rsidP="009A4683">
      <w:pPr>
        <w:spacing w:after="100" w:afterAutospacing="1"/>
        <w:rPr>
          <w:szCs w:val="20"/>
        </w:rPr>
      </w:pPr>
      <w:r w:rsidRPr="003D49EB">
        <w:rPr>
          <w:szCs w:val="20"/>
        </w:rPr>
        <w:t>124.</w:t>
      </w:r>
      <w:r w:rsidRPr="003D49EB">
        <w:rPr>
          <w:szCs w:val="20"/>
        </w:rPr>
        <w:tab/>
        <w:t>Independientemente de lo anterior, la Corte ha establecido que un acto de tortura puede ser perpetrado tanto mediante actos de violencia física como a través de actos que produzcan en la víctima un suf</w:t>
      </w:r>
      <w:r w:rsidR="003C4BD5" w:rsidRPr="003D49EB">
        <w:rPr>
          <w:szCs w:val="20"/>
        </w:rPr>
        <w:t>rimiento psíquico o moral agudo</w:t>
      </w:r>
      <w:r w:rsidRPr="003D49EB">
        <w:rPr>
          <w:szCs w:val="20"/>
        </w:rPr>
        <w:t>. Adicionalmente, este Tribunal ha reconocido que la violación sexual es una experiencia sumamente traumática que tiene severas consecuencias y causa gran daño físico y psicológico que deja a la víctima “humillada física y emocionalmente”, situación difícilmente superable por el paso del tiempo, a diferencia de lo que acontece en</w:t>
      </w:r>
      <w:r w:rsidR="003C4BD5" w:rsidRPr="003D49EB">
        <w:rPr>
          <w:szCs w:val="20"/>
        </w:rPr>
        <w:t xml:space="preserve"> otras experiencias traumáticas</w:t>
      </w:r>
      <w:r w:rsidRPr="003D49EB">
        <w:rPr>
          <w:szCs w:val="20"/>
        </w:rPr>
        <w:t>. De ello se desprende que es inherente a la violación sexual el sufrimiento severo de la víctima, aun cuando no exista evidencia de lesiones o enfermedades físicas. En efecto, no en todos los casos las consecuencias de una violación sexual serán enfermedades o lesiones corporales. Las mujeres víctimas de violación sexual también experimentan severos daños y secuelas psicológicas y aun sociales.</w:t>
      </w:r>
      <w:r w:rsidR="008B18CE" w:rsidRPr="003D49EB">
        <w:rPr>
          <w:szCs w:val="20"/>
        </w:rPr>
        <w:t xml:space="preserve"> </w:t>
      </w:r>
    </w:p>
    <w:p w14:paraId="1D8664E0" w14:textId="77777777" w:rsidR="00E56EED" w:rsidRPr="003D49EB" w:rsidRDefault="00E56EED" w:rsidP="009A4683">
      <w:pPr>
        <w:spacing w:after="100" w:afterAutospacing="1"/>
        <w:rPr>
          <w:szCs w:val="20"/>
        </w:rPr>
      </w:pPr>
      <w:r w:rsidRPr="003D49EB">
        <w:rPr>
          <w:szCs w:val="20"/>
        </w:rPr>
        <w:t>125.</w:t>
      </w:r>
      <w:r w:rsidRPr="003D49EB">
        <w:rPr>
          <w:szCs w:val="20"/>
        </w:rPr>
        <w:tab/>
        <w:t>En el presente caso, la señora Fernández Ortega estuvo sometida a un acto de violencia sexual y control físico del militar que la penetró sexualmente de manera intencional; su vulnerabilidad y la coerción que el agente estatal ejerció sobre ella se reforzó con la participación de otros dos militares también armados, que agravaron el marco de violencia sexual ejercido contra la víctima, habiendo, incluso, otro grupo de militares que esperaron fuera de la casa. Resulta evidente para la Corte que el sufrimiento padecido por la señora Fernández Ortega, al ser obligada a mantener un acto sexual contra su voluntad, hecho además que fue observado por otras dos personas, es de la mayor intensidad. El sufrimiento psicológico y moral se agravó dadas las circunstancias en las cuales se produjo la violación sexual, en tanto no podía descartarse que la violencia sufrida se extremara aún más por parte de los agentes estatales que presenciaban el acto de violación, ante la posibilidad de que fuera también violada sexualmente por ellos o por quienes se encontraban afuera de la casa. De igual modo, la presencia de sus hijos en los momentos iniciales del hecho, así como la incertidumbre de si se encontraban en peligro o si habrían podido escapar, intensificaron el sufrimiento de la víctima.</w:t>
      </w:r>
    </w:p>
    <w:p w14:paraId="47D8B147" w14:textId="5C26E672" w:rsidR="00E56EED" w:rsidRPr="003D49EB" w:rsidRDefault="00E56EED" w:rsidP="009A4683">
      <w:pPr>
        <w:spacing w:after="100" w:afterAutospacing="1"/>
        <w:rPr>
          <w:b/>
          <w:i/>
          <w:szCs w:val="20"/>
        </w:rPr>
      </w:pPr>
      <w:r w:rsidRPr="003D49EB">
        <w:rPr>
          <w:szCs w:val="20"/>
        </w:rPr>
        <w:t>127.</w:t>
      </w:r>
      <w:r w:rsidRPr="003D49EB">
        <w:rPr>
          <w:szCs w:val="20"/>
        </w:rPr>
        <w:tab/>
        <w:t xml:space="preserve">La Corte considera que, en términos generales, la violación sexual, al igual que la tortura, persigue entre otros, los fines de intimidar, degradar, humillar, castigar o controlar a la persona que la sufre. La violación sexual de la señora Fernández Ortega se produjo en el marco de una situación en la que los agentes militares interrogaron a la víctima y no obtuvieron respuesta sobre la información solicitada […]. Sin descartar la eventual concurrencia de otras finalidades, la Corte considera probado que el presente caso tuvo la finalidad específica de castigo ante </w:t>
      </w:r>
      <w:r w:rsidRPr="003D49EB">
        <w:rPr>
          <w:szCs w:val="20"/>
        </w:rPr>
        <w:lastRenderedPageBreak/>
        <w:t>la falta de información solicitada.</w:t>
      </w:r>
      <w:r w:rsidR="008B18CE" w:rsidRPr="003D49EB">
        <w:rPr>
          <w:szCs w:val="20"/>
        </w:rPr>
        <w:t xml:space="preserve"> </w:t>
      </w:r>
      <w:r w:rsidR="006E5C73">
        <w:rPr>
          <w:rStyle w:val="EnelmismoCar"/>
        </w:rPr>
        <w:t>En similar sentido, ver entre otros</w:t>
      </w:r>
      <w:r w:rsidR="003C4BD5" w:rsidRPr="003D49EB">
        <w:rPr>
          <w:rStyle w:val="EnelmismoCar"/>
        </w:rPr>
        <w:t>: Caso Rosendo Cantú y otra Vs. México. Excepción Preliminar, Fondo, Reparaciones y Costas. Sentencia de 31 de agosto de 2010, párr. 117</w:t>
      </w:r>
      <w:r w:rsidR="003C4BD5" w:rsidRPr="003D49EB">
        <w:rPr>
          <w:b/>
          <w:i/>
          <w:szCs w:val="20"/>
        </w:rPr>
        <w:t>.</w:t>
      </w:r>
    </w:p>
    <w:p w14:paraId="61B2D7C1" w14:textId="4E42F8CF" w:rsidR="00A869F1" w:rsidRPr="00A869F1" w:rsidRDefault="00A869F1" w:rsidP="00A869F1">
      <w:pPr>
        <w:spacing w:after="100" w:afterAutospacing="1"/>
        <w:rPr>
          <w:b/>
          <w:bCs/>
          <w:szCs w:val="20"/>
          <w:shd w:val="clear" w:color="auto" w:fill="FFFFFF"/>
        </w:rPr>
      </w:pPr>
      <w:r w:rsidRPr="00A869F1">
        <w:rPr>
          <w:b/>
          <w:bCs/>
          <w:szCs w:val="20"/>
          <w:shd w:val="clear" w:color="auto" w:fill="FFFFFF"/>
        </w:rPr>
        <w:t>Corte IDH. Caso Rosendo Cantú y otra Vs. México. Excepción Preliminar, Fondo, Reparaciones y Costas. Sentencia de 31 de agosto de 2010. Serie C No. 216.</w:t>
      </w:r>
      <w:r w:rsidRPr="003D49EB">
        <w:rPr>
          <w:rStyle w:val="Refdenotaalpie"/>
        </w:rPr>
        <w:footnoteReference w:id="32"/>
      </w:r>
      <w:r w:rsidRPr="00A869F1">
        <w:rPr>
          <w:b/>
          <w:bCs/>
          <w:szCs w:val="20"/>
          <w:shd w:val="clear" w:color="auto" w:fill="FFFFFF"/>
        </w:rPr>
        <w:t> </w:t>
      </w:r>
    </w:p>
    <w:p w14:paraId="620E5A64" w14:textId="77777777" w:rsidR="00E56EED" w:rsidRPr="003D49EB" w:rsidRDefault="00E56EED" w:rsidP="009A4683">
      <w:pPr>
        <w:spacing w:after="100" w:afterAutospacing="1"/>
        <w:rPr>
          <w:bCs/>
          <w:szCs w:val="20"/>
          <w:shd w:val="clear" w:color="auto" w:fill="FFFFFF"/>
          <w:lang w:val="es-ES_tradnl"/>
        </w:rPr>
      </w:pPr>
      <w:r w:rsidRPr="003D49EB">
        <w:rPr>
          <w:bCs/>
          <w:szCs w:val="20"/>
          <w:shd w:val="clear" w:color="auto" w:fill="FFFFFF"/>
          <w:lang w:val="es-ES_tradnl"/>
        </w:rPr>
        <w:t>111.</w:t>
      </w:r>
      <w:r w:rsidRPr="003D49EB">
        <w:rPr>
          <w:bCs/>
          <w:szCs w:val="20"/>
          <w:shd w:val="clear" w:color="auto" w:fill="FFFFFF"/>
          <w:lang w:val="es-ES_tradnl"/>
        </w:rPr>
        <w:tab/>
        <w:t xml:space="preserve">Con respecto a la existencia de un acto intencional, de las pruebas que constan en el expediente queda acreditado que el maltrato fue deliberadamente infligido en contra de la víctima. En efecto, la Corte considera probado que uno de los atacantes golpeó en el abdomen a la señora Rosendo Cantú con su arma, cayendo la víctima al suelo, posteriormente la tomaron del cabello y le rasguñaron la cara y, por la fuerza, mientras era apuntada con un arma, fue penetrada sexualmente por dos militares, mientras otros seis presenciaban la ejecución de la violación sexual. </w:t>
      </w:r>
    </w:p>
    <w:p w14:paraId="5BAEA9F5" w14:textId="77777777" w:rsidR="003C4BD5" w:rsidRPr="003D49EB" w:rsidRDefault="003C4BD5" w:rsidP="009A4683">
      <w:pPr>
        <w:spacing w:after="100" w:afterAutospacing="1"/>
        <w:rPr>
          <w:bCs/>
          <w:szCs w:val="20"/>
          <w:shd w:val="clear" w:color="auto" w:fill="FFFFFF"/>
          <w:lang w:val="es-ES_tradnl"/>
        </w:rPr>
      </w:pPr>
      <w:r w:rsidRPr="003D49EB">
        <w:rPr>
          <w:bCs/>
          <w:szCs w:val="20"/>
          <w:shd w:val="clear" w:color="auto" w:fill="FFFFFF"/>
          <w:lang w:val="es-ES_tradnl"/>
        </w:rPr>
        <w:t>114.</w:t>
      </w:r>
      <w:r w:rsidRPr="003D49EB">
        <w:rPr>
          <w:bCs/>
          <w:szCs w:val="20"/>
          <w:shd w:val="clear" w:color="auto" w:fill="FFFFFF"/>
          <w:lang w:val="es-ES_tradnl"/>
        </w:rPr>
        <w:tab/>
        <w:t xml:space="preserve">Independientemente de lo anterior, la Corte ha establecido que un acto de tortura puede ser perpetrado tanto mediante actos de violencia física como a través de actos que produzcan en la víctima un sufrimiento psíquico o moral agudo. Adicionalmente, este Tribunal ha reconocido que la violación sexual es una experiencia sumamente traumática que tiene severas consecuencias y causa gran daño físico y psicológico que deja a la víctima “humillada física y emocionalmente”, situación difícilmente superable por el paso del tiempo, a diferencia de lo que acontece en otras experiencias traumáticas. De ello se desprende que es inherente a la violación sexual el sufrimiento severo de la víctima, aun cuando no exista evidencia de lesiones o enfermedades físicas. En efecto, no en todos los casos las consecuencias de una violación sexual serán enfermedades o lesiones corporales. Las mujeres víctimas de violación sexual también experimentan severos daños y secuelas psicológicas y aun sociales. </w:t>
      </w:r>
    </w:p>
    <w:p w14:paraId="56BB10F7" w14:textId="77777777" w:rsidR="00E56EED" w:rsidRPr="003D49EB" w:rsidRDefault="003C4BD5" w:rsidP="009A4683">
      <w:pPr>
        <w:spacing w:after="100" w:afterAutospacing="1"/>
        <w:rPr>
          <w:bCs/>
          <w:szCs w:val="20"/>
          <w:shd w:val="clear" w:color="auto" w:fill="FFFFFF"/>
          <w:lang w:val="es-ES_tradnl"/>
        </w:rPr>
      </w:pPr>
      <w:r w:rsidRPr="003D49EB">
        <w:rPr>
          <w:bCs/>
          <w:szCs w:val="20"/>
          <w:shd w:val="clear" w:color="auto" w:fill="FFFFFF"/>
          <w:lang w:val="es-ES_tradnl"/>
        </w:rPr>
        <w:t>115.</w:t>
      </w:r>
      <w:r w:rsidRPr="003D49EB">
        <w:rPr>
          <w:bCs/>
          <w:szCs w:val="20"/>
          <w:shd w:val="clear" w:color="auto" w:fill="FFFFFF"/>
          <w:lang w:val="es-ES_tradnl"/>
        </w:rPr>
        <w:tab/>
        <w:t xml:space="preserve">En el presente caso, la señora Rosendo Cantú estuvo sometida a un acto de violencia y control físico de los militares que la penetraron sexualmente de manera intencional; su vulnerabilidad y la coerción que los agentes estatales ejercieron sobre ella se reforzaron con la participación de otros seis militares también armados, que agravaron el marco de violencia sexual ejercido contra la víctima. Resulta evidente para la Corte que el sufrimiento padecido por la señora Rosendo Cantú, al ser obligada a mantener actos sexuales contra su voluntad, hecho que además fue observado por otras seis personas, es de la mayor intensidad, más aún considerando su condición de niña. El sufrimiento psicológico y moral se agravó dadas las circunstancias en las cuales se produjo la violación sexual, en tanto no podía descartarse que la violencia sufrida se extremara aún más por parte de los agentes estatales que presenciaban el acto de violación, ante la posibilidad de que fuera también violada sexualmente por ellos. </w:t>
      </w:r>
    </w:p>
    <w:p w14:paraId="6186C253" w14:textId="193FD6DE" w:rsidR="00800714" w:rsidRPr="003D49EB" w:rsidRDefault="004B653C" w:rsidP="009A4683">
      <w:pPr>
        <w:spacing w:after="100" w:afterAutospacing="1"/>
        <w:rPr>
          <w:b/>
          <w:bCs/>
          <w:szCs w:val="20"/>
          <w:shd w:val="clear" w:color="auto" w:fill="FFFFFF"/>
        </w:rPr>
      </w:pPr>
      <w:r w:rsidRPr="004B653C">
        <w:rPr>
          <w:b/>
          <w:bCs/>
          <w:szCs w:val="20"/>
          <w:shd w:val="clear" w:color="auto" w:fill="FFFFFF"/>
        </w:rPr>
        <w:t>Corte IDH. Caso Espinoza Gonzáles Vs. Perú. Excepciones Preliminares, Fondo, Reparaciones y Costas. Sentencia de 20 de noviembre de 2014. Serie C No. 289</w:t>
      </w:r>
      <w:r w:rsidR="00B87EEC" w:rsidRPr="003D49EB">
        <w:rPr>
          <w:b/>
          <w:bCs/>
          <w:szCs w:val="20"/>
          <w:shd w:val="clear" w:color="auto" w:fill="FFFFFF"/>
        </w:rPr>
        <w:t>.</w:t>
      </w:r>
      <w:r w:rsidRPr="003D49EB">
        <w:rPr>
          <w:rStyle w:val="Refdenotaalpie"/>
          <w:rFonts w:cstheme="minorHAnsi"/>
        </w:rPr>
        <w:footnoteReference w:id="33"/>
      </w:r>
    </w:p>
    <w:p w14:paraId="09D9C7E4" w14:textId="77777777" w:rsidR="00800714" w:rsidRPr="003D49EB" w:rsidRDefault="00800714" w:rsidP="009A4683">
      <w:pPr>
        <w:pStyle w:val="Prrafodelista"/>
        <w:spacing w:after="100" w:afterAutospacing="1"/>
        <w:ind w:left="0"/>
        <w:rPr>
          <w:spacing w:val="-2"/>
          <w:szCs w:val="20"/>
        </w:rPr>
      </w:pPr>
      <w:r w:rsidRPr="003D49EB">
        <w:rPr>
          <w:spacing w:val="-2"/>
          <w:szCs w:val="20"/>
        </w:rPr>
        <w:lastRenderedPageBreak/>
        <w:t>143.</w:t>
      </w:r>
      <w:r w:rsidRPr="003D49EB">
        <w:rPr>
          <w:spacing w:val="-2"/>
          <w:szCs w:val="20"/>
        </w:rPr>
        <w:tab/>
        <w:t>Para definir lo que a la luz del artículo 5.2 de la Convención Americana debe entenderse como “tortura”, de conformidad con la jurisprudencia de la Corte, se está frente a un acto constitutivo de tortura cuando el maltrato: i) es intencional; ii) cause severos sufrimientos físicos o mentales, y iii) se cometa con cualquier fin o propósito.</w:t>
      </w:r>
    </w:p>
    <w:p w14:paraId="02D63239" w14:textId="77777777" w:rsidR="00B87EEC" w:rsidRPr="003D49EB" w:rsidRDefault="00B87EEC" w:rsidP="009A4683">
      <w:pPr>
        <w:pStyle w:val="Prrafodelista"/>
        <w:spacing w:after="100" w:afterAutospacing="1"/>
        <w:ind w:left="0"/>
        <w:rPr>
          <w:rFonts w:eastAsia="Calibri"/>
          <w:spacing w:val="-2"/>
          <w:szCs w:val="20"/>
        </w:rPr>
      </w:pPr>
    </w:p>
    <w:p w14:paraId="6E51779E" w14:textId="77777777" w:rsidR="00800714" w:rsidRPr="003D49EB" w:rsidRDefault="003B7C6D" w:rsidP="009A4683">
      <w:pPr>
        <w:pStyle w:val="Prrafodelista"/>
        <w:spacing w:after="100" w:afterAutospacing="1"/>
        <w:ind w:left="0"/>
        <w:rPr>
          <w:rFonts w:eastAsia="Calibri"/>
          <w:spacing w:val="-2"/>
          <w:szCs w:val="20"/>
        </w:rPr>
      </w:pPr>
      <w:r w:rsidRPr="003D49EB">
        <w:rPr>
          <w:rFonts w:eastAsia="Calibri"/>
          <w:spacing w:val="-2"/>
          <w:szCs w:val="20"/>
        </w:rPr>
        <w:t>193.</w:t>
      </w:r>
      <w:r w:rsidRPr="003D49EB">
        <w:rPr>
          <w:rFonts w:eastAsia="Calibri"/>
          <w:spacing w:val="-2"/>
          <w:szCs w:val="20"/>
        </w:rPr>
        <w:tab/>
        <w:t xml:space="preserve">Dada su </w:t>
      </w:r>
      <w:r w:rsidRPr="003D49EB">
        <w:rPr>
          <w:spacing w:val="-2"/>
          <w:szCs w:val="20"/>
        </w:rPr>
        <w:t>naturaleza</w:t>
      </w:r>
      <w:r w:rsidRPr="003D49EB">
        <w:rPr>
          <w:rFonts w:eastAsia="Calibri"/>
          <w:spacing w:val="-2"/>
          <w:szCs w:val="20"/>
        </w:rPr>
        <w:t xml:space="preserve">, repetición y extensión en el tiempo, para la Corte es evidente que las </w:t>
      </w:r>
      <w:r w:rsidRPr="003D49EB">
        <w:rPr>
          <w:spacing w:val="-2"/>
          <w:szCs w:val="20"/>
        </w:rPr>
        <w:t>agresiones</w:t>
      </w:r>
      <w:r w:rsidRPr="003D49EB">
        <w:rPr>
          <w:rFonts w:eastAsia="Calibri"/>
          <w:spacing w:val="-2"/>
          <w:szCs w:val="20"/>
        </w:rPr>
        <w:t xml:space="preserve"> físicas y psicológicas sufridas por la señora Gladys Espinoza, incluyendo fuertes </w:t>
      </w:r>
      <w:r w:rsidRPr="003D49EB">
        <w:rPr>
          <w:spacing w:val="-2"/>
          <w:szCs w:val="20"/>
        </w:rPr>
        <w:t>golpes</w:t>
      </w:r>
      <w:r w:rsidRPr="003D49EB">
        <w:rPr>
          <w:rFonts w:eastAsia="Calibri"/>
          <w:spacing w:val="-2"/>
          <w:szCs w:val="20"/>
        </w:rPr>
        <w:t xml:space="preserve"> por todo el cuerpo, haber sido colgada, inmersiones en aguas putrefactas y amenazas de muerte en contra de ella y su familia, fueron intencionales. En cuanto a la severidad del sufrimiento padecido, la Corte recuerda que, en sus declaraciones, la señora Espinoza señaló que escuchaba los gritos de dolor de su pareja sentimental, que se desmayó en </w:t>
      </w:r>
      <w:r w:rsidRPr="003D49EB">
        <w:rPr>
          <w:spacing w:val="-2"/>
          <w:szCs w:val="20"/>
        </w:rPr>
        <w:t>varias</w:t>
      </w:r>
      <w:r w:rsidRPr="003D49EB">
        <w:rPr>
          <w:rFonts w:eastAsia="Calibri"/>
          <w:spacing w:val="-2"/>
          <w:szCs w:val="20"/>
        </w:rPr>
        <w:t xml:space="preserve"> ocasiones, que sentía que se salía de su cuerpo, ya que había “traspasado los límites del dolor”, y que pedía que la mataran […]. Al respecto, la Corte nota que la psicóloga Carmen </w:t>
      </w:r>
      <w:proofErr w:type="spellStart"/>
      <w:r w:rsidRPr="003D49EB">
        <w:rPr>
          <w:rFonts w:eastAsia="Calibri"/>
          <w:spacing w:val="-2"/>
          <w:szCs w:val="20"/>
        </w:rPr>
        <w:t>Wurst</w:t>
      </w:r>
      <w:proofErr w:type="spellEnd"/>
      <w:r w:rsidRPr="003D49EB">
        <w:rPr>
          <w:rFonts w:eastAsia="Calibri"/>
          <w:spacing w:val="-2"/>
          <w:szCs w:val="20"/>
        </w:rPr>
        <w:t xml:space="preserve"> identificó la pérdida de la conciencia y la despersonalización como sistemas protectores desplegados frente a tales actos </w:t>
      </w:r>
      <w:r w:rsidR="00E56EED" w:rsidRPr="003D49EB">
        <w:rPr>
          <w:rFonts w:eastAsia="Calibri"/>
          <w:spacing w:val="-2"/>
          <w:szCs w:val="20"/>
        </w:rPr>
        <w:t>[…]</w:t>
      </w:r>
      <w:r w:rsidRPr="003D49EB">
        <w:rPr>
          <w:rFonts w:eastAsia="Calibri"/>
          <w:spacing w:val="-2"/>
          <w:szCs w:val="20"/>
        </w:rPr>
        <w:t xml:space="preserve">. Por último, en cuanto a la finalidad, los hechos mencionados fueron ocasionados a la señora Espinoza en el marco de una situación en la que los agentes de la DIVISE y la DINCOTE la </w:t>
      </w:r>
      <w:r w:rsidRPr="003D49EB">
        <w:rPr>
          <w:spacing w:val="-2"/>
          <w:szCs w:val="20"/>
        </w:rPr>
        <w:t>interrogaron</w:t>
      </w:r>
      <w:r w:rsidRPr="003D49EB">
        <w:rPr>
          <w:rFonts w:eastAsia="Calibri"/>
          <w:spacing w:val="-2"/>
          <w:szCs w:val="20"/>
        </w:rPr>
        <w:t xml:space="preserve"> repetidamente sobre el paradero del señor </w:t>
      </w:r>
      <w:proofErr w:type="spellStart"/>
      <w:r w:rsidRPr="003D49EB">
        <w:rPr>
          <w:rFonts w:eastAsia="Calibri"/>
          <w:spacing w:val="-2"/>
          <w:szCs w:val="20"/>
        </w:rPr>
        <w:t>Furukawa</w:t>
      </w:r>
      <w:proofErr w:type="spellEnd"/>
      <w:r w:rsidRPr="003D49EB">
        <w:rPr>
          <w:rFonts w:eastAsia="Calibri"/>
          <w:spacing w:val="-2"/>
          <w:szCs w:val="20"/>
        </w:rPr>
        <w:t xml:space="preserve"> tras su secuestro […]. Sin descartar la eventual concurrencia de otras finalidades, la Corte considera probado que, en el presente caso, la violencia física y psicológica infligida tuvo la finalidad específica de conseguir </w:t>
      </w:r>
      <w:r w:rsidRPr="003D49EB">
        <w:rPr>
          <w:spacing w:val="-2"/>
          <w:szCs w:val="20"/>
        </w:rPr>
        <w:t>información</w:t>
      </w:r>
      <w:r w:rsidRPr="003D49EB">
        <w:rPr>
          <w:rFonts w:eastAsia="Calibri"/>
          <w:spacing w:val="-2"/>
          <w:szCs w:val="20"/>
        </w:rPr>
        <w:t xml:space="preserve"> respecto del MRTA y el presunto secuestro mencionado, así como de castigarla al no proporcio</w:t>
      </w:r>
      <w:r w:rsidR="005C32C2" w:rsidRPr="003D49EB">
        <w:rPr>
          <w:rFonts w:eastAsia="Calibri"/>
          <w:spacing w:val="-2"/>
          <w:szCs w:val="20"/>
        </w:rPr>
        <w:t xml:space="preserve">nar la información solicitada. </w:t>
      </w:r>
    </w:p>
    <w:p w14:paraId="4666CA1B" w14:textId="3577BA7E" w:rsidR="002E5869" w:rsidRPr="003D49EB" w:rsidRDefault="0044235D" w:rsidP="009A4683">
      <w:pPr>
        <w:pStyle w:val="Prrafodelista2"/>
        <w:tabs>
          <w:tab w:val="left" w:pos="720"/>
          <w:tab w:val="num" w:pos="1427"/>
        </w:tabs>
        <w:spacing w:after="100" w:afterAutospacing="1"/>
        <w:ind w:left="0"/>
        <w:contextualSpacing/>
        <w:rPr>
          <w:b/>
          <w:lang w:val="es-CR"/>
        </w:rPr>
      </w:pPr>
      <w:r w:rsidRPr="003D49EB">
        <w:rPr>
          <w:b/>
          <w:bCs/>
        </w:rPr>
        <w:t xml:space="preserve">Corte IDH. Caso Pueblo Indígena </w:t>
      </w:r>
      <w:proofErr w:type="spellStart"/>
      <w:r w:rsidRPr="003D49EB">
        <w:rPr>
          <w:b/>
          <w:bCs/>
        </w:rPr>
        <w:t>Xucuru</w:t>
      </w:r>
      <w:proofErr w:type="spellEnd"/>
      <w:r w:rsidRPr="003D49EB">
        <w:rPr>
          <w:b/>
          <w:bCs/>
        </w:rPr>
        <w:t xml:space="preserve"> y sus miembros Vs. Brasil. Excepciones Preliminares, Fondo, Reparaciones y Costas. Sentencia de 5 de febrero de 2018. Serie C No. 346</w:t>
      </w:r>
      <w:r w:rsidRPr="003D49EB">
        <w:rPr>
          <w:b/>
          <w:lang w:val="es-CR"/>
        </w:rPr>
        <w:t>.</w:t>
      </w:r>
      <w:r w:rsidR="002E5869" w:rsidRPr="003D49EB">
        <w:rPr>
          <w:rStyle w:val="Refdenotaalpie"/>
          <w:b/>
          <w:lang w:val="es-CR"/>
        </w:rPr>
        <w:footnoteReference w:id="34"/>
      </w:r>
    </w:p>
    <w:p w14:paraId="70645954" w14:textId="77777777" w:rsidR="002E5869" w:rsidRPr="003D49EB" w:rsidRDefault="002E5869" w:rsidP="009A4683">
      <w:pPr>
        <w:pStyle w:val="Prrafodelista2"/>
        <w:tabs>
          <w:tab w:val="left" w:pos="720"/>
          <w:tab w:val="num" w:pos="1427"/>
        </w:tabs>
        <w:spacing w:after="100" w:afterAutospacing="1"/>
        <w:ind w:left="0"/>
        <w:contextualSpacing/>
        <w:rPr>
          <w:lang w:val="es-CR"/>
        </w:rPr>
      </w:pPr>
    </w:p>
    <w:p w14:paraId="2AD1FC11" w14:textId="3A3E99DD" w:rsidR="00356898" w:rsidRPr="003D49EB" w:rsidRDefault="002E5869" w:rsidP="009A4683">
      <w:pPr>
        <w:pStyle w:val="Prrafodelista2"/>
        <w:tabs>
          <w:tab w:val="left" w:pos="720"/>
          <w:tab w:val="num" w:pos="1427"/>
        </w:tabs>
        <w:spacing w:after="100" w:afterAutospacing="1"/>
        <w:ind w:left="0"/>
        <w:contextualSpacing/>
        <w:rPr>
          <w:lang w:val="es-CR"/>
        </w:rPr>
      </w:pPr>
      <w:r w:rsidRPr="003D49EB">
        <w:rPr>
          <w:lang w:val="es-CR"/>
        </w:rPr>
        <w:t>171.</w:t>
      </w:r>
      <w:r w:rsidRPr="003D49EB">
        <w:rPr>
          <w:lang w:val="es-CR"/>
        </w:rPr>
        <w:tab/>
        <w:t>Esta Corte ha señalado que la violación del derecho a la integridad física y psíquica de las personas tiene diversas connotaciones de grado y que abarca desde la tortura hasta otro tipo de vejámenes o tratos crueles, inhumanos o degradantes, cuyas secuelas físicas y psíquicas varían de intensidad según factores endógenos y exógenos de la persona (duración de los tratos, edad, sexo, salud, contexto, vulnerabilidad, entre otros) que deberán ser analizados en cada situación concreta</w:t>
      </w:r>
      <w:r w:rsidR="006A660B" w:rsidRPr="003D49EB">
        <w:rPr>
          <w:lang w:val="es-CR"/>
        </w:rPr>
        <w:t>.</w:t>
      </w:r>
      <w:r w:rsidRPr="003D49EB">
        <w:rPr>
          <w:lang w:val="es-CR"/>
        </w:rPr>
        <w:t xml:space="preserve"> Es decir, las características personales de una supuesta víctima de tortura o tratos crueles, inhumanos o degradantes, deben ser tomadas en cuenta al momento de determinar si la integridad personal fue vulnerada, ya que tales características pueden cambiar la percepción de la realidad del individuo, y por ende, incrementar el sufrimiento y el sentido de humillación cuando son sometidas a ciertos tratamientos</w:t>
      </w:r>
      <w:r w:rsidR="006A660B" w:rsidRPr="003D49EB">
        <w:rPr>
          <w:lang w:val="es-CR"/>
        </w:rPr>
        <w:t>.</w:t>
      </w:r>
      <w:r w:rsidRPr="003D49EB">
        <w:rPr>
          <w:lang w:val="es-CR"/>
        </w:rPr>
        <w:t xml:space="preserve"> En este sentido, la Corte recalca que el sufrimiento es una experiencia </w:t>
      </w:r>
      <w:r w:rsidRPr="003D49EB">
        <w:rPr>
          <w:lang w:val="es-CR"/>
        </w:rPr>
        <w:lastRenderedPageBreak/>
        <w:t>propia de cada individuo y, en esa medida, va a depender de una multiplicidad de factores que hacen a cada persona un ser único</w:t>
      </w:r>
      <w:r w:rsidR="006A660B" w:rsidRPr="003D49EB">
        <w:rPr>
          <w:lang w:val="es-CR"/>
        </w:rPr>
        <w:t>.</w:t>
      </w:r>
    </w:p>
    <w:p w14:paraId="000A291C" w14:textId="7D1C9A9A" w:rsidR="00356898" w:rsidRDefault="00356898" w:rsidP="009A4683">
      <w:pPr>
        <w:pStyle w:val="Caso"/>
        <w:rPr>
          <w:lang w:val="es-CR"/>
        </w:rPr>
      </w:pPr>
      <w:r w:rsidRPr="003D49EB">
        <w:rPr>
          <w:lang w:val="es-CR"/>
        </w:rPr>
        <w:t>Corte IDH. Caso Guerrero, Molina y otros Vs. Venezuela. Fondo, Reparaciones y Costas. Sentencia de 3 de junio de 2021. Serie C No. 424.</w:t>
      </w:r>
    </w:p>
    <w:p w14:paraId="4D64027A" w14:textId="77777777" w:rsidR="007276B0" w:rsidRPr="003D49EB" w:rsidRDefault="007276B0" w:rsidP="009A4683">
      <w:pPr>
        <w:pStyle w:val="Caso"/>
        <w:rPr>
          <w:lang w:val="es-CR"/>
        </w:rPr>
      </w:pPr>
    </w:p>
    <w:p w14:paraId="5747E54C" w14:textId="12328431" w:rsidR="00356898" w:rsidRDefault="00356898" w:rsidP="009A4683">
      <w:pPr>
        <w:rPr>
          <w:lang w:val="es-CR"/>
        </w:rPr>
      </w:pPr>
      <w:r w:rsidRPr="003D49EB">
        <w:rPr>
          <w:lang w:val="es-CR"/>
        </w:rPr>
        <w:t xml:space="preserve">114. La </w:t>
      </w:r>
      <w:proofErr w:type="spellStart"/>
      <w:r w:rsidRPr="003D49EB">
        <w:rPr>
          <w:lang w:val="es-CR"/>
        </w:rPr>
        <w:t>violación</w:t>
      </w:r>
      <w:proofErr w:type="spellEnd"/>
      <w:r w:rsidRPr="003D49EB">
        <w:rPr>
          <w:lang w:val="es-CR"/>
        </w:rPr>
        <w:t xml:space="preserve"> del artículo 5.2 </w:t>
      </w:r>
      <w:proofErr w:type="spellStart"/>
      <w:r w:rsidRPr="003D49EB">
        <w:rPr>
          <w:lang w:val="es-CR"/>
        </w:rPr>
        <w:t>señalado</w:t>
      </w:r>
      <w:proofErr w:type="spellEnd"/>
      <w:r w:rsidRPr="003D49EB">
        <w:rPr>
          <w:lang w:val="es-CR"/>
        </w:rPr>
        <w:t xml:space="preserve"> implicará necesariamente la </w:t>
      </w:r>
      <w:proofErr w:type="spellStart"/>
      <w:r w:rsidRPr="003D49EB">
        <w:rPr>
          <w:lang w:val="es-CR"/>
        </w:rPr>
        <w:t>lesión</w:t>
      </w:r>
      <w:proofErr w:type="spellEnd"/>
      <w:r w:rsidRPr="003D49EB">
        <w:rPr>
          <w:lang w:val="es-CR"/>
        </w:rPr>
        <w:t xml:space="preserve"> al artículo 5.1, pues </w:t>
      </w:r>
      <w:proofErr w:type="spellStart"/>
      <w:r w:rsidRPr="003D49EB">
        <w:rPr>
          <w:lang w:val="es-CR"/>
        </w:rPr>
        <w:t>éste</w:t>
      </w:r>
      <w:proofErr w:type="spellEnd"/>
      <w:r w:rsidRPr="003D49EB">
        <w:rPr>
          <w:lang w:val="es-CR"/>
        </w:rPr>
        <w:t xml:space="preserve"> reconoce, en </w:t>
      </w:r>
      <w:proofErr w:type="spellStart"/>
      <w:r w:rsidRPr="003D49EB">
        <w:rPr>
          <w:lang w:val="es-CR"/>
        </w:rPr>
        <w:t>términos</w:t>
      </w:r>
      <w:proofErr w:type="spellEnd"/>
      <w:r w:rsidRPr="003D49EB">
        <w:rPr>
          <w:lang w:val="es-CR"/>
        </w:rPr>
        <w:t xml:space="preserve"> generales, el derecho a la integridad personal, y </w:t>
      </w:r>
      <w:proofErr w:type="spellStart"/>
      <w:r w:rsidRPr="003D49EB">
        <w:rPr>
          <w:lang w:val="es-CR"/>
        </w:rPr>
        <w:t>aquél</w:t>
      </w:r>
      <w:proofErr w:type="spellEnd"/>
      <w:r w:rsidRPr="003D49EB">
        <w:rPr>
          <w:lang w:val="es-CR"/>
        </w:rPr>
        <w:t xml:space="preserve"> </w:t>
      </w:r>
      <w:proofErr w:type="spellStart"/>
      <w:r w:rsidRPr="003D49EB">
        <w:rPr>
          <w:lang w:val="es-CR"/>
        </w:rPr>
        <w:t>preve</w:t>
      </w:r>
      <w:proofErr w:type="spellEnd"/>
      <w:r w:rsidRPr="003D49EB">
        <w:rPr>
          <w:lang w:val="es-CR"/>
        </w:rPr>
        <w:t xml:space="preserve">́ prohibiciones </w:t>
      </w:r>
      <w:proofErr w:type="spellStart"/>
      <w:r w:rsidRPr="003D49EB">
        <w:rPr>
          <w:lang w:val="es-CR"/>
        </w:rPr>
        <w:t>específicas</w:t>
      </w:r>
      <w:proofErr w:type="spellEnd"/>
      <w:r w:rsidRPr="003D49EB">
        <w:rPr>
          <w:lang w:val="es-CR"/>
        </w:rPr>
        <w:t xml:space="preserve"> para su tutela. Por otra parte, las obligaciones generales que se derivan del artículo 5 de la Convención son, en lo pertinente, “reforzadas por las obligaciones </w:t>
      </w:r>
      <w:proofErr w:type="spellStart"/>
      <w:r w:rsidRPr="003D49EB">
        <w:rPr>
          <w:lang w:val="es-CR"/>
        </w:rPr>
        <w:t>específicas</w:t>
      </w:r>
      <w:proofErr w:type="spellEnd"/>
      <w:r w:rsidRPr="003D49EB">
        <w:rPr>
          <w:lang w:val="es-CR"/>
        </w:rPr>
        <w:t xml:space="preserve"> derivadas de la [CIPST. Sus] </w:t>
      </w:r>
      <w:proofErr w:type="spellStart"/>
      <w:r w:rsidRPr="003D49EB">
        <w:rPr>
          <w:lang w:val="es-CR"/>
        </w:rPr>
        <w:t>artículos</w:t>
      </w:r>
      <w:proofErr w:type="spellEnd"/>
      <w:r w:rsidRPr="003D49EB">
        <w:rPr>
          <w:lang w:val="es-CR"/>
        </w:rPr>
        <w:t xml:space="preserve"> 1 y 6 [...] refuerzan la </w:t>
      </w:r>
      <w:proofErr w:type="spellStart"/>
      <w:r w:rsidRPr="003D49EB">
        <w:rPr>
          <w:lang w:val="es-CR"/>
        </w:rPr>
        <w:t>prohibición</w:t>
      </w:r>
      <w:proofErr w:type="spellEnd"/>
      <w:r w:rsidRPr="003D49EB">
        <w:rPr>
          <w:lang w:val="es-CR"/>
        </w:rPr>
        <w:t xml:space="preserve"> absoluta de la tortura y las obligaciones del Estados para prevenir y sancionar todo acto o intento de tortura y otros tratos crueles, inhumanos y degradantes en el </w:t>
      </w:r>
      <w:proofErr w:type="spellStart"/>
      <w:r w:rsidRPr="003D49EB">
        <w:rPr>
          <w:lang w:val="es-CR"/>
        </w:rPr>
        <w:t>ámbito</w:t>
      </w:r>
      <w:proofErr w:type="spellEnd"/>
      <w:r w:rsidRPr="003D49EB">
        <w:rPr>
          <w:lang w:val="es-CR"/>
        </w:rPr>
        <w:t xml:space="preserve"> de su </w:t>
      </w:r>
      <w:proofErr w:type="spellStart"/>
      <w:r w:rsidRPr="003D49EB">
        <w:rPr>
          <w:lang w:val="es-CR"/>
        </w:rPr>
        <w:t>jurisdicción</w:t>
      </w:r>
      <w:proofErr w:type="spellEnd"/>
      <w:r w:rsidRPr="003D49EB">
        <w:rPr>
          <w:lang w:val="es-CR"/>
        </w:rPr>
        <w:t>”.</w:t>
      </w:r>
    </w:p>
    <w:p w14:paraId="3706050C" w14:textId="77777777" w:rsidR="007276B0" w:rsidRPr="003D49EB" w:rsidRDefault="007276B0" w:rsidP="009A4683">
      <w:pPr>
        <w:rPr>
          <w:lang w:val="es-CR"/>
        </w:rPr>
      </w:pPr>
    </w:p>
    <w:p w14:paraId="129167F4" w14:textId="10BFD7F7" w:rsidR="00356898" w:rsidRDefault="00356898" w:rsidP="009A4683">
      <w:pPr>
        <w:rPr>
          <w:lang w:val="es-CR"/>
        </w:rPr>
      </w:pPr>
      <w:r w:rsidRPr="003D49EB">
        <w:rPr>
          <w:lang w:val="es-CR"/>
        </w:rPr>
        <w:t xml:space="preserve">115. Ahora bien, la Corte entiende que, de los hechos del caso, no se desprende que las distintas circunstancias denunciadas o expuestas por el </w:t>
      </w:r>
      <w:proofErr w:type="spellStart"/>
      <w:r w:rsidRPr="003D49EB">
        <w:rPr>
          <w:lang w:val="es-CR"/>
        </w:rPr>
        <w:t>señor</w:t>
      </w:r>
      <w:proofErr w:type="spellEnd"/>
      <w:r w:rsidRPr="003D49EB">
        <w:rPr>
          <w:lang w:val="es-CR"/>
        </w:rPr>
        <w:t xml:space="preserve"> Guerrero entre el 16 de agosto de 2001 y el 6 de marzo de 2003 consistentes en amenazas, hostigamientos, detenciones, o allanamientos, puedan ser susceptibles, en sí mismas, de generar sufrimientos </w:t>
      </w:r>
      <w:proofErr w:type="spellStart"/>
      <w:r w:rsidRPr="003D49EB">
        <w:rPr>
          <w:lang w:val="es-CR"/>
        </w:rPr>
        <w:t>físicos</w:t>
      </w:r>
      <w:proofErr w:type="spellEnd"/>
      <w:r w:rsidRPr="003D49EB">
        <w:rPr>
          <w:lang w:val="es-CR"/>
        </w:rPr>
        <w:t xml:space="preserve"> o mentales de la severidad requerida para configurar torturas. No obstante, las agresiones que </w:t>
      </w:r>
      <w:proofErr w:type="spellStart"/>
      <w:r w:rsidRPr="003D49EB">
        <w:rPr>
          <w:lang w:val="es-CR"/>
        </w:rPr>
        <w:t>sufrio</w:t>
      </w:r>
      <w:proofErr w:type="spellEnd"/>
      <w:r w:rsidRPr="003D49EB">
        <w:rPr>
          <w:lang w:val="es-CR"/>
        </w:rPr>
        <w:t xml:space="preserve">́ el 17 de febrero de 2003 sí merecen ser analizadas a efectos de determinar si se cometieron actos vedados por el artículo 5.2 de la Convención. El resto de los hechos referidos y anteriores a esa fecha no resultan por ello irrelevantes. En ese sentido, lo sucedido ese </w:t>
      </w:r>
      <w:proofErr w:type="spellStart"/>
      <w:r w:rsidRPr="003D49EB">
        <w:rPr>
          <w:lang w:val="es-CR"/>
        </w:rPr>
        <w:t>día</w:t>
      </w:r>
      <w:proofErr w:type="spellEnd"/>
      <w:r w:rsidRPr="003D49EB">
        <w:rPr>
          <w:lang w:val="es-CR"/>
        </w:rPr>
        <w:t xml:space="preserve"> forma parte de una serie de actos cometidos contra el </w:t>
      </w:r>
      <w:proofErr w:type="spellStart"/>
      <w:r w:rsidRPr="003D49EB">
        <w:rPr>
          <w:lang w:val="es-CR"/>
        </w:rPr>
        <w:t>señor</w:t>
      </w:r>
      <w:proofErr w:type="spellEnd"/>
      <w:r w:rsidRPr="003D49EB">
        <w:rPr>
          <w:lang w:val="es-CR"/>
        </w:rPr>
        <w:t xml:space="preserve"> Guerrero por personal policial. Dadas las circunstancias particulares del caso, la Corte considera razonable entender que tales actos coadyuvan, como se señalará a </w:t>
      </w:r>
      <w:proofErr w:type="spellStart"/>
      <w:r w:rsidRPr="003D49EB">
        <w:rPr>
          <w:lang w:val="es-CR"/>
        </w:rPr>
        <w:t>continuación</w:t>
      </w:r>
      <w:proofErr w:type="spellEnd"/>
      <w:r w:rsidRPr="003D49EB">
        <w:rPr>
          <w:lang w:val="es-CR"/>
        </w:rPr>
        <w:t xml:space="preserve">, a dar cuenta del </w:t>
      </w:r>
      <w:proofErr w:type="spellStart"/>
      <w:r w:rsidRPr="003D49EB">
        <w:rPr>
          <w:lang w:val="es-CR"/>
        </w:rPr>
        <w:t>propósito</w:t>
      </w:r>
      <w:proofErr w:type="spellEnd"/>
      <w:r w:rsidRPr="003D49EB">
        <w:rPr>
          <w:lang w:val="es-CR"/>
        </w:rPr>
        <w:t xml:space="preserve"> de las agresiones cometidas el 17 de febrero de 2003, </w:t>
      </w:r>
      <w:proofErr w:type="spellStart"/>
      <w:r w:rsidRPr="003D49EB">
        <w:rPr>
          <w:lang w:val="es-CR"/>
        </w:rPr>
        <w:t>asi</w:t>
      </w:r>
      <w:proofErr w:type="spellEnd"/>
      <w:r w:rsidRPr="003D49EB">
        <w:rPr>
          <w:lang w:val="es-CR"/>
        </w:rPr>
        <w:t>́ como de la severidad del sufrimiento mental que produjeron.</w:t>
      </w:r>
    </w:p>
    <w:p w14:paraId="2ACCE9CF" w14:textId="77777777" w:rsidR="007276B0" w:rsidRPr="003D49EB" w:rsidRDefault="007276B0" w:rsidP="009A4683">
      <w:pPr>
        <w:rPr>
          <w:lang w:val="es-CR"/>
        </w:rPr>
      </w:pPr>
    </w:p>
    <w:p w14:paraId="6F07636D" w14:textId="2B129AA5" w:rsidR="00356898" w:rsidRDefault="00356898" w:rsidP="009A4683">
      <w:pPr>
        <w:rPr>
          <w:lang w:val="es-CR"/>
        </w:rPr>
      </w:pPr>
      <w:r w:rsidRPr="003D49EB">
        <w:rPr>
          <w:lang w:val="es-CR"/>
        </w:rPr>
        <w:t xml:space="preserve">116. La Corte nota que el 17 de febrero de 2003 el </w:t>
      </w:r>
      <w:proofErr w:type="spellStart"/>
      <w:r w:rsidRPr="003D49EB">
        <w:rPr>
          <w:lang w:val="es-CR"/>
        </w:rPr>
        <w:t>señor</w:t>
      </w:r>
      <w:proofErr w:type="spellEnd"/>
      <w:r w:rsidRPr="003D49EB">
        <w:rPr>
          <w:lang w:val="es-CR"/>
        </w:rPr>
        <w:t xml:space="preserve"> Guerrero, siendo detenido en forma ilegal y arbitraria </w:t>
      </w:r>
      <w:r w:rsidR="00632C28">
        <w:rPr>
          <w:lang w:val="es-CR"/>
        </w:rPr>
        <w:t>[...]</w:t>
      </w:r>
      <w:r w:rsidRPr="003D49EB">
        <w:rPr>
          <w:lang w:val="es-CR"/>
        </w:rPr>
        <w:t xml:space="preserve">, fue apuntado con un arma de fuego y golpeado “salvajemente” con un palo en la cabeza y en varias partes del cuerpo, frente a otras personas. Luego, al ser trasladado de ese lugar por la </w:t>
      </w:r>
      <w:proofErr w:type="spellStart"/>
      <w:r w:rsidRPr="003D49EB">
        <w:rPr>
          <w:lang w:val="es-CR"/>
        </w:rPr>
        <w:t>policía</w:t>
      </w:r>
      <w:proofErr w:type="spellEnd"/>
      <w:r w:rsidRPr="003D49EB">
        <w:rPr>
          <w:lang w:val="es-CR"/>
        </w:rPr>
        <w:t xml:space="preserve">, le pusieron un </w:t>
      </w:r>
      <w:proofErr w:type="spellStart"/>
      <w:r w:rsidRPr="003D49EB">
        <w:rPr>
          <w:lang w:val="es-CR"/>
        </w:rPr>
        <w:t>paño</w:t>
      </w:r>
      <w:proofErr w:type="spellEnd"/>
      <w:r w:rsidRPr="003D49EB">
        <w:rPr>
          <w:lang w:val="es-CR"/>
        </w:rPr>
        <w:t xml:space="preserve"> en la cabeza que no le </w:t>
      </w:r>
      <w:proofErr w:type="spellStart"/>
      <w:r w:rsidRPr="003D49EB">
        <w:rPr>
          <w:lang w:val="es-CR"/>
        </w:rPr>
        <w:t>permitía</w:t>
      </w:r>
      <w:proofErr w:type="spellEnd"/>
      <w:r w:rsidRPr="003D49EB">
        <w:rPr>
          <w:lang w:val="es-CR"/>
        </w:rPr>
        <w:t xml:space="preserve"> ver y lo siguieron golpeando. Le dieron una patada en un ojo y le arrojaron gas </w:t>
      </w:r>
      <w:proofErr w:type="spellStart"/>
      <w:r w:rsidRPr="003D49EB">
        <w:rPr>
          <w:lang w:val="es-CR"/>
        </w:rPr>
        <w:t>lacrimógeno</w:t>
      </w:r>
      <w:proofErr w:type="spellEnd"/>
      <w:r w:rsidRPr="003D49EB">
        <w:rPr>
          <w:lang w:val="es-CR"/>
        </w:rPr>
        <w:t xml:space="preserve">. El personal policial, mientras lo </w:t>
      </w:r>
      <w:proofErr w:type="spellStart"/>
      <w:r w:rsidRPr="003D49EB">
        <w:rPr>
          <w:lang w:val="es-CR"/>
        </w:rPr>
        <w:t>agredía</w:t>
      </w:r>
      <w:proofErr w:type="spellEnd"/>
      <w:r w:rsidRPr="003D49EB">
        <w:rPr>
          <w:lang w:val="es-CR"/>
        </w:rPr>
        <w:t xml:space="preserve">, le </w:t>
      </w:r>
      <w:proofErr w:type="spellStart"/>
      <w:r w:rsidRPr="003D49EB">
        <w:rPr>
          <w:lang w:val="es-CR"/>
        </w:rPr>
        <w:t>decía</w:t>
      </w:r>
      <w:proofErr w:type="spellEnd"/>
      <w:r w:rsidRPr="003D49EB">
        <w:rPr>
          <w:lang w:val="es-CR"/>
        </w:rPr>
        <w:t xml:space="preserve"> que </w:t>
      </w:r>
      <w:proofErr w:type="spellStart"/>
      <w:r w:rsidRPr="003D49EB">
        <w:rPr>
          <w:lang w:val="es-CR"/>
        </w:rPr>
        <w:t>él</w:t>
      </w:r>
      <w:proofErr w:type="spellEnd"/>
      <w:r w:rsidRPr="003D49EB">
        <w:rPr>
          <w:lang w:val="es-CR"/>
        </w:rPr>
        <w:t xml:space="preserve"> era una persona “antisocial” y “peligrosa”.</w:t>
      </w:r>
    </w:p>
    <w:p w14:paraId="7B284033" w14:textId="77777777" w:rsidR="007276B0" w:rsidRPr="003D49EB" w:rsidRDefault="007276B0" w:rsidP="009A4683">
      <w:pPr>
        <w:rPr>
          <w:lang w:val="es-CR"/>
        </w:rPr>
      </w:pPr>
    </w:p>
    <w:p w14:paraId="097E2C82" w14:textId="73F7A7BC" w:rsidR="00356898" w:rsidRDefault="00356898" w:rsidP="009A4683">
      <w:pPr>
        <w:rPr>
          <w:lang w:val="es-CR"/>
        </w:rPr>
      </w:pPr>
      <w:r w:rsidRPr="003D49EB">
        <w:rPr>
          <w:lang w:val="es-CR"/>
        </w:rPr>
        <w:t xml:space="preserve">117. En cuanto a la severidad de las agresiones, si bien el examen </w:t>
      </w:r>
      <w:proofErr w:type="spellStart"/>
      <w:r w:rsidRPr="003D49EB">
        <w:rPr>
          <w:lang w:val="es-CR"/>
        </w:rPr>
        <w:t>médico</w:t>
      </w:r>
      <w:proofErr w:type="spellEnd"/>
      <w:r w:rsidRPr="003D49EB">
        <w:rPr>
          <w:lang w:val="es-CR"/>
        </w:rPr>
        <w:t xml:space="preserve"> realizado </w:t>
      </w:r>
      <w:proofErr w:type="spellStart"/>
      <w:r w:rsidRPr="003D49EB">
        <w:rPr>
          <w:lang w:val="es-CR"/>
        </w:rPr>
        <w:t>señalo</w:t>
      </w:r>
      <w:proofErr w:type="spellEnd"/>
      <w:r w:rsidRPr="003D49EB">
        <w:rPr>
          <w:lang w:val="es-CR"/>
        </w:rPr>
        <w:t xml:space="preserve">́ lesiones de </w:t>
      </w:r>
      <w:proofErr w:type="spellStart"/>
      <w:r w:rsidRPr="003D49EB">
        <w:rPr>
          <w:lang w:val="es-CR"/>
        </w:rPr>
        <w:t>carácter</w:t>
      </w:r>
      <w:proofErr w:type="spellEnd"/>
      <w:r w:rsidRPr="003D49EB">
        <w:rPr>
          <w:lang w:val="es-CR"/>
        </w:rPr>
        <w:t xml:space="preserve"> “leve” y ausencia de secuelas </w:t>
      </w:r>
      <w:r w:rsidR="00632C28">
        <w:rPr>
          <w:lang w:val="es-CR"/>
        </w:rPr>
        <w:t>[...]</w:t>
      </w:r>
      <w:r w:rsidRPr="003D49EB">
        <w:rPr>
          <w:lang w:val="es-CR"/>
        </w:rPr>
        <w:t xml:space="preserve">, ello, por sí mismo, no descarta la posibilidad de padecimientos graves, que no deben ser considerados solo en su </w:t>
      </w:r>
      <w:proofErr w:type="spellStart"/>
      <w:r w:rsidRPr="003D49EB">
        <w:rPr>
          <w:lang w:val="es-CR"/>
        </w:rPr>
        <w:t>carácter</w:t>
      </w:r>
      <w:proofErr w:type="spellEnd"/>
      <w:r w:rsidRPr="003D49EB">
        <w:rPr>
          <w:lang w:val="es-CR"/>
        </w:rPr>
        <w:t xml:space="preserve"> </w:t>
      </w:r>
      <w:proofErr w:type="spellStart"/>
      <w:r w:rsidRPr="003D49EB">
        <w:rPr>
          <w:lang w:val="es-CR"/>
        </w:rPr>
        <w:t>físico</w:t>
      </w:r>
      <w:proofErr w:type="spellEnd"/>
      <w:r w:rsidRPr="003D49EB">
        <w:rPr>
          <w:lang w:val="es-CR"/>
        </w:rPr>
        <w:t xml:space="preserve">. En este </w:t>
      </w:r>
      <w:proofErr w:type="spellStart"/>
      <w:r w:rsidRPr="003D49EB">
        <w:rPr>
          <w:lang w:val="es-CR"/>
        </w:rPr>
        <w:t>último</w:t>
      </w:r>
      <w:proofErr w:type="spellEnd"/>
      <w:r w:rsidRPr="003D49EB">
        <w:rPr>
          <w:lang w:val="es-CR"/>
        </w:rPr>
        <w:t xml:space="preserve"> aspecto, por cierto, los hechos muestran que el </w:t>
      </w:r>
      <w:proofErr w:type="spellStart"/>
      <w:r w:rsidRPr="003D49EB">
        <w:rPr>
          <w:lang w:val="es-CR"/>
        </w:rPr>
        <w:t>señor</w:t>
      </w:r>
      <w:proofErr w:type="spellEnd"/>
      <w:r w:rsidRPr="003D49EB">
        <w:rPr>
          <w:lang w:val="es-CR"/>
        </w:rPr>
        <w:t xml:space="preserve"> Guerrero </w:t>
      </w:r>
      <w:proofErr w:type="spellStart"/>
      <w:r w:rsidRPr="003D49EB">
        <w:rPr>
          <w:lang w:val="es-CR"/>
        </w:rPr>
        <w:t>sufrio</w:t>
      </w:r>
      <w:proofErr w:type="spellEnd"/>
      <w:r w:rsidRPr="003D49EB">
        <w:rPr>
          <w:lang w:val="es-CR"/>
        </w:rPr>
        <w:t xml:space="preserve">́ fuertes agresiones, que tuvieron que causarle intensos dolores y malestar. </w:t>
      </w:r>
      <w:proofErr w:type="spellStart"/>
      <w:r w:rsidRPr="003D49EB">
        <w:rPr>
          <w:lang w:val="es-CR"/>
        </w:rPr>
        <w:t>Además</w:t>
      </w:r>
      <w:proofErr w:type="spellEnd"/>
      <w:r w:rsidRPr="003D49EB">
        <w:rPr>
          <w:lang w:val="es-CR"/>
        </w:rPr>
        <w:t xml:space="preserve">, debe recabarse en el alto grado de angustia y temor que produjeron. Jimmy Guerrero no solo fue golpeado (en primer </w:t>
      </w:r>
      <w:proofErr w:type="spellStart"/>
      <w:r w:rsidRPr="003D49EB">
        <w:rPr>
          <w:lang w:val="es-CR"/>
        </w:rPr>
        <w:t>término</w:t>
      </w:r>
      <w:proofErr w:type="spellEnd"/>
      <w:r w:rsidRPr="003D49EB">
        <w:rPr>
          <w:lang w:val="es-CR"/>
        </w:rPr>
        <w:t xml:space="preserve">, frente a sus vecinos, lo que resulta humillante), sino que también fue apuntado por un arma cuyo uso resulta potencialmente letal, y fue impedido de ver mientras era trasladado y agredido, sin conocer los motivos de su </w:t>
      </w:r>
      <w:proofErr w:type="spellStart"/>
      <w:r w:rsidRPr="003D49EB">
        <w:rPr>
          <w:lang w:val="es-CR"/>
        </w:rPr>
        <w:t>aprehensión</w:t>
      </w:r>
      <w:proofErr w:type="spellEnd"/>
      <w:r w:rsidRPr="003D49EB">
        <w:rPr>
          <w:lang w:val="es-CR"/>
        </w:rPr>
        <w:t xml:space="preserve"> y, por ende, tampoco las intenciones de sus agresores. Todo lo anterior se inserta en una serie de actos cometidos por personal policial contra </w:t>
      </w:r>
      <w:proofErr w:type="spellStart"/>
      <w:r w:rsidRPr="003D49EB">
        <w:rPr>
          <w:lang w:val="es-CR"/>
        </w:rPr>
        <w:t>él</w:t>
      </w:r>
      <w:proofErr w:type="spellEnd"/>
      <w:r w:rsidRPr="003D49EB">
        <w:rPr>
          <w:lang w:val="es-CR"/>
        </w:rPr>
        <w:t xml:space="preserve"> o sus familiares </w:t>
      </w:r>
      <w:r w:rsidR="00632C28">
        <w:rPr>
          <w:lang w:val="es-CR"/>
        </w:rPr>
        <w:t>[...]</w:t>
      </w:r>
      <w:r w:rsidRPr="003D49EB">
        <w:rPr>
          <w:lang w:val="es-CR"/>
        </w:rPr>
        <w:t xml:space="preserve">, que incluyeron amenazas de muerte. Por lo referido, es razonable asumir que Jimmy Guerrero experimentó un profundo temor de ser privado de su vida. Las dolencias </w:t>
      </w:r>
      <w:proofErr w:type="spellStart"/>
      <w:r w:rsidRPr="003D49EB">
        <w:rPr>
          <w:lang w:val="es-CR"/>
        </w:rPr>
        <w:t>físicas</w:t>
      </w:r>
      <w:proofErr w:type="spellEnd"/>
      <w:r w:rsidRPr="003D49EB">
        <w:rPr>
          <w:lang w:val="es-CR"/>
        </w:rPr>
        <w:t xml:space="preserve"> que tuvo, entonces, se vieron complementadas con graves sufrimientos mentales, dado el impacto </w:t>
      </w:r>
      <w:proofErr w:type="spellStart"/>
      <w:r w:rsidRPr="003D49EB">
        <w:rPr>
          <w:lang w:val="es-CR"/>
        </w:rPr>
        <w:t>psicológico</w:t>
      </w:r>
      <w:proofErr w:type="spellEnd"/>
      <w:r w:rsidRPr="003D49EB">
        <w:rPr>
          <w:lang w:val="es-CR"/>
        </w:rPr>
        <w:t xml:space="preserve"> causado por el modo en el que se cometieron las agresiones y la situación en la que se insertaron.</w:t>
      </w:r>
    </w:p>
    <w:p w14:paraId="28B5CFE5" w14:textId="77777777" w:rsidR="007276B0" w:rsidRPr="003D49EB" w:rsidRDefault="007276B0" w:rsidP="009A4683">
      <w:pPr>
        <w:rPr>
          <w:lang w:val="es-CR"/>
        </w:rPr>
      </w:pPr>
    </w:p>
    <w:p w14:paraId="7924267C" w14:textId="61F5412E" w:rsidR="00356898" w:rsidRDefault="00356898" w:rsidP="009A4683">
      <w:pPr>
        <w:rPr>
          <w:lang w:val="es-CR"/>
        </w:rPr>
      </w:pPr>
      <w:r w:rsidRPr="003D49EB">
        <w:rPr>
          <w:lang w:val="es-CR"/>
        </w:rPr>
        <w:lastRenderedPageBreak/>
        <w:t xml:space="preserve">118. Es evidente la intencionalidad de los </w:t>
      </w:r>
      <w:proofErr w:type="spellStart"/>
      <w:r w:rsidRPr="003D49EB">
        <w:rPr>
          <w:lang w:val="es-CR"/>
        </w:rPr>
        <w:t>vejámenes</w:t>
      </w:r>
      <w:proofErr w:type="spellEnd"/>
      <w:r w:rsidRPr="003D49EB">
        <w:rPr>
          <w:lang w:val="es-CR"/>
        </w:rPr>
        <w:t xml:space="preserve"> infringidos al </w:t>
      </w:r>
      <w:proofErr w:type="spellStart"/>
      <w:r w:rsidRPr="003D49EB">
        <w:rPr>
          <w:lang w:val="es-CR"/>
        </w:rPr>
        <w:t>señor</w:t>
      </w:r>
      <w:proofErr w:type="spellEnd"/>
      <w:r w:rsidRPr="003D49EB">
        <w:rPr>
          <w:lang w:val="es-CR"/>
        </w:rPr>
        <w:t xml:space="preserve"> Guerrero. Tuvieron, </w:t>
      </w:r>
      <w:proofErr w:type="spellStart"/>
      <w:r w:rsidRPr="003D49EB">
        <w:rPr>
          <w:lang w:val="es-CR"/>
        </w:rPr>
        <w:t>además</w:t>
      </w:r>
      <w:proofErr w:type="spellEnd"/>
      <w:r w:rsidRPr="003D49EB">
        <w:rPr>
          <w:lang w:val="es-CR"/>
        </w:rPr>
        <w:t xml:space="preserve">, una finalidad o </w:t>
      </w:r>
      <w:proofErr w:type="spellStart"/>
      <w:r w:rsidRPr="003D49EB">
        <w:rPr>
          <w:lang w:val="es-CR"/>
        </w:rPr>
        <w:t>propósito</w:t>
      </w:r>
      <w:proofErr w:type="spellEnd"/>
      <w:r w:rsidRPr="003D49EB">
        <w:rPr>
          <w:lang w:val="es-CR"/>
        </w:rPr>
        <w:t xml:space="preserve"> </w:t>
      </w:r>
      <w:proofErr w:type="spellStart"/>
      <w:r w:rsidRPr="003D49EB">
        <w:rPr>
          <w:lang w:val="es-CR"/>
        </w:rPr>
        <w:t>específico</w:t>
      </w:r>
      <w:proofErr w:type="spellEnd"/>
      <w:r w:rsidRPr="003D49EB">
        <w:rPr>
          <w:lang w:val="es-CR"/>
        </w:rPr>
        <w:t xml:space="preserve">. Al respecto, lo sucedido se enmarca en un contexto de violencia policial contra hombres </w:t>
      </w:r>
      <w:proofErr w:type="spellStart"/>
      <w:r w:rsidRPr="003D49EB">
        <w:rPr>
          <w:lang w:val="es-CR"/>
        </w:rPr>
        <w:t>jóvenes</w:t>
      </w:r>
      <w:proofErr w:type="spellEnd"/>
      <w:r w:rsidRPr="003D49EB">
        <w:rPr>
          <w:lang w:val="es-CR"/>
        </w:rPr>
        <w:t xml:space="preserve"> en situación de pobreza. El mismo </w:t>
      </w:r>
      <w:proofErr w:type="spellStart"/>
      <w:r w:rsidRPr="003D49EB">
        <w:rPr>
          <w:lang w:val="es-CR"/>
        </w:rPr>
        <w:t>tenía</w:t>
      </w:r>
      <w:proofErr w:type="spellEnd"/>
      <w:r w:rsidRPr="003D49EB">
        <w:rPr>
          <w:lang w:val="es-CR"/>
        </w:rPr>
        <w:t xml:space="preserve"> por base el prejuicio de que tales personas, por su pertenencia a un sector social, resultaban “peligrosas”. Lo acontecido el 17 de febrero de 2003 se insertó en tal contexto y fue una </w:t>
      </w:r>
      <w:proofErr w:type="spellStart"/>
      <w:r w:rsidRPr="003D49EB">
        <w:rPr>
          <w:lang w:val="es-CR"/>
        </w:rPr>
        <w:t>manifestación</w:t>
      </w:r>
      <w:proofErr w:type="spellEnd"/>
      <w:r w:rsidRPr="003D49EB">
        <w:rPr>
          <w:lang w:val="es-CR"/>
        </w:rPr>
        <w:t xml:space="preserve"> del mismo, pues los </w:t>
      </w:r>
      <w:proofErr w:type="spellStart"/>
      <w:r w:rsidRPr="003D49EB">
        <w:rPr>
          <w:lang w:val="es-CR"/>
        </w:rPr>
        <w:t>vejámenes</w:t>
      </w:r>
      <w:proofErr w:type="spellEnd"/>
      <w:r w:rsidRPr="003D49EB">
        <w:rPr>
          <w:lang w:val="es-CR"/>
        </w:rPr>
        <w:t xml:space="preserve"> a que fue sometido Jimmy Guerrero estuvieron motivados en una </w:t>
      </w:r>
      <w:proofErr w:type="spellStart"/>
      <w:r w:rsidRPr="003D49EB">
        <w:rPr>
          <w:lang w:val="es-CR"/>
        </w:rPr>
        <w:t>animadversión</w:t>
      </w:r>
      <w:proofErr w:type="spellEnd"/>
      <w:r w:rsidRPr="003D49EB">
        <w:rPr>
          <w:lang w:val="es-CR"/>
        </w:rPr>
        <w:t xml:space="preserve"> y </w:t>
      </w:r>
      <w:proofErr w:type="spellStart"/>
      <w:r w:rsidRPr="003D49EB">
        <w:rPr>
          <w:lang w:val="es-CR"/>
        </w:rPr>
        <w:t>ensañamiento</w:t>
      </w:r>
      <w:proofErr w:type="spellEnd"/>
      <w:r w:rsidRPr="003D49EB">
        <w:rPr>
          <w:lang w:val="es-CR"/>
        </w:rPr>
        <w:t xml:space="preserve"> contra </w:t>
      </w:r>
      <w:proofErr w:type="spellStart"/>
      <w:r w:rsidRPr="003D49EB">
        <w:rPr>
          <w:lang w:val="es-CR"/>
        </w:rPr>
        <w:t>él</w:t>
      </w:r>
      <w:proofErr w:type="spellEnd"/>
      <w:r w:rsidRPr="003D49EB">
        <w:rPr>
          <w:lang w:val="es-CR"/>
        </w:rPr>
        <w:t xml:space="preserve">, por considerarlo un riesgo para la sociedad. Esto se muestra dado que tales agresiones tuvieron como antecedentes varios otros actos policiales de hostigamiento y </w:t>
      </w:r>
      <w:proofErr w:type="spellStart"/>
      <w:r w:rsidRPr="003D49EB">
        <w:rPr>
          <w:lang w:val="es-CR"/>
        </w:rPr>
        <w:t>violación</w:t>
      </w:r>
      <w:proofErr w:type="spellEnd"/>
      <w:r w:rsidRPr="003D49EB">
        <w:rPr>
          <w:lang w:val="es-CR"/>
        </w:rPr>
        <w:t xml:space="preserve"> de los derechos de Jimmy Guerrero, y queda confirmado por el hecho de que el personal policial, al agredirlo, le </w:t>
      </w:r>
      <w:proofErr w:type="spellStart"/>
      <w:r w:rsidRPr="003D49EB">
        <w:rPr>
          <w:lang w:val="es-CR"/>
        </w:rPr>
        <w:t>decía</w:t>
      </w:r>
      <w:proofErr w:type="spellEnd"/>
      <w:r w:rsidRPr="003D49EB">
        <w:rPr>
          <w:lang w:val="es-CR"/>
        </w:rPr>
        <w:t xml:space="preserve"> que </w:t>
      </w:r>
      <w:proofErr w:type="spellStart"/>
      <w:r w:rsidRPr="003D49EB">
        <w:rPr>
          <w:lang w:val="es-CR"/>
        </w:rPr>
        <w:t>él</w:t>
      </w:r>
      <w:proofErr w:type="spellEnd"/>
      <w:r w:rsidRPr="003D49EB">
        <w:rPr>
          <w:lang w:val="es-CR"/>
        </w:rPr>
        <w:t xml:space="preserve"> era “antisocial” y “peligroso”. El ataque, entonces, tuvo un sustento discriminatorio, siendo que los funcionarios policiales buscaron amedrentar y castigar al </w:t>
      </w:r>
      <w:proofErr w:type="spellStart"/>
      <w:r w:rsidRPr="003D49EB">
        <w:rPr>
          <w:lang w:val="es-CR"/>
        </w:rPr>
        <w:t>señor</w:t>
      </w:r>
      <w:proofErr w:type="spellEnd"/>
      <w:r w:rsidRPr="003D49EB">
        <w:rPr>
          <w:lang w:val="es-CR"/>
        </w:rPr>
        <w:t xml:space="preserve"> Guerrero con base en preconceptos ligados la </w:t>
      </w:r>
      <w:proofErr w:type="spellStart"/>
      <w:r w:rsidRPr="003D49EB">
        <w:rPr>
          <w:lang w:val="es-CR"/>
        </w:rPr>
        <w:t>posición</w:t>
      </w:r>
      <w:proofErr w:type="spellEnd"/>
      <w:r w:rsidRPr="003D49EB">
        <w:rPr>
          <w:lang w:val="es-CR"/>
        </w:rPr>
        <w:t xml:space="preserve"> </w:t>
      </w:r>
      <w:proofErr w:type="spellStart"/>
      <w:r w:rsidRPr="003D49EB">
        <w:rPr>
          <w:lang w:val="es-CR"/>
        </w:rPr>
        <w:t>económica</w:t>
      </w:r>
      <w:proofErr w:type="spellEnd"/>
      <w:r w:rsidRPr="003D49EB">
        <w:rPr>
          <w:lang w:val="es-CR"/>
        </w:rPr>
        <w:t xml:space="preserve"> y condición social.</w:t>
      </w:r>
    </w:p>
    <w:p w14:paraId="18D27C5F" w14:textId="77777777" w:rsidR="007276B0" w:rsidRPr="003D49EB" w:rsidRDefault="007276B0" w:rsidP="009A4683">
      <w:pPr>
        <w:rPr>
          <w:lang w:val="es-CR"/>
        </w:rPr>
      </w:pPr>
    </w:p>
    <w:p w14:paraId="6E89EFD0" w14:textId="7AE54BDE" w:rsidR="00356898" w:rsidRPr="003D49EB" w:rsidRDefault="00356898" w:rsidP="009A4683">
      <w:pPr>
        <w:rPr>
          <w:szCs w:val="20"/>
          <w:lang w:val="es-CR"/>
        </w:rPr>
      </w:pPr>
      <w:r w:rsidRPr="003D49EB">
        <w:rPr>
          <w:lang w:val="es-CR"/>
        </w:rPr>
        <w:t xml:space="preserve">119. Por lo expuesto, la Corte concluye que Jimmy Guerrero fue sometido a tortura el 17 de febrero de 2003. En su perjuicio, el Estado violó el artículo 5 de la Convención Americana, en sus numerales 1 y 2, en </w:t>
      </w:r>
      <w:proofErr w:type="spellStart"/>
      <w:r w:rsidRPr="003D49EB">
        <w:rPr>
          <w:lang w:val="es-CR"/>
        </w:rPr>
        <w:t>relación</w:t>
      </w:r>
      <w:proofErr w:type="spellEnd"/>
      <w:r w:rsidRPr="003D49EB">
        <w:rPr>
          <w:lang w:val="es-CR"/>
        </w:rPr>
        <w:t xml:space="preserve"> con su obligación de respetar los derechos sin discriminación, prevista en el artículo 1.1 del mismo tratado, y los </w:t>
      </w:r>
      <w:proofErr w:type="spellStart"/>
      <w:r w:rsidRPr="003D49EB">
        <w:rPr>
          <w:lang w:val="es-CR"/>
        </w:rPr>
        <w:t>artículos</w:t>
      </w:r>
      <w:proofErr w:type="spellEnd"/>
      <w:r w:rsidRPr="003D49EB">
        <w:rPr>
          <w:lang w:val="es-CR"/>
        </w:rPr>
        <w:t xml:space="preserve"> 1 y 6 de la Convención Interamericana para Prevenir y Sancionar la Tortura.</w:t>
      </w:r>
    </w:p>
    <w:p w14:paraId="7939FA8E" w14:textId="77777777" w:rsidR="002D2ADC" w:rsidRPr="003D49EB" w:rsidRDefault="002D2ADC" w:rsidP="009A4683">
      <w:pPr>
        <w:pStyle w:val="Prrafodelista2"/>
        <w:tabs>
          <w:tab w:val="left" w:pos="720"/>
          <w:tab w:val="num" w:pos="1427"/>
        </w:tabs>
        <w:spacing w:after="100" w:afterAutospacing="1"/>
        <w:ind w:left="0"/>
        <w:contextualSpacing/>
        <w:rPr>
          <w:lang w:val="es-CR"/>
        </w:rPr>
      </w:pPr>
    </w:p>
    <w:p w14:paraId="0B99F63D" w14:textId="5DFA0940" w:rsidR="00A84D35" w:rsidRDefault="00A84D35" w:rsidP="009A4683">
      <w:pPr>
        <w:pStyle w:val="Ttulo2"/>
      </w:pPr>
      <w:bookmarkStart w:id="26" w:name="_Toc530497977"/>
      <w:bookmarkStart w:id="27" w:name="_Toc88914976"/>
      <w:r w:rsidRPr="003D49EB">
        <w:t>Tortura psicológica</w:t>
      </w:r>
      <w:bookmarkEnd w:id="26"/>
      <w:bookmarkEnd w:id="27"/>
    </w:p>
    <w:p w14:paraId="5C41B3B1" w14:textId="77777777" w:rsidR="007276B0" w:rsidRPr="007276B0" w:rsidRDefault="007276B0" w:rsidP="007276B0">
      <w:pPr>
        <w:rPr>
          <w:lang w:val="es-CR"/>
        </w:rPr>
      </w:pPr>
    </w:p>
    <w:p w14:paraId="2392510D" w14:textId="77777777" w:rsidR="006B2EAF" w:rsidRPr="003D49EB" w:rsidRDefault="006B2EAF" w:rsidP="009A4683">
      <w:pPr>
        <w:spacing w:after="100" w:afterAutospacing="1"/>
        <w:rPr>
          <w:b/>
          <w:szCs w:val="20"/>
        </w:rPr>
      </w:pPr>
      <w:r w:rsidRPr="003D49EB">
        <w:rPr>
          <w:b/>
          <w:szCs w:val="20"/>
        </w:rPr>
        <w:t xml:space="preserve">Corte IDH. Caso Cantoral Benavides Vs. Perú. Fondo. Sentencia de 18 de agosto de 2000. Serie C No. 69. </w:t>
      </w:r>
    </w:p>
    <w:p w14:paraId="02028E6F" w14:textId="60547827" w:rsidR="00F146D5" w:rsidRPr="003D49EB" w:rsidRDefault="00F146D5" w:rsidP="009A4683">
      <w:pPr>
        <w:spacing w:after="100" w:afterAutospacing="1"/>
        <w:rPr>
          <w:szCs w:val="20"/>
        </w:rPr>
      </w:pPr>
      <w:r w:rsidRPr="003D49EB">
        <w:rPr>
          <w:szCs w:val="20"/>
        </w:rPr>
        <w:t>102.</w:t>
      </w:r>
      <w:r w:rsidRPr="003D49EB">
        <w:rPr>
          <w:szCs w:val="20"/>
        </w:rPr>
        <w:tab/>
        <w:t>La jurisprudencia internacional ha ido desarrollando la noción de tortura psicológica.</w:t>
      </w:r>
      <w:r w:rsidR="008B18CE" w:rsidRPr="003D49EB">
        <w:rPr>
          <w:szCs w:val="20"/>
        </w:rPr>
        <w:t xml:space="preserve"> </w:t>
      </w:r>
      <w:r w:rsidRPr="003D49EB">
        <w:rPr>
          <w:szCs w:val="20"/>
        </w:rPr>
        <w:t>La Corte Europea de Derechos Humanos ha establecido que es suficiente el mero peligro de que vaya a cometerse alguna de las conductas prohibidas por el artículo 3 de la Convención Europea para que pueda considerarse infringida la mencionada disposición, aunque el riesgo de que se trata debe ser real e inmediato. En concordancia con ello, amenazar a alguien con torturarle puede constituir, en determinadas circunstancias, por lo menos un “trato inhumano”</w:t>
      </w:r>
      <w:r w:rsidR="0021364C" w:rsidRPr="003D49EB">
        <w:rPr>
          <w:szCs w:val="20"/>
        </w:rPr>
        <w:t xml:space="preserve">. </w:t>
      </w:r>
      <w:r w:rsidRPr="003D49EB">
        <w:rPr>
          <w:szCs w:val="20"/>
        </w:rPr>
        <w:t>Ese mismo Tribunal ha estimado que debe tomarse en cuenta, a efectos de determinar si se ha violado el artículo 3 de la Convención Europea de Derechos Humanos, no sólo el sufrimiento físico si</w:t>
      </w:r>
      <w:r w:rsidR="0021364C" w:rsidRPr="003D49EB">
        <w:rPr>
          <w:szCs w:val="20"/>
        </w:rPr>
        <w:t xml:space="preserve">no también la angustia moral. </w:t>
      </w:r>
      <w:r w:rsidRPr="003D49EB">
        <w:rPr>
          <w:szCs w:val="20"/>
        </w:rPr>
        <w:t xml:space="preserve">En el marco del examen de comunicaciones individuales, el Comité de Derechos Humanos de Naciones Unidas ha calificado la amenaza de hacer sufrir a una persona una grave lesión física como una “tortura psicológica”. </w:t>
      </w:r>
    </w:p>
    <w:p w14:paraId="371ED818" w14:textId="40886FE1" w:rsidR="0021364C" w:rsidRPr="003D49EB" w:rsidRDefault="00482232" w:rsidP="009A4683">
      <w:pPr>
        <w:spacing w:after="100" w:afterAutospacing="1"/>
        <w:rPr>
          <w:b/>
          <w:szCs w:val="20"/>
        </w:rPr>
      </w:pPr>
      <w:r w:rsidRPr="00482232">
        <w:rPr>
          <w:b/>
          <w:szCs w:val="20"/>
        </w:rPr>
        <w:t>Corte IDH. Caso Maritza Urrutia Vs. Guatemala. Fondo, Reparaciones y Costas. Sentencia de 27 de noviembre de 2003. Serie C No. 103.</w:t>
      </w:r>
      <w:r w:rsidRPr="003D49EB">
        <w:rPr>
          <w:rStyle w:val="Refdenotaalpie"/>
          <w:b/>
          <w:szCs w:val="20"/>
        </w:rPr>
        <w:footnoteReference w:id="35"/>
      </w:r>
    </w:p>
    <w:p w14:paraId="3554EB29" w14:textId="15557AEE" w:rsidR="00F146D5" w:rsidRPr="003D49EB" w:rsidRDefault="0021364C" w:rsidP="009A4683">
      <w:pPr>
        <w:spacing w:after="100" w:afterAutospacing="1"/>
        <w:rPr>
          <w:rStyle w:val="EnelmismoCar"/>
        </w:rPr>
      </w:pPr>
      <w:r w:rsidRPr="003D49EB">
        <w:rPr>
          <w:szCs w:val="20"/>
        </w:rPr>
        <w:t>92.</w:t>
      </w:r>
      <w:r w:rsidRPr="003D49EB">
        <w:rPr>
          <w:szCs w:val="20"/>
        </w:rPr>
        <w:tab/>
        <w:t xml:space="preserve">Se ha conformado un régimen jurídico internacional de prohibición absoluta de todas las formas de tortura, tanto física como psicológica, y respecto a esta última, se ha reconocido que las amenazas y el peligro real de someter a una persona a </w:t>
      </w:r>
      <w:r w:rsidRPr="003D49EB">
        <w:rPr>
          <w:szCs w:val="20"/>
        </w:rPr>
        <w:lastRenderedPageBreak/>
        <w:t>lesiones físicas produce, en determinadas circunstancias, una angustia moral de tal grado que puede ser considerada “tortura psicológica”. […]</w:t>
      </w:r>
      <w:r w:rsidRPr="003D49EB">
        <w:rPr>
          <w:b/>
          <w:i/>
          <w:szCs w:val="20"/>
        </w:rPr>
        <w:t xml:space="preserve"> </w:t>
      </w:r>
      <w:r w:rsidR="006E5C73">
        <w:rPr>
          <w:rStyle w:val="EnelmismoCar"/>
        </w:rPr>
        <w:t>En similar sentido, ver entre otros</w:t>
      </w:r>
      <w:r w:rsidRPr="003D49EB">
        <w:rPr>
          <w:rStyle w:val="EnelmismoCar"/>
        </w:rPr>
        <w:t xml:space="preserve">: Caso Familia Barrios Vs. Venezuela. Fondo, Reparaciones y Costas. Sentencia de 24 de noviembre de 2011, párr. 51. </w:t>
      </w:r>
    </w:p>
    <w:p w14:paraId="15CE5798" w14:textId="77777777" w:rsidR="00EC633C" w:rsidRPr="003D49EB" w:rsidRDefault="00EC633C" w:rsidP="009A4683">
      <w:pPr>
        <w:spacing w:after="100" w:afterAutospacing="1"/>
        <w:rPr>
          <w:szCs w:val="20"/>
        </w:rPr>
      </w:pPr>
      <w:r w:rsidRPr="003D49EB">
        <w:rPr>
          <w:szCs w:val="20"/>
        </w:rPr>
        <w:t>93.</w:t>
      </w:r>
      <w:r w:rsidRPr="003D49EB">
        <w:rPr>
          <w:szCs w:val="20"/>
        </w:rPr>
        <w:tab/>
        <w:t xml:space="preserve">Asimismo, la Corte considera que, de acuerdo a las circunstancias de cada caso en particular, algunos actos de agresión infligidos a una persona pueden calificarse como torturas psíquicas, particularmente los actos que han sido preparados y realizados deliberadamente contra la víctima para suprimir su resistencia psíquica y forzarla a </w:t>
      </w:r>
      <w:proofErr w:type="spellStart"/>
      <w:r w:rsidRPr="003D49EB">
        <w:rPr>
          <w:szCs w:val="20"/>
        </w:rPr>
        <w:t>autoinculparse</w:t>
      </w:r>
      <w:proofErr w:type="spellEnd"/>
      <w:r w:rsidRPr="003D49EB">
        <w:rPr>
          <w:szCs w:val="20"/>
        </w:rPr>
        <w:t xml:space="preserve"> o a confesar determinadas conductas delictivas o para someterla a modalidades de castigos adicionales a la privación de la libertad en sí misma.</w:t>
      </w:r>
    </w:p>
    <w:p w14:paraId="28031193" w14:textId="77777777" w:rsidR="00EC633C" w:rsidRPr="003D49EB" w:rsidRDefault="00EC633C" w:rsidP="009A4683">
      <w:pPr>
        <w:spacing w:after="100" w:afterAutospacing="1"/>
        <w:rPr>
          <w:szCs w:val="20"/>
        </w:rPr>
      </w:pPr>
      <w:r w:rsidRPr="003D49EB">
        <w:rPr>
          <w:szCs w:val="20"/>
        </w:rPr>
        <w:t>94.</w:t>
      </w:r>
      <w:r w:rsidRPr="003D49EB">
        <w:rPr>
          <w:szCs w:val="20"/>
        </w:rPr>
        <w:tab/>
        <w:t>En el caso sub judice está demostrado que Maritza Urrutia fue sometida a actos de violencia psíquica al ser expuesta a un contexto de angustia y sufrimiento intenso de modo intencional, de acuerdo con la práctica imperante en esa época […].</w:t>
      </w:r>
      <w:r w:rsidR="008B18CE" w:rsidRPr="003D49EB">
        <w:rPr>
          <w:szCs w:val="20"/>
        </w:rPr>
        <w:t xml:space="preserve"> </w:t>
      </w:r>
      <w:r w:rsidRPr="003D49EB">
        <w:rPr>
          <w:szCs w:val="20"/>
        </w:rPr>
        <w:t>Además, la Corte estima que los actos alegados en el presente caso fueron preparados e infligidos deliberadamente para anular la personalidad y desmoralizar a la víctima, lo que constituye una forma de tortura psicológica, en violación del artículo 5.1 y 5.2 de la Convención en perjuicio de Maritza Urrutia.</w:t>
      </w:r>
      <w:r w:rsidR="008B18CE" w:rsidRPr="003D49EB">
        <w:rPr>
          <w:szCs w:val="20"/>
        </w:rPr>
        <w:t xml:space="preserve"> </w:t>
      </w:r>
      <w:r w:rsidRPr="003D49EB">
        <w:rPr>
          <w:szCs w:val="20"/>
        </w:rPr>
        <w:t xml:space="preserve"> </w:t>
      </w:r>
    </w:p>
    <w:p w14:paraId="18C60674" w14:textId="20CA6AF3" w:rsidR="006C229C" w:rsidRPr="00081EFB" w:rsidRDefault="00A056EF" w:rsidP="009A4683">
      <w:pPr>
        <w:spacing w:after="100" w:afterAutospacing="1"/>
        <w:rPr>
          <w:szCs w:val="20"/>
        </w:rPr>
      </w:pPr>
      <w:r w:rsidRPr="00081EFB">
        <w:rPr>
          <w:b/>
          <w:szCs w:val="20"/>
        </w:rPr>
        <w:t xml:space="preserve">Corte IDH. Caso del Penal Miguel Castro </w:t>
      </w:r>
      <w:proofErr w:type="spellStart"/>
      <w:r w:rsidRPr="00081EFB">
        <w:rPr>
          <w:b/>
          <w:szCs w:val="20"/>
        </w:rPr>
        <w:t>Castro</w:t>
      </w:r>
      <w:proofErr w:type="spellEnd"/>
      <w:r w:rsidRPr="00081EFB">
        <w:rPr>
          <w:b/>
          <w:szCs w:val="20"/>
        </w:rPr>
        <w:t xml:space="preserve"> Vs. Perú. Fondo, Reparaciones y Costas. Sentencia de 25 de noviembre de 2006. Serie C No. 160</w:t>
      </w:r>
      <w:r w:rsidR="006C229C" w:rsidRPr="00081EFB">
        <w:rPr>
          <w:b/>
          <w:szCs w:val="20"/>
        </w:rPr>
        <w:t xml:space="preserve">. </w:t>
      </w:r>
    </w:p>
    <w:p w14:paraId="7FF23FA4" w14:textId="0E3793E7" w:rsidR="006C229C" w:rsidRPr="003D49EB" w:rsidRDefault="006C229C" w:rsidP="009A4683">
      <w:pPr>
        <w:spacing w:after="100" w:afterAutospacing="1"/>
        <w:rPr>
          <w:rStyle w:val="EnelmismoCar"/>
        </w:rPr>
      </w:pPr>
      <w:r w:rsidRPr="003D49EB">
        <w:rPr>
          <w:szCs w:val="20"/>
        </w:rPr>
        <w:t>272.</w:t>
      </w:r>
      <w:r w:rsidRPr="003D49EB">
        <w:rPr>
          <w:szCs w:val="20"/>
        </w:rPr>
        <w:tab/>
      </w:r>
      <w:r w:rsidRPr="003D49EB">
        <w:rPr>
          <w:rFonts w:cs="Times"/>
          <w:szCs w:val="20"/>
        </w:rPr>
        <w:t>Asimismo, se ha reconocido que las amenazas y el peligro real de someter a una persona a lesiones físicas produce, en determinadas circunstancias, una angustia moral de tal grado que puede ser considerada tortura psicológica.</w:t>
      </w:r>
      <w:r w:rsidR="00EC633C" w:rsidRPr="003D49EB">
        <w:rPr>
          <w:rFonts w:cs="Times"/>
          <w:i/>
          <w:szCs w:val="20"/>
        </w:rPr>
        <w:t xml:space="preserve"> </w:t>
      </w:r>
      <w:r w:rsidR="006E5C73">
        <w:rPr>
          <w:rStyle w:val="EnelmismoCar"/>
        </w:rPr>
        <w:t>En similar sentido, ver entre otros</w:t>
      </w:r>
      <w:r w:rsidR="00EC633C" w:rsidRPr="003D49EB">
        <w:rPr>
          <w:rStyle w:val="EnelmismoCar"/>
        </w:rPr>
        <w:t xml:space="preserve">: Caso Tibi vs. Ecuador. Sentencia de 7 de septiembre de 2004, párr. 147. </w:t>
      </w:r>
    </w:p>
    <w:p w14:paraId="0B807CEE" w14:textId="77777777" w:rsidR="00A52D84" w:rsidRPr="003D49EB" w:rsidRDefault="00A52D84" w:rsidP="009A4683">
      <w:pPr>
        <w:tabs>
          <w:tab w:val="left" w:pos="720"/>
        </w:tabs>
        <w:spacing w:after="100" w:afterAutospacing="1"/>
        <w:rPr>
          <w:szCs w:val="20"/>
        </w:rPr>
      </w:pPr>
      <w:r w:rsidRPr="003D49EB">
        <w:rPr>
          <w:szCs w:val="20"/>
        </w:rPr>
        <w:t>279.</w:t>
      </w:r>
      <w:r w:rsidRPr="003D49EB">
        <w:rPr>
          <w:szCs w:val="20"/>
        </w:rPr>
        <w:tab/>
        <w:t>Este Tribunal ha sostenido que la mera amenaza de que ocurra una conducta prohibida por el artículo 5 de la Convención Americana, cuando sea suficientemente real e inminente, puede constituir en sí misma una transgresión a la norma de que se trata. Para determinar la violación al artículo 5 de la Convención, debe tomarse en cuenta no sólo el sufrimiento físico sino también la angustia psíquica y moral. La amenaza de sufrir una grave lesión física puede llegar a configurar una “tortura psicológica”.</w:t>
      </w:r>
    </w:p>
    <w:p w14:paraId="5B455DCC" w14:textId="77777777" w:rsidR="00A52D84" w:rsidRPr="003D49EB" w:rsidRDefault="00A52D84" w:rsidP="009A4683">
      <w:pPr>
        <w:tabs>
          <w:tab w:val="left" w:pos="720"/>
        </w:tabs>
        <w:spacing w:after="100" w:afterAutospacing="1"/>
        <w:rPr>
          <w:szCs w:val="20"/>
        </w:rPr>
      </w:pPr>
      <w:r w:rsidRPr="003D49EB">
        <w:rPr>
          <w:szCs w:val="20"/>
        </w:rPr>
        <w:t>285.</w:t>
      </w:r>
      <w:r w:rsidRPr="003D49EB">
        <w:rPr>
          <w:szCs w:val="20"/>
        </w:rPr>
        <w:tab/>
        <w:t xml:space="preserve">Todos los internos enfrentaron condiciones de sufrimiento adicionales en el curso de esos cuatro días, como lo fueron la privación de alimentos, agua, luz y atención médica. </w:t>
      </w:r>
    </w:p>
    <w:p w14:paraId="0F2C42D0" w14:textId="77777777" w:rsidR="00A52D84" w:rsidRPr="003D49EB" w:rsidRDefault="00A52D84" w:rsidP="009A4683">
      <w:pPr>
        <w:tabs>
          <w:tab w:val="left" w:pos="720"/>
        </w:tabs>
        <w:spacing w:after="100" w:afterAutospacing="1"/>
        <w:rPr>
          <w:szCs w:val="20"/>
        </w:rPr>
      </w:pPr>
      <w:r w:rsidRPr="003D49EB">
        <w:rPr>
          <w:szCs w:val="20"/>
        </w:rPr>
        <w:t>288.</w:t>
      </w:r>
      <w:r w:rsidRPr="003D49EB">
        <w:rPr>
          <w:szCs w:val="20"/>
        </w:rPr>
        <w:tab/>
        <w:t>La Corte estima que los internos que sobrevivieron al ataque experimentaron tortura psicológica por las amenazas constantes y el peligro real que generaron las acciones estatales que podían producir su muerte y serias lesiones a su integridad física.</w:t>
      </w:r>
    </w:p>
    <w:p w14:paraId="300BE806" w14:textId="77777777" w:rsidR="00A52D84" w:rsidRPr="003D49EB" w:rsidRDefault="00A52D84" w:rsidP="009A4683">
      <w:pPr>
        <w:tabs>
          <w:tab w:val="left" w:pos="720"/>
        </w:tabs>
        <w:spacing w:after="100" w:afterAutospacing="1"/>
        <w:rPr>
          <w:szCs w:val="20"/>
        </w:rPr>
      </w:pPr>
      <w:r w:rsidRPr="003D49EB">
        <w:rPr>
          <w:szCs w:val="20"/>
        </w:rPr>
        <w:t>292.</w:t>
      </w:r>
      <w:r w:rsidRPr="003D49EB">
        <w:rPr>
          <w:szCs w:val="20"/>
        </w:rPr>
        <w:tab/>
        <w:t xml:space="preserve">Es importante aclarar que de la prueba aportada al Tribunal y de los testimonios de los internos se desprende que las internas embarazadas también fueron víctimas del ataque al penal. Las mujeres embarazadas que vivieron el ataque experimentaron un sufrimiento psicológico adicional, ya que además de haber visto lesionada su propia integridad física, padecieron sentimientos de angustia, desesperación y miedo por el peligro que corría la vida de sus hijos. Las internas embarazadas que han sido identificadas ante esta Corte son las señoras Eva </w:t>
      </w:r>
      <w:proofErr w:type="spellStart"/>
      <w:r w:rsidRPr="003D49EB">
        <w:rPr>
          <w:szCs w:val="20"/>
        </w:rPr>
        <w:t>Challco</w:t>
      </w:r>
      <w:proofErr w:type="spellEnd"/>
      <w:r w:rsidRPr="003D49EB">
        <w:rPr>
          <w:szCs w:val="20"/>
        </w:rPr>
        <w:t xml:space="preserve">, quien aproximadamente un mes después del ataque tuvo a su hijo Said Gabriel </w:t>
      </w:r>
      <w:proofErr w:type="spellStart"/>
      <w:r w:rsidRPr="003D49EB">
        <w:rPr>
          <w:szCs w:val="20"/>
        </w:rPr>
        <w:lastRenderedPageBreak/>
        <w:t>Challco</w:t>
      </w:r>
      <w:proofErr w:type="spellEnd"/>
      <w:r w:rsidRPr="003D49EB">
        <w:rPr>
          <w:szCs w:val="20"/>
        </w:rPr>
        <w:t xml:space="preserve"> Hurtado; Vicenta </w:t>
      </w:r>
      <w:proofErr w:type="spellStart"/>
      <w:r w:rsidRPr="003D49EB">
        <w:rPr>
          <w:szCs w:val="20"/>
        </w:rPr>
        <w:t>Genua</w:t>
      </w:r>
      <w:proofErr w:type="spellEnd"/>
      <w:r w:rsidRPr="003D49EB">
        <w:rPr>
          <w:szCs w:val="20"/>
        </w:rPr>
        <w:t xml:space="preserve"> López, quien tenía cinco meses de embarazo; y Sabina Quispe Rojas, quien tenía ocho mes</w:t>
      </w:r>
      <w:r w:rsidR="0018209D" w:rsidRPr="003D49EB">
        <w:rPr>
          <w:szCs w:val="20"/>
        </w:rPr>
        <w:t>es de embarazo […]</w:t>
      </w:r>
      <w:r w:rsidRPr="003D49EB">
        <w:rPr>
          <w:szCs w:val="20"/>
        </w:rPr>
        <w:t>.</w:t>
      </w:r>
      <w:r w:rsidR="008B18CE" w:rsidRPr="003D49EB">
        <w:rPr>
          <w:szCs w:val="20"/>
        </w:rPr>
        <w:t xml:space="preserve"> </w:t>
      </w:r>
      <w:r w:rsidRPr="003D49EB">
        <w:rPr>
          <w:szCs w:val="20"/>
        </w:rPr>
        <w:t xml:space="preserve">Al respecto, además de la protección que otorga el artículo 5 de la Convención Americana, es preciso señalar que el artículo 7 de la Convención de Belem do Pará señala expresamente que los Estados deben velar porque las autoridades y agentes estatales se abstengan de cualquier acción o práctica de violencia contra la mujer. </w:t>
      </w:r>
    </w:p>
    <w:p w14:paraId="53D10C70" w14:textId="77777777" w:rsidR="00A52D84" w:rsidRPr="003D49EB" w:rsidRDefault="00A52D84" w:rsidP="009A4683">
      <w:pPr>
        <w:tabs>
          <w:tab w:val="left" w:pos="720"/>
        </w:tabs>
        <w:spacing w:after="100" w:afterAutospacing="1"/>
        <w:rPr>
          <w:szCs w:val="20"/>
        </w:rPr>
      </w:pPr>
      <w:r w:rsidRPr="003D49EB">
        <w:rPr>
          <w:szCs w:val="20"/>
        </w:rPr>
        <w:t>293.</w:t>
      </w:r>
      <w:r w:rsidRPr="003D49EB">
        <w:rPr>
          <w:szCs w:val="20"/>
        </w:rPr>
        <w:tab/>
        <w:t>Con base en lo indicado anteriormente, este Tribunal considera que el Estado es responsable de la violación a la integridad física de los internos que resultaron heridos durante los hechos del 6 al 9 de mayo de 1992, lo cual constituyó una violación al artículo 5 de la Convención Americana. Asimismo, la Corte considera que, en las circunstancias del presente caso, el conjunto de actos de agresión y las condiciones en que el Estado puso deliberadamente a los internos (los que fallecieron y los que sobrevivieron) durante los días del ataque, que causaron en todos ellos un grave sufrimiento psicológico y emocional, constituyó una tortura psicológica inferida en agravio de todos los miembros del grupo, con violación de los artículos 5.1 y 5.2 de la Convención Americana, y 1, 6</w:t>
      </w:r>
      <w:r w:rsidRPr="003D49EB">
        <w:rPr>
          <w:b/>
          <w:szCs w:val="20"/>
        </w:rPr>
        <w:t xml:space="preserve"> </w:t>
      </w:r>
      <w:r w:rsidRPr="003D49EB">
        <w:rPr>
          <w:szCs w:val="20"/>
        </w:rPr>
        <w:t xml:space="preserve">y 8 de la Convención Interamericana para Prevenir y Sancionar la Tortura. Además, esta Corte estima que la violación del derecho a la integridad personal de las señoras Eva </w:t>
      </w:r>
      <w:proofErr w:type="spellStart"/>
      <w:r w:rsidRPr="003D49EB">
        <w:rPr>
          <w:szCs w:val="20"/>
        </w:rPr>
        <w:t>Challco</w:t>
      </w:r>
      <w:proofErr w:type="spellEnd"/>
      <w:r w:rsidRPr="003D49EB">
        <w:rPr>
          <w:szCs w:val="20"/>
        </w:rPr>
        <w:t xml:space="preserve">, Sabina Quispe Rojas y Vicenta </w:t>
      </w:r>
      <w:proofErr w:type="spellStart"/>
      <w:r w:rsidRPr="003D49EB">
        <w:rPr>
          <w:szCs w:val="20"/>
        </w:rPr>
        <w:t>Genua</w:t>
      </w:r>
      <w:proofErr w:type="spellEnd"/>
      <w:r w:rsidRPr="003D49EB">
        <w:rPr>
          <w:szCs w:val="20"/>
        </w:rPr>
        <w:t xml:space="preserve"> López se vio agravada por el factor de que se encontraban embarazadas, de forma tal que los actos de violencia les afectaron en mayor medida. Igualmente, la Corte considera que el Estado es responsable por los actos de tortura infligidos a Julia Marlene Olivos Peña, con violación del artículo 5.2 de la Convención Americana y de los artículos 1, 6 y 8 de la Convención Interamericana para Prevenir y Sancionar la Tortura.</w:t>
      </w:r>
    </w:p>
    <w:p w14:paraId="1B0AED5B" w14:textId="58F6BEFA" w:rsidR="00482232" w:rsidRPr="003D49EB" w:rsidRDefault="00482232" w:rsidP="009A4683">
      <w:pPr>
        <w:tabs>
          <w:tab w:val="left" w:pos="720"/>
          <w:tab w:val="num" w:pos="11028"/>
        </w:tabs>
        <w:autoSpaceDE w:val="0"/>
        <w:autoSpaceDN w:val="0"/>
        <w:adjustRightInd w:val="0"/>
        <w:spacing w:after="100" w:afterAutospacing="1"/>
        <w:rPr>
          <w:b/>
          <w:bCs/>
          <w:szCs w:val="20"/>
          <w:shd w:val="clear" w:color="auto" w:fill="FFFFFF"/>
        </w:rPr>
      </w:pPr>
      <w:r w:rsidRPr="003D49EB">
        <w:rPr>
          <w:b/>
          <w:bCs/>
          <w:szCs w:val="20"/>
          <w:shd w:val="clear" w:color="auto" w:fill="FFFFFF"/>
        </w:rPr>
        <w:t>Corte IDH. Caso J. Vs. Perú. Excepción Preliminar, Fondo, Reparaciones y Costas. Sentencia de 27 de noviembre de 2013. Serie C No. 275.</w:t>
      </w:r>
      <w:r w:rsidRPr="003D49EB">
        <w:rPr>
          <w:rStyle w:val="Refdenotaalpie"/>
          <w:rFonts w:cstheme="minorHAnsi"/>
        </w:rPr>
        <w:footnoteReference w:id="36"/>
      </w:r>
      <w:r w:rsidRPr="003D49EB">
        <w:rPr>
          <w:b/>
          <w:bCs/>
          <w:szCs w:val="20"/>
          <w:shd w:val="clear" w:color="auto" w:fill="FFFFFF"/>
        </w:rPr>
        <w:t xml:space="preserve"> </w:t>
      </w:r>
    </w:p>
    <w:p w14:paraId="76D4F159" w14:textId="6451392A" w:rsidR="00ED5598" w:rsidRPr="003D49EB" w:rsidRDefault="00ED5598"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364.</w:t>
      </w:r>
      <w:r w:rsidRPr="003D49EB">
        <w:rPr>
          <w:rFonts w:eastAsia="Batang"/>
          <w:spacing w:val="-2"/>
          <w:szCs w:val="20"/>
        </w:rPr>
        <w:tab/>
        <w:t>P</w:t>
      </w:r>
      <w:r w:rsidRPr="003D49EB">
        <w:rPr>
          <w:rFonts w:eastAsia="Batang"/>
          <w:spacing w:val="-2"/>
          <w:szCs w:val="20"/>
          <w:lang w:val="es-MX"/>
        </w:rPr>
        <w:t xml:space="preserve">ara definir lo que a la luz del artículo 5.2 de la Convención Americana debe entenderse como “tortura”, de conformidad con la jurisprudencia de la Corte, se está frente a un acto constitutivo de tortura cuando el maltrato: a) es intencional; b) cause severos sufrimientos físicos o mentales, y c) se cometa con cualquier fin o propósito. </w:t>
      </w:r>
      <w:r w:rsidRPr="003D49EB">
        <w:rPr>
          <w:rFonts w:eastAsia="Batang"/>
          <w:spacing w:val="-2"/>
          <w:szCs w:val="20"/>
        </w:rPr>
        <w:t>Asimismo, se ha reconocido que las amenazas y el peligro real de someter a una persona a lesiones físicas produce, en determinadas circunstancias, una angustia moral de tal grado que puede ser considerada tortura psicológica.</w:t>
      </w:r>
    </w:p>
    <w:p w14:paraId="623BC7A9" w14:textId="54BBF3C5" w:rsidR="00800714" w:rsidRPr="003D49EB" w:rsidRDefault="005821EA" w:rsidP="009A4683">
      <w:pPr>
        <w:spacing w:after="100" w:afterAutospacing="1"/>
        <w:rPr>
          <w:b/>
          <w:bCs/>
          <w:szCs w:val="20"/>
          <w:shd w:val="clear" w:color="auto" w:fill="FFFFFF"/>
        </w:rPr>
      </w:pPr>
      <w:r w:rsidRPr="003D49EB">
        <w:rPr>
          <w:b/>
          <w:bCs/>
          <w:szCs w:val="20"/>
          <w:shd w:val="clear" w:color="auto" w:fill="FFFFFF"/>
        </w:rPr>
        <w:t>Corte IDH. Caso Espinoza Gonzáles Vs. Perú. Excepciones Preliminares, Fondo, Reparaciones y Costas. Sentencia de 20 de noviembre de 2014. Serie C No. 289.</w:t>
      </w:r>
      <w:r w:rsidR="00800714" w:rsidRPr="003D49EB">
        <w:rPr>
          <w:b/>
          <w:bCs/>
          <w:szCs w:val="20"/>
          <w:shd w:val="clear" w:color="auto" w:fill="FFFFFF"/>
        </w:rPr>
        <w:t xml:space="preserve"> </w:t>
      </w:r>
    </w:p>
    <w:p w14:paraId="5FBE58FC" w14:textId="30057EB2" w:rsidR="002D2ADC" w:rsidRPr="003D49EB" w:rsidRDefault="00800714" w:rsidP="009A4683">
      <w:pPr>
        <w:tabs>
          <w:tab w:val="left" w:pos="720"/>
        </w:tabs>
        <w:spacing w:after="100" w:afterAutospacing="1"/>
        <w:rPr>
          <w:i/>
          <w:spacing w:val="-2"/>
          <w:szCs w:val="20"/>
        </w:rPr>
      </w:pPr>
      <w:r w:rsidRPr="003D49EB">
        <w:rPr>
          <w:spacing w:val="-2"/>
          <w:szCs w:val="20"/>
        </w:rPr>
        <w:t>189.</w:t>
      </w:r>
      <w:r w:rsidRPr="003D49EB">
        <w:rPr>
          <w:spacing w:val="-2"/>
          <w:szCs w:val="20"/>
        </w:rPr>
        <w:tab/>
      </w:r>
      <w:r w:rsidR="00305729" w:rsidRPr="003D49EB">
        <w:rPr>
          <w:spacing w:val="-2"/>
          <w:szCs w:val="20"/>
        </w:rPr>
        <w:t>[…]</w:t>
      </w:r>
      <w:r w:rsidRPr="003D49EB">
        <w:rPr>
          <w:spacing w:val="-2"/>
          <w:szCs w:val="20"/>
        </w:rPr>
        <w:t xml:space="preserve">, la Corte recuerda que </w:t>
      </w:r>
      <w:r w:rsidRPr="003D49EB">
        <w:rPr>
          <w:rFonts w:eastAsia="MS Mincho"/>
          <w:spacing w:val="-2"/>
          <w:szCs w:val="20"/>
        </w:rPr>
        <w:t xml:space="preserve">se ha conformado un régimen jurídico internacional de prohibición absoluta de todas las formas de tortura, tanto física como psicológica, y respecto de esta última, se ha </w:t>
      </w:r>
      <w:r w:rsidRPr="003D49EB">
        <w:rPr>
          <w:rFonts w:eastAsia="Calibri"/>
          <w:spacing w:val="-2"/>
          <w:szCs w:val="20"/>
        </w:rPr>
        <w:t>reconocido</w:t>
      </w:r>
      <w:r w:rsidRPr="003D49EB">
        <w:rPr>
          <w:rFonts w:eastAsia="MS Mincho"/>
          <w:spacing w:val="-2"/>
          <w:szCs w:val="20"/>
        </w:rPr>
        <w:t xml:space="preserve"> que las amenazas y el peligro real de someter a una persona a graves lesiones </w:t>
      </w:r>
      <w:r w:rsidRPr="003D49EB">
        <w:rPr>
          <w:spacing w:val="-2"/>
          <w:szCs w:val="20"/>
        </w:rPr>
        <w:t>físicas</w:t>
      </w:r>
      <w:r w:rsidRPr="003D49EB">
        <w:rPr>
          <w:rFonts w:eastAsia="MS Mincho"/>
          <w:spacing w:val="-2"/>
          <w:szCs w:val="20"/>
        </w:rPr>
        <w:t xml:space="preserve"> produce, en determinadas circunstancias, una angustia moral de tal grado que puede ser considerada “tortura psicológica”. </w:t>
      </w:r>
      <w:r w:rsidRPr="003D49EB">
        <w:rPr>
          <w:spacing w:val="-2"/>
          <w:szCs w:val="20"/>
        </w:rPr>
        <w:t xml:space="preserve">Para la Corte es evidente que, dado el contexto de violencia en la época, tanto por parte de grupos subversivos como por agentes estatales </w:t>
      </w:r>
      <w:r w:rsidR="002E29B9" w:rsidRPr="003D49EB">
        <w:rPr>
          <w:spacing w:val="-2"/>
          <w:szCs w:val="20"/>
        </w:rPr>
        <w:t xml:space="preserve">[...], </w:t>
      </w:r>
      <w:r w:rsidRPr="003D49EB">
        <w:rPr>
          <w:spacing w:val="-2"/>
          <w:szCs w:val="20"/>
        </w:rPr>
        <w:t xml:space="preserve">el hecho de que personas desconocidas hayan detenido a la señora Espinoza entre sonidos de disparos, la hayan golpeado en la cabeza, entre otros, a fin de subirla a un vehículo </w:t>
      </w:r>
      <w:r w:rsidRPr="003D49EB">
        <w:rPr>
          <w:spacing w:val="-2"/>
          <w:szCs w:val="20"/>
        </w:rPr>
        <w:lastRenderedPageBreak/>
        <w:t>junto a su pareja sentimental, quien estaba ensangrentado, y donde recibió amenazas de muerte en contra de ella y de su familia y de que sería “contagiada con el SIDA [</w:t>
      </w:r>
      <w:r w:rsidRPr="003D49EB">
        <w:rPr>
          <w:i/>
          <w:spacing w:val="-2"/>
          <w:szCs w:val="20"/>
        </w:rPr>
        <w:t>sic</w:t>
      </w:r>
      <w:r w:rsidRPr="003D49EB">
        <w:rPr>
          <w:spacing w:val="-2"/>
          <w:szCs w:val="20"/>
        </w:rPr>
        <w:t xml:space="preserve">]”, y escuchó que veinte hombres iban a “pasar por ella”, necesariamente le provocó a aquélla sentimientos profundos de angustia, miedo y vulnerabilidad. De este modo, </w:t>
      </w:r>
      <w:r w:rsidRPr="003D49EB">
        <w:rPr>
          <w:i/>
          <w:spacing w:val="-2"/>
          <w:szCs w:val="20"/>
        </w:rPr>
        <w:t>dichos hechos constituyeron, además de una vulneración a su integridad física, una forma de tortura psicológica, en violación de los artículos 5.1 y 5.2 de la Convención Americana, en relación con el artículo 1.1 de la misma, en perjuicio de Gladys Espinoza</w:t>
      </w:r>
      <w:r w:rsidR="000B75D0" w:rsidRPr="003D49EB">
        <w:rPr>
          <w:i/>
          <w:spacing w:val="-2"/>
          <w:szCs w:val="20"/>
        </w:rPr>
        <w:t>.</w:t>
      </w:r>
    </w:p>
    <w:p w14:paraId="5AF88B7B" w14:textId="23640FC6" w:rsidR="00A84D35" w:rsidRDefault="00A84D35" w:rsidP="009A4683">
      <w:pPr>
        <w:pStyle w:val="Ttulo2"/>
      </w:pPr>
      <w:bookmarkStart w:id="28" w:name="_Toc530497978"/>
      <w:bookmarkStart w:id="29" w:name="_Toc88914977"/>
      <w:r w:rsidRPr="003D49EB">
        <w:t>Violencia sexual como tortura</w:t>
      </w:r>
      <w:bookmarkEnd w:id="28"/>
      <w:bookmarkEnd w:id="29"/>
    </w:p>
    <w:p w14:paraId="50BDF2C6" w14:textId="77777777" w:rsidR="00081EFB" w:rsidRPr="00081EFB" w:rsidRDefault="00081EFB" w:rsidP="00081EFB">
      <w:pPr>
        <w:rPr>
          <w:lang w:val="es-CR"/>
        </w:rPr>
      </w:pPr>
    </w:p>
    <w:p w14:paraId="0C0BD503" w14:textId="6DBB4792" w:rsidR="00A52D84" w:rsidRPr="00081EFB" w:rsidRDefault="00A056EF" w:rsidP="009A4683">
      <w:pPr>
        <w:spacing w:after="100" w:afterAutospacing="1"/>
        <w:rPr>
          <w:szCs w:val="20"/>
        </w:rPr>
      </w:pPr>
      <w:r w:rsidRPr="00081EFB">
        <w:rPr>
          <w:b/>
          <w:szCs w:val="20"/>
        </w:rPr>
        <w:t xml:space="preserve">Corte IDH. Caso del Penal Miguel Castro </w:t>
      </w:r>
      <w:proofErr w:type="spellStart"/>
      <w:r w:rsidRPr="00081EFB">
        <w:rPr>
          <w:b/>
          <w:szCs w:val="20"/>
        </w:rPr>
        <w:t>Castro</w:t>
      </w:r>
      <w:proofErr w:type="spellEnd"/>
      <w:r w:rsidRPr="00081EFB">
        <w:rPr>
          <w:b/>
          <w:szCs w:val="20"/>
        </w:rPr>
        <w:t xml:space="preserve"> Vs. Perú. Fondo, Reparaciones y Costas. Sentencia de 25 de noviembre de 2006. Serie C No. 160</w:t>
      </w:r>
      <w:r w:rsidR="00B87EEC" w:rsidRPr="00081EFB">
        <w:rPr>
          <w:b/>
          <w:szCs w:val="20"/>
        </w:rPr>
        <w:t xml:space="preserve">. </w:t>
      </w:r>
    </w:p>
    <w:p w14:paraId="3CF79A13" w14:textId="77777777" w:rsidR="00A52D84" w:rsidRPr="003D49EB" w:rsidRDefault="00A52D84" w:rsidP="009A4683">
      <w:pPr>
        <w:spacing w:after="100" w:afterAutospacing="1"/>
        <w:rPr>
          <w:szCs w:val="20"/>
        </w:rPr>
      </w:pPr>
      <w:r w:rsidRPr="003D49EB">
        <w:rPr>
          <w:szCs w:val="20"/>
        </w:rPr>
        <w:t>309.</w:t>
      </w:r>
      <w:r w:rsidRPr="003D49EB">
        <w:rPr>
          <w:szCs w:val="20"/>
        </w:rPr>
        <w:tab/>
        <w:t>Por otra parte,</w:t>
      </w:r>
      <w:r w:rsidRPr="003D49EB">
        <w:rPr>
          <w:b/>
          <w:szCs w:val="20"/>
        </w:rPr>
        <w:t xml:space="preserve"> </w:t>
      </w:r>
      <w:r w:rsidRPr="003D49EB">
        <w:rPr>
          <w:szCs w:val="20"/>
        </w:rPr>
        <w:t>en el presente caso se ha probado que una</w:t>
      </w:r>
      <w:r w:rsidRPr="003D49EB">
        <w:rPr>
          <w:b/>
          <w:szCs w:val="20"/>
        </w:rPr>
        <w:t xml:space="preserve"> </w:t>
      </w:r>
      <w:r w:rsidRPr="003D49EB">
        <w:rPr>
          <w:szCs w:val="20"/>
        </w:rPr>
        <w:t xml:space="preserve">interna que fue trasladada al Hospital de la Sanidad de la Policía </w:t>
      </w:r>
      <w:r w:rsidRPr="003D49EB">
        <w:rPr>
          <w:rFonts w:cs="Arial"/>
          <w:szCs w:val="20"/>
        </w:rPr>
        <w:t>fue objeto de una “inspección” vaginal dactilar, realizada por varias personas encapuchadas a la vez, con suma brusquedad, bajo el pretexto de revisarla</w:t>
      </w:r>
      <w:r w:rsidR="00A84D35" w:rsidRPr="003D49EB">
        <w:rPr>
          <w:szCs w:val="20"/>
        </w:rPr>
        <w:t xml:space="preserve"> […]</w:t>
      </w:r>
      <w:r w:rsidRPr="003D49EB">
        <w:rPr>
          <w:szCs w:val="20"/>
        </w:rPr>
        <w:t>.</w:t>
      </w:r>
    </w:p>
    <w:p w14:paraId="01DE9769" w14:textId="77777777" w:rsidR="00A52D84" w:rsidRPr="003D49EB" w:rsidRDefault="00A52D84" w:rsidP="009A4683">
      <w:pPr>
        <w:tabs>
          <w:tab w:val="left" w:pos="720"/>
        </w:tabs>
        <w:spacing w:after="100" w:afterAutospacing="1"/>
        <w:rPr>
          <w:szCs w:val="20"/>
        </w:rPr>
      </w:pPr>
      <w:r w:rsidRPr="003D49EB">
        <w:rPr>
          <w:szCs w:val="20"/>
        </w:rPr>
        <w:t>310.</w:t>
      </w:r>
      <w:r w:rsidRPr="003D49EB">
        <w:rPr>
          <w:szCs w:val="20"/>
        </w:rPr>
        <w:tab/>
        <w:t>Siguiendo el criterio jurisprudencial y normativo que impera tanto en el ámbito del Derecho Penal Internacional como en el Derecho Penal comparado, el Tribunal considera que la violación sexual no implica necesariamente una relación sexual sin consentimiento, por vía vaginal, como se consideró tradicionalmente. Por violación sexual también debe entenderse actos de penetración vaginales o anales, sin consentimiento de la víctima, mediante la utilización de otras partes del cuerpo del agresor u objetos, así como la penetración bucal mediante el miembro viril.</w:t>
      </w:r>
    </w:p>
    <w:p w14:paraId="536335B7" w14:textId="77777777" w:rsidR="00A52D84" w:rsidRPr="003D49EB" w:rsidRDefault="00A52D84" w:rsidP="009A4683">
      <w:pPr>
        <w:tabs>
          <w:tab w:val="left" w:pos="720"/>
        </w:tabs>
        <w:spacing w:after="100" w:afterAutospacing="1"/>
        <w:rPr>
          <w:szCs w:val="20"/>
        </w:rPr>
      </w:pPr>
      <w:r w:rsidRPr="003D49EB">
        <w:rPr>
          <w:szCs w:val="20"/>
        </w:rPr>
        <w:t>311.</w:t>
      </w:r>
      <w:r w:rsidRPr="003D49EB">
        <w:rPr>
          <w:szCs w:val="20"/>
        </w:rPr>
        <w:tab/>
        <w:t>La Corte reconoce que la violación sexual de una detenida por un agente del Estado es un acto especialmente grave y reprobable, tomando en cuenta la vulnerabilidad de la víctima y el abuso de poder que despliega el agente. Asimismo, la violación sexual es una experiencia sumamente traumática que puede tener severas consecuencias y causa gran daño físico y psicológico que deja a la víctima “humillada física y emocionalmente”, situación difícilmente superable por el paso del tiempo, a diferencia de lo que acontece en otras experiencias traumáticas.</w:t>
      </w:r>
    </w:p>
    <w:p w14:paraId="20108B85" w14:textId="77777777" w:rsidR="00A52D84" w:rsidRPr="003D49EB" w:rsidRDefault="00A52D84" w:rsidP="009A4683">
      <w:pPr>
        <w:spacing w:after="100" w:afterAutospacing="1"/>
        <w:rPr>
          <w:szCs w:val="20"/>
        </w:rPr>
      </w:pPr>
      <w:r w:rsidRPr="003D49EB">
        <w:rPr>
          <w:szCs w:val="20"/>
        </w:rPr>
        <w:t>312.</w:t>
      </w:r>
      <w:r w:rsidRPr="003D49EB">
        <w:rPr>
          <w:szCs w:val="20"/>
        </w:rPr>
        <w:tab/>
        <w:t>Con base en lo anterior, y tomando en cuenta lo dispuesto en el artículo 2 de la Convención Interamericana para Prevenir y Sancionar la Tortura, este Tribunal concluye que los actos de violencia sexual a que fue sometida una interna bajo supuesta</w:t>
      </w:r>
      <w:r w:rsidR="00A84D35" w:rsidRPr="003D49EB">
        <w:rPr>
          <w:szCs w:val="20"/>
        </w:rPr>
        <w:t xml:space="preserve"> “inspección” vaginal dactilar […]</w:t>
      </w:r>
      <w:r w:rsidRPr="003D49EB">
        <w:rPr>
          <w:szCs w:val="20"/>
        </w:rPr>
        <w:t xml:space="preserve"> constituyeron una violación sexual que por sus efectos constituye tortura. Por lo tanto, el Estado es responsable por la violación del derecho a la integridad personal consagrado en el artículo 5.2 de la Convención Americana, así como por la violación de los artículos 1, 6 y 8 de la referida Convención Interamericana para Prevenir y Sancionar la Tortura, en perjuicio de la interna indicada en el Anexo 2 de víctimas de la presente Sentencia que para estos efectos forma parte de la misma.</w:t>
      </w:r>
    </w:p>
    <w:p w14:paraId="35C53639" w14:textId="6BCB46B6" w:rsidR="00A52D84" w:rsidRPr="003D49EB" w:rsidRDefault="00A52D84" w:rsidP="009A4683">
      <w:pPr>
        <w:spacing w:after="100" w:afterAutospacing="1"/>
        <w:rPr>
          <w:strike/>
          <w:szCs w:val="20"/>
        </w:rPr>
      </w:pPr>
      <w:r w:rsidRPr="003D49EB">
        <w:rPr>
          <w:szCs w:val="20"/>
        </w:rPr>
        <w:t>313.</w:t>
      </w:r>
      <w:r w:rsidRPr="003D49EB">
        <w:rPr>
          <w:szCs w:val="20"/>
        </w:rPr>
        <w:tab/>
        <w:t xml:space="preserve">La Relatora Especial de la ONU para la Violencia contra las Mujeres ha establecido, refiriéndose a la violencia contra las mujeres en el contexto de un conflicto armado, que la “[l]a agresión sexual a menudo se considera y practica como medio para humillar al adversario” y que “las violaciones sexuales son usadas por ambas partes como un acto simbólico”. Este Tribunal reconoce que la violencia sexual contra la mujer tiene consecuencias físicas, emocionales y psicológicas devastadoras para ellas, que se ven agravadas en los casos de mujeres detenidas. </w:t>
      </w:r>
    </w:p>
    <w:p w14:paraId="69BDF86E" w14:textId="080C4A1A" w:rsidR="00CE2B32" w:rsidRPr="003D49EB" w:rsidRDefault="00BD210B" w:rsidP="009A4683">
      <w:pPr>
        <w:spacing w:after="100" w:afterAutospacing="1"/>
        <w:rPr>
          <w:b/>
          <w:szCs w:val="20"/>
        </w:rPr>
      </w:pPr>
      <w:r w:rsidRPr="003D49EB">
        <w:rPr>
          <w:b/>
          <w:szCs w:val="20"/>
        </w:rPr>
        <w:lastRenderedPageBreak/>
        <w:t>Corte IDH. Caso Fernández Ortega y otros Vs. México. Excepción Preliminar, Fondo, Reparaciones y Costas. Sentencia de 30 de agosto de 2010. Serie C No. 215.</w:t>
      </w:r>
      <w:r w:rsidR="00CE2B32" w:rsidRPr="003D49EB">
        <w:rPr>
          <w:b/>
          <w:szCs w:val="20"/>
        </w:rPr>
        <w:t xml:space="preserve"> </w:t>
      </w:r>
    </w:p>
    <w:p w14:paraId="37F077FE" w14:textId="5E4DF9F1" w:rsidR="00E15067" w:rsidRPr="003D49EB" w:rsidRDefault="00CE2B32" w:rsidP="009A4683">
      <w:pPr>
        <w:spacing w:after="100" w:afterAutospacing="1"/>
        <w:rPr>
          <w:b/>
          <w:i/>
          <w:szCs w:val="20"/>
        </w:rPr>
      </w:pPr>
      <w:r w:rsidRPr="003D49EB">
        <w:rPr>
          <w:szCs w:val="20"/>
        </w:rPr>
        <w:t>128.</w:t>
      </w:r>
      <w:r w:rsidRPr="003D49EB">
        <w:rPr>
          <w:szCs w:val="20"/>
        </w:rPr>
        <w:tab/>
      </w:r>
      <w:r w:rsidR="00ED5598" w:rsidRPr="003D49EB">
        <w:rPr>
          <w:szCs w:val="20"/>
        </w:rPr>
        <w:t xml:space="preserve">[…] </w:t>
      </w:r>
      <w:r w:rsidR="00305729" w:rsidRPr="003D49EB">
        <w:rPr>
          <w:szCs w:val="20"/>
        </w:rPr>
        <w:t>[E]</w:t>
      </w:r>
      <w:proofErr w:type="spellStart"/>
      <w:r w:rsidRPr="003D49EB">
        <w:rPr>
          <w:szCs w:val="20"/>
        </w:rPr>
        <w:t>sta</w:t>
      </w:r>
      <w:proofErr w:type="spellEnd"/>
      <w:r w:rsidRPr="003D49EB">
        <w:rPr>
          <w:szCs w:val="20"/>
        </w:rPr>
        <w:t xml:space="preserve"> Corte considera que una violación sexual puede constituir tortura aún cuando consista en un solo hecho u ocurra fuera de instalaciones estatales, como puede ser el domicilio de la víctima. Esto es así ya que los elementos objetivos y subjetivos que califican un hecho como tortura no se refieren ni a la acumulación de hechos ni al lugar donde el acto se realiza, sino a la intencionalidad, a la severidad del sufrimiento y a la finalidad del acto, requisitos que en el presente caso se encuentran cumplidos. Con base en lo anterior, la Corte concluye que la violación sexual en el presente caso implicó una violación a la integridad personal de la señora Fernández Ortega, constituyendo un acto de tortura en los términos del artículo 5.2 de la Convención Americana y 2 de la Convención Interamericana para Prevenir y Sancionar la Tortura.</w:t>
      </w:r>
      <w:r w:rsidR="008B18CE" w:rsidRPr="003D49EB">
        <w:rPr>
          <w:szCs w:val="20"/>
        </w:rPr>
        <w:t xml:space="preserve"> </w:t>
      </w:r>
      <w:r w:rsidR="006E5C73">
        <w:rPr>
          <w:rStyle w:val="EnelmismoCar"/>
        </w:rPr>
        <w:t>En similar sentido, ver entre otros</w:t>
      </w:r>
      <w:r w:rsidR="00BD256D" w:rsidRPr="003D49EB">
        <w:rPr>
          <w:rStyle w:val="EnelmismoCar"/>
        </w:rPr>
        <w:t>: Caso Rosendo Cantú y Otras vs. México. Sentencia de 31 de agosto de 2010, párr. 118</w:t>
      </w:r>
      <w:r w:rsidR="00BD256D" w:rsidRPr="003D49EB">
        <w:rPr>
          <w:b/>
          <w:i/>
          <w:szCs w:val="20"/>
        </w:rPr>
        <w:t>.</w:t>
      </w:r>
    </w:p>
    <w:p w14:paraId="39928CBF" w14:textId="77777777" w:rsidR="006023BB" w:rsidRPr="003D49EB" w:rsidRDefault="006023BB" w:rsidP="009A4683">
      <w:pPr>
        <w:spacing w:after="100" w:afterAutospacing="1"/>
        <w:rPr>
          <w:b/>
          <w:bCs/>
          <w:szCs w:val="20"/>
          <w:shd w:val="clear" w:color="auto" w:fill="FFFFFF"/>
        </w:rPr>
      </w:pPr>
      <w:r w:rsidRPr="003D49EB">
        <w:rPr>
          <w:b/>
          <w:bCs/>
          <w:szCs w:val="20"/>
          <w:shd w:val="clear" w:color="auto" w:fill="FFFFFF"/>
        </w:rPr>
        <w:t xml:space="preserve">Corte IDH. Caso Masacres de Río Negro Vs. Guatemala. Excepción Preliminar, Fondo, Reparaciones y Costas. Sentencia de 4 de septiembre de 2012. Serie C No. 250. </w:t>
      </w:r>
    </w:p>
    <w:p w14:paraId="45065CF6" w14:textId="72E0EA89" w:rsidR="00304500" w:rsidRPr="003D49EB" w:rsidRDefault="00D47996" w:rsidP="009A4683">
      <w:pPr>
        <w:spacing w:after="100" w:afterAutospacing="1"/>
        <w:rPr>
          <w:szCs w:val="20"/>
        </w:rPr>
      </w:pPr>
      <w:r w:rsidRPr="003D49EB">
        <w:rPr>
          <w:szCs w:val="20"/>
        </w:rPr>
        <w:t>132.</w:t>
      </w:r>
      <w:r w:rsidRPr="003D49EB">
        <w:rPr>
          <w:szCs w:val="20"/>
        </w:rPr>
        <w:tab/>
        <w:t xml:space="preserve">En relación con el artículo 5 de la Convención, la Corte ha considerado que la violación sexual es una experiencia sumamente traumática que tiene severas consecuencias y causa gran daño físico y psicológico que deja a la víctima “humillada física y emocionalmente”, situación difícilmente superable por el paso del tiempo, a diferencia de lo que acontece en otras experiencias traumáticas. De ello se desprende que es inherente a la violación sexual el sufrimiento severo de la víctima, aun cuando no exista evidencia de lesiones o enfermedades físicas. En efecto, no en todos los casos las consecuencias de una violación sexual serán enfermedades o lesiones corporales. Las mujeres víctimas de violación sexual también experimentan severos daños y secuelas psicológicas, e inclusive, sociales. La Corte también ha establecido que, en determinadas situaciones, la violación sexual también puede constituir una </w:t>
      </w:r>
      <w:r w:rsidR="00304500" w:rsidRPr="003D49EB">
        <w:rPr>
          <w:szCs w:val="20"/>
        </w:rPr>
        <w:t>forma de tortura de la víctima.</w:t>
      </w:r>
    </w:p>
    <w:p w14:paraId="4DB3AD18" w14:textId="77777777" w:rsidR="005821EA" w:rsidRPr="003D49EB" w:rsidRDefault="005821EA" w:rsidP="009A4683">
      <w:pPr>
        <w:pStyle w:val="Prrafodelista"/>
        <w:spacing w:after="100" w:afterAutospacing="1"/>
        <w:ind w:left="0"/>
        <w:rPr>
          <w:b/>
          <w:bCs/>
          <w:szCs w:val="20"/>
          <w:shd w:val="clear" w:color="auto" w:fill="FFFFFF"/>
        </w:rPr>
      </w:pPr>
      <w:r w:rsidRPr="003D49EB">
        <w:rPr>
          <w:b/>
          <w:bCs/>
          <w:szCs w:val="20"/>
          <w:shd w:val="clear" w:color="auto" w:fill="FFFFFF"/>
        </w:rPr>
        <w:t xml:space="preserve">Corte IDH. Caso Espinoza Gonzáles Vs. Perú. Excepciones Preliminares, Fondo, Reparaciones y Costas. Sentencia de 20 de noviembre de 2014. Serie C No. 289. </w:t>
      </w:r>
    </w:p>
    <w:p w14:paraId="1BF068D7" w14:textId="77777777" w:rsidR="005821EA" w:rsidRPr="003D49EB" w:rsidRDefault="005821EA" w:rsidP="009A4683">
      <w:pPr>
        <w:pStyle w:val="Prrafodelista"/>
        <w:spacing w:after="100" w:afterAutospacing="1"/>
        <w:ind w:left="0"/>
        <w:rPr>
          <w:b/>
          <w:bCs/>
          <w:szCs w:val="20"/>
          <w:shd w:val="clear" w:color="auto" w:fill="FFFFFF"/>
        </w:rPr>
      </w:pPr>
    </w:p>
    <w:p w14:paraId="655DD83E" w14:textId="010445A5" w:rsidR="005C5EA3" w:rsidRPr="003D49EB" w:rsidRDefault="005C5EA3" w:rsidP="009A4683">
      <w:pPr>
        <w:pStyle w:val="Prrafodelista"/>
        <w:spacing w:after="100" w:afterAutospacing="1"/>
        <w:ind w:left="0"/>
        <w:rPr>
          <w:rFonts w:eastAsia="ヒラギノ角ゴ Pro W3" w:cs="Tahoma"/>
          <w:spacing w:val="-2"/>
          <w:szCs w:val="20"/>
        </w:rPr>
      </w:pPr>
      <w:r w:rsidRPr="003D49EB">
        <w:rPr>
          <w:spacing w:val="-2"/>
          <w:szCs w:val="20"/>
        </w:rPr>
        <w:t>194.</w:t>
      </w:r>
      <w:r w:rsidRPr="003D49EB">
        <w:rPr>
          <w:spacing w:val="-2"/>
          <w:szCs w:val="20"/>
        </w:rPr>
        <w:tab/>
        <w:t xml:space="preserve">Ahora bien, en cuanto a los actos de naturaleza sexual ocasionados a la señora Espinoza durante su permanencia en la DIVISE y la DINCOTE, la Corte recuerda, </w:t>
      </w:r>
      <w:r w:rsidRPr="003D49EB">
        <w:rPr>
          <w:rFonts w:eastAsia="ヒラギノ角ゴ Pro W3"/>
          <w:spacing w:val="-2"/>
          <w:szCs w:val="20"/>
        </w:rPr>
        <w:t xml:space="preserve">como lo señala la Convención de Belém do Pará, que la violencia </w:t>
      </w:r>
      <w:r w:rsidRPr="003D49EB">
        <w:rPr>
          <w:spacing w:val="-2"/>
          <w:szCs w:val="20"/>
        </w:rPr>
        <w:t>contra</w:t>
      </w:r>
      <w:r w:rsidRPr="003D49EB">
        <w:rPr>
          <w:rFonts w:eastAsia="ヒラギノ角ゴ Pro W3"/>
          <w:spacing w:val="-2"/>
          <w:szCs w:val="20"/>
        </w:rPr>
        <w:t xml:space="preserve"> la mujer no solo </w:t>
      </w:r>
      <w:r w:rsidRPr="003D49EB">
        <w:rPr>
          <w:spacing w:val="-2"/>
          <w:szCs w:val="20"/>
        </w:rPr>
        <w:t>constituye</w:t>
      </w:r>
      <w:r w:rsidRPr="003D49EB">
        <w:rPr>
          <w:rFonts w:eastAsia="ヒラギノ角ゴ Pro W3"/>
          <w:spacing w:val="-2"/>
          <w:szCs w:val="20"/>
        </w:rPr>
        <w:t xml:space="preserve"> una violación de los derechos humanos, sino que es “una ofensa a la dignidad humana y una </w:t>
      </w:r>
      <w:r w:rsidRPr="003D49EB">
        <w:rPr>
          <w:rFonts w:eastAsia="Calibri"/>
          <w:spacing w:val="-2"/>
          <w:szCs w:val="20"/>
        </w:rPr>
        <w:t>manifestación</w:t>
      </w:r>
      <w:r w:rsidRPr="003D49EB">
        <w:rPr>
          <w:rFonts w:eastAsia="ヒラギノ角ゴ Pro W3"/>
          <w:spacing w:val="-2"/>
          <w:szCs w:val="20"/>
        </w:rPr>
        <w:t xml:space="preserve"> de las relaciones de poder históricamente desiguales entre mujeres y hombres”, que “trasciende todos los sectores de la sociedad independientemente de su clase, raza o grupo étnico, nivel de ingresos, cultura, nivel educacional, edad o religión y afecta negativamente sus propias bases”. </w:t>
      </w:r>
    </w:p>
    <w:p w14:paraId="5C3DB310" w14:textId="77777777" w:rsidR="00B23BED" w:rsidRPr="003D49EB" w:rsidRDefault="00B23BED" w:rsidP="009A4683">
      <w:pPr>
        <w:pStyle w:val="Prrafodelista"/>
        <w:spacing w:after="100" w:afterAutospacing="1"/>
        <w:ind w:left="0"/>
        <w:rPr>
          <w:spacing w:val="-2"/>
          <w:szCs w:val="20"/>
        </w:rPr>
      </w:pPr>
    </w:p>
    <w:p w14:paraId="460B6645" w14:textId="77777777" w:rsidR="005C5EA3" w:rsidRPr="003D49EB" w:rsidRDefault="005C5EA3" w:rsidP="009A4683">
      <w:pPr>
        <w:pStyle w:val="Prrafodelista"/>
        <w:spacing w:after="100" w:afterAutospacing="1"/>
        <w:ind w:left="0"/>
        <w:rPr>
          <w:spacing w:val="-2"/>
          <w:szCs w:val="20"/>
        </w:rPr>
      </w:pPr>
      <w:r w:rsidRPr="003D49EB">
        <w:rPr>
          <w:spacing w:val="-2"/>
          <w:szCs w:val="20"/>
        </w:rPr>
        <w:t>195.</w:t>
      </w:r>
      <w:r w:rsidRPr="003D49EB">
        <w:rPr>
          <w:spacing w:val="-2"/>
          <w:szCs w:val="20"/>
        </w:rPr>
        <w:tab/>
        <w:t xml:space="preserve">Siguiendo la línea de la normativa y la jurisprudencia internacionales y tomando en cuenta lo dispuesto en la Convención de </w:t>
      </w:r>
      <w:r w:rsidRPr="003D49EB">
        <w:rPr>
          <w:rFonts w:eastAsia="Calibri"/>
          <w:spacing w:val="-2"/>
          <w:szCs w:val="20"/>
        </w:rPr>
        <w:t>Belém</w:t>
      </w:r>
      <w:r w:rsidRPr="003D49EB">
        <w:rPr>
          <w:spacing w:val="-2"/>
          <w:szCs w:val="20"/>
        </w:rPr>
        <w:t xml:space="preserve"> do Pará, la Corte ha considerado que la violencia sexual se configura con acciones de naturaleza sexual que, además de comprender la invasión física del cuerpo humano, pueden incluir actos que no involucren penetración o incluso contacto físico alguno. En este sentido, en otro caso ante la Corte se estableció que el someter a mujeres a la desnudez forzosa mientras éstas eran constantemente observadas por hombres armados, quienes aparentemente eran miembros de las fuerzas de seguridad del Estad</w:t>
      </w:r>
      <w:r w:rsidR="00B23BED" w:rsidRPr="003D49EB">
        <w:rPr>
          <w:spacing w:val="-2"/>
          <w:szCs w:val="20"/>
        </w:rPr>
        <w:t>o, constituyó violencia sexual.</w:t>
      </w:r>
    </w:p>
    <w:p w14:paraId="3E5F4FC4" w14:textId="77777777" w:rsidR="00B23BED" w:rsidRPr="003D49EB" w:rsidRDefault="00B23BED" w:rsidP="009A4683">
      <w:pPr>
        <w:pStyle w:val="Prrafodelista"/>
        <w:spacing w:after="100" w:afterAutospacing="1"/>
        <w:ind w:left="0"/>
        <w:rPr>
          <w:spacing w:val="-2"/>
          <w:szCs w:val="20"/>
        </w:rPr>
      </w:pPr>
    </w:p>
    <w:p w14:paraId="6983DEDA" w14:textId="77777777" w:rsidR="005C5EA3" w:rsidRPr="003D49EB" w:rsidRDefault="005C5EA3" w:rsidP="009A4683">
      <w:pPr>
        <w:pStyle w:val="Prrafodelista"/>
        <w:spacing w:after="100" w:afterAutospacing="1"/>
        <w:ind w:left="0"/>
        <w:rPr>
          <w:spacing w:val="-2"/>
          <w:szCs w:val="20"/>
        </w:rPr>
      </w:pPr>
      <w:r w:rsidRPr="003D49EB">
        <w:rPr>
          <w:spacing w:val="-2"/>
          <w:szCs w:val="20"/>
        </w:rPr>
        <w:lastRenderedPageBreak/>
        <w:t>196.</w:t>
      </w:r>
      <w:r w:rsidRPr="003D49EB">
        <w:rPr>
          <w:spacing w:val="-2"/>
          <w:szCs w:val="20"/>
        </w:rPr>
        <w:tab/>
        <w:t>Asimismo, siguiendo el criterio jurisprudencial y normativo que impera tanto en el ámbito del Derecho Penal Internacional como en el Derecho Penal comparado, la Corte ha considerado que la violación sexual no implica necesariamente una relación sexual por vía vaginal, como se consideró tradicionalmente. Por violación sexual también debe entenderse actos de penetración vaginal o anal mediante la utilización de otras partes del cuerpo del agresor u objetos, así como la penetración bucal mediante el miembro viril. Al respecto, la Corte aclara que para que un acto sea considerado violación sexual, es suficiente que se produzca una penetración, por insignificante que sea, en los términos antes descritos. Además, se debe entender que la penetración vaginal se refiere a la penetración, con cualquier parte del cuerpo del agresor u objetos, de cualquier orificio genital, incluyendo los labios mayores y menores, así como el orificio vaginal. Esta interpretación es acorde a la concepción de que cualquier tipo de penetración, por insignificante que sea, es suficiente para que un acto sea considerado violación sexual. La Corte entiende que la violación sexual es una forma de violencia sexual.</w:t>
      </w:r>
    </w:p>
    <w:p w14:paraId="03094A6F" w14:textId="77777777" w:rsidR="00B23BED" w:rsidRPr="003D49EB" w:rsidRDefault="00B23BED" w:rsidP="009A4683">
      <w:pPr>
        <w:pStyle w:val="Prrafodelista"/>
        <w:spacing w:after="100" w:afterAutospacing="1"/>
        <w:ind w:left="0"/>
        <w:rPr>
          <w:spacing w:val="-2"/>
          <w:szCs w:val="20"/>
        </w:rPr>
      </w:pPr>
    </w:p>
    <w:p w14:paraId="167933C2" w14:textId="77777777" w:rsidR="005C5EA3" w:rsidRPr="003D49EB" w:rsidRDefault="005C5EA3" w:rsidP="009A4683">
      <w:pPr>
        <w:pStyle w:val="Prrafodelista"/>
        <w:spacing w:after="100" w:afterAutospacing="1"/>
        <w:ind w:left="0"/>
        <w:rPr>
          <w:rFonts w:eastAsia="MS Mincho"/>
          <w:spacing w:val="-2"/>
          <w:szCs w:val="20"/>
        </w:rPr>
      </w:pPr>
      <w:r w:rsidRPr="003D49EB">
        <w:rPr>
          <w:spacing w:val="-2"/>
          <w:szCs w:val="20"/>
        </w:rPr>
        <w:t>197.</w:t>
      </w:r>
      <w:r w:rsidRPr="003D49EB">
        <w:rPr>
          <w:spacing w:val="-2"/>
          <w:szCs w:val="20"/>
        </w:rPr>
        <w:tab/>
        <w:t xml:space="preserve">Adicionalmente, la Corte ha reconocido que la violación sexual es una experiencia sumamente traumática que tiene severas consecuencias y causa gran daño físico y psicológico que deja a la víctima “humillada física y emocionalmente”, situación difícilmente superable por el paso del tiempo, a diferencia de lo que acontece en otras experiencias traumáticas. De ello se desprende que es inherente a la violación sexual el sufrimiento severo de la víctima, aun cuando no exista evidencia de lesiones o enfermedades físicas. En efecto, no en todos los casos las consecuencias de una violación sexual serán enfermedades o lesiones corporales. Las mujeres víctimas de violación sexual también experimentan severos daños y secuelas psicológicas y aun sociales. </w:t>
      </w:r>
    </w:p>
    <w:p w14:paraId="42C34C21" w14:textId="77777777" w:rsidR="00B23BED" w:rsidRPr="003D49EB" w:rsidRDefault="00B23BED" w:rsidP="009A4683">
      <w:pPr>
        <w:pStyle w:val="Prrafodelista"/>
        <w:spacing w:after="100" w:afterAutospacing="1"/>
        <w:ind w:left="0"/>
        <w:rPr>
          <w:rFonts w:eastAsia="MS Mincho"/>
          <w:spacing w:val="-2"/>
          <w:szCs w:val="20"/>
        </w:rPr>
      </w:pPr>
    </w:p>
    <w:p w14:paraId="594C76BD" w14:textId="77777777" w:rsidR="005C5EA3" w:rsidRPr="003D49EB" w:rsidRDefault="005C5EA3" w:rsidP="009A4683">
      <w:pPr>
        <w:pStyle w:val="Prrafodelista"/>
        <w:spacing w:after="100" w:afterAutospacing="1"/>
        <w:ind w:left="0"/>
        <w:rPr>
          <w:spacing w:val="-2"/>
          <w:szCs w:val="20"/>
        </w:rPr>
      </w:pPr>
      <w:r w:rsidRPr="003D49EB">
        <w:rPr>
          <w:spacing w:val="-2"/>
          <w:szCs w:val="20"/>
        </w:rPr>
        <w:t>198.</w:t>
      </w:r>
      <w:r w:rsidRPr="003D49EB">
        <w:rPr>
          <w:spacing w:val="-2"/>
          <w:szCs w:val="20"/>
        </w:rPr>
        <w:tab/>
        <w:t xml:space="preserve">En el presente caso, la Corte ha establecido que, durante su detención en la DIVISE y la DINCOTE en abril y mayo de 1993, Gladys Espinoza fue objeto de desnudez forzosa y manoseos, </w:t>
      </w:r>
      <w:r w:rsidRPr="003D49EB">
        <w:rPr>
          <w:rFonts w:eastAsia="Calibri"/>
          <w:spacing w:val="-2"/>
          <w:szCs w:val="20"/>
        </w:rPr>
        <w:t>le jalaron los senos y los vellos púbicos y</w:t>
      </w:r>
      <w:r w:rsidRPr="003D49EB">
        <w:rPr>
          <w:spacing w:val="-2"/>
          <w:szCs w:val="20"/>
        </w:rPr>
        <w:t xml:space="preserve"> uno de sus agresores inte</w:t>
      </w:r>
      <w:r w:rsidR="003B7C6D" w:rsidRPr="003D49EB">
        <w:rPr>
          <w:spacing w:val="-2"/>
          <w:szCs w:val="20"/>
        </w:rPr>
        <w:t>ntó meterle el pene en su boca […]</w:t>
      </w:r>
      <w:r w:rsidRPr="003D49EB">
        <w:rPr>
          <w:spacing w:val="-2"/>
          <w:szCs w:val="20"/>
        </w:rPr>
        <w:t xml:space="preserve">. Es evidente que, al involucrar los senos y el área genital de la presunta víctima, dichos actos constituyeron violencia sexual. Con relación a los “manoseos” y el intento de forzarla a tener sexo oral, la Corte considera que estos actos implicaron la invasión física del cuerpo de la señora Gladys Espinoza, tomando en cuenta que las víctimas de violencia sexual tienden a utilizar términos poco específicos al momento de realizar sus declaraciones y no explicar gráficamente las particularidades anatómicas de lo sucedido. </w:t>
      </w:r>
      <w:r w:rsidRPr="003D49EB">
        <w:rPr>
          <w:spacing w:val="-2"/>
          <w:szCs w:val="20"/>
          <w:lang w:eastAsia="es-CR"/>
        </w:rPr>
        <w:t>Al respecto, la CVR señaló que “[e]s común que las declarantes utilicen términos confusos o ‘propios’ al momento de describir los actos de violencia sexual a que fueron sometidas” y específicamente se refirió a la utilización del término “manoseos” como una de las formas como las víctimas describían actos de violencia sexual.</w:t>
      </w:r>
      <w:r w:rsidRPr="003D49EB">
        <w:rPr>
          <w:spacing w:val="-2"/>
          <w:szCs w:val="20"/>
        </w:rPr>
        <w:t xml:space="preserve"> Igualmente, la Corte estableció que, durante el período mencionado, la señora Espinoza sufrió</w:t>
      </w:r>
      <w:r w:rsidRPr="003D49EB">
        <w:rPr>
          <w:b/>
          <w:spacing w:val="-2"/>
          <w:szCs w:val="20"/>
        </w:rPr>
        <w:t xml:space="preserve"> </w:t>
      </w:r>
      <w:r w:rsidRPr="003D49EB">
        <w:rPr>
          <w:spacing w:val="-2"/>
          <w:szCs w:val="20"/>
        </w:rPr>
        <w:t xml:space="preserve">penetración vaginal y anal con manos y, en este último caso, también con un objeto </w:t>
      </w:r>
      <w:r w:rsidR="007C1C5F" w:rsidRPr="003D49EB">
        <w:rPr>
          <w:spacing w:val="-2"/>
          <w:szCs w:val="20"/>
        </w:rPr>
        <w:t>[…]</w:t>
      </w:r>
      <w:r w:rsidRPr="003D49EB">
        <w:rPr>
          <w:spacing w:val="-2"/>
          <w:szCs w:val="20"/>
        </w:rPr>
        <w:t>, los cuales constituy</w:t>
      </w:r>
      <w:r w:rsidR="00B23BED" w:rsidRPr="003D49EB">
        <w:rPr>
          <w:spacing w:val="-2"/>
          <w:szCs w:val="20"/>
        </w:rPr>
        <w:t>eron actos de violación sexual.</w:t>
      </w:r>
    </w:p>
    <w:p w14:paraId="657407F3" w14:textId="77777777" w:rsidR="00B23BED" w:rsidRPr="003D49EB" w:rsidRDefault="00B23BED" w:rsidP="009A4683">
      <w:pPr>
        <w:pStyle w:val="Prrafodelista"/>
        <w:spacing w:after="100" w:afterAutospacing="1"/>
        <w:ind w:left="0"/>
        <w:rPr>
          <w:spacing w:val="-2"/>
          <w:szCs w:val="20"/>
        </w:rPr>
      </w:pPr>
    </w:p>
    <w:p w14:paraId="2F61E692" w14:textId="6DE8F2B5" w:rsidR="00E96CD2" w:rsidRPr="003D49EB" w:rsidRDefault="005C5EA3" w:rsidP="009A4683">
      <w:pPr>
        <w:pStyle w:val="Prrafodelista"/>
        <w:spacing w:after="100" w:afterAutospacing="1"/>
        <w:ind w:left="0"/>
        <w:rPr>
          <w:spacing w:val="-2"/>
          <w:szCs w:val="20"/>
        </w:rPr>
      </w:pPr>
      <w:r w:rsidRPr="003D49EB">
        <w:rPr>
          <w:spacing w:val="-2"/>
          <w:szCs w:val="20"/>
        </w:rPr>
        <w:t>199.</w:t>
      </w:r>
      <w:r w:rsidRPr="003D49EB">
        <w:rPr>
          <w:spacing w:val="-2"/>
          <w:szCs w:val="20"/>
        </w:rPr>
        <w:tab/>
        <w:t xml:space="preserve">Finalmente, la Corte considera pertinente recordar, como ya fue establecido en el presente caso, que </w:t>
      </w:r>
      <w:r w:rsidRPr="003D49EB">
        <w:rPr>
          <w:rFonts w:eastAsia="Calibri"/>
          <w:spacing w:val="-2"/>
          <w:szCs w:val="20"/>
        </w:rPr>
        <w:t>una de las formas que tomó la práctica generalizada de tortura fue mediante</w:t>
      </w:r>
      <w:r w:rsidRPr="003D49EB">
        <w:rPr>
          <w:rFonts w:eastAsia="Calibri" w:cs="Verdana"/>
          <w:spacing w:val="-2"/>
          <w:szCs w:val="20"/>
        </w:rPr>
        <w:t xml:space="preserve"> la </w:t>
      </w:r>
      <w:r w:rsidRPr="003D49EB">
        <w:rPr>
          <w:rFonts w:eastAsia="Calibri"/>
          <w:spacing w:val="-2"/>
          <w:szCs w:val="20"/>
        </w:rPr>
        <w:t xml:space="preserve">práctica generalizada </w:t>
      </w:r>
      <w:r w:rsidRPr="003D49EB">
        <w:rPr>
          <w:rFonts w:eastAsia="Calibri" w:cs="Verdana"/>
          <w:spacing w:val="-2"/>
          <w:szCs w:val="20"/>
        </w:rPr>
        <w:t>de</w:t>
      </w:r>
      <w:r w:rsidRPr="003D49EB">
        <w:rPr>
          <w:rFonts w:eastAsia="Calibri"/>
          <w:spacing w:val="-2"/>
          <w:szCs w:val="20"/>
        </w:rPr>
        <w:t xml:space="preserve"> la </w:t>
      </w:r>
      <w:r w:rsidRPr="003D49EB">
        <w:rPr>
          <w:rFonts w:eastAsia="Calibri" w:cs="FPNLKG+TimesNewRoman"/>
          <w:spacing w:val="-2"/>
          <w:szCs w:val="20"/>
        </w:rPr>
        <w:t>violencia sexua</w:t>
      </w:r>
      <w:r w:rsidRPr="003D49EB">
        <w:rPr>
          <w:spacing w:val="-2"/>
          <w:szCs w:val="20"/>
          <w:lang w:eastAsia="es-CR"/>
        </w:rPr>
        <w:t>l contra las mujeres, en particular, por parte de agentes estatales y en contra de mujeres presuntamente involucradas e</w:t>
      </w:r>
      <w:r w:rsidR="003B7C6D" w:rsidRPr="003D49EB">
        <w:rPr>
          <w:spacing w:val="-2"/>
          <w:szCs w:val="20"/>
          <w:lang w:eastAsia="es-CR"/>
        </w:rPr>
        <w:t>n el conflicto armado […]</w:t>
      </w:r>
      <w:r w:rsidRPr="003D49EB">
        <w:rPr>
          <w:rFonts w:eastAsia="Calibri"/>
          <w:spacing w:val="-2"/>
          <w:szCs w:val="20"/>
        </w:rPr>
        <w:t>. Asimismo, la Corte recuerda que la DINCOTE fue señalada especialmente como un espacio donde la violación se</w:t>
      </w:r>
      <w:r w:rsidR="003B7C6D" w:rsidRPr="003D49EB">
        <w:rPr>
          <w:rFonts w:eastAsia="Calibri"/>
          <w:spacing w:val="-2"/>
          <w:szCs w:val="20"/>
        </w:rPr>
        <w:t>xual se produjo reiteradamente […]</w:t>
      </w:r>
      <w:r w:rsidRPr="003D49EB">
        <w:rPr>
          <w:rFonts w:eastAsia="Calibri"/>
          <w:spacing w:val="-2"/>
          <w:szCs w:val="20"/>
        </w:rPr>
        <w:t xml:space="preserve">. Al respecto, la Corte considera que lo sucedido a la señora Espinoza es consistente con dicha práctica generalizada. Al enmarcarse en dicho contexto, la Corte </w:t>
      </w:r>
      <w:r w:rsidRPr="003D49EB">
        <w:rPr>
          <w:spacing w:val="-2"/>
          <w:szCs w:val="20"/>
        </w:rPr>
        <w:t xml:space="preserve">considera que los actos de violencia sexual en contra de Gladys Espinoza también constituyeron actos de tortura cuya prohibición absoluta, se reitera, pertenece hoy día al dominio del </w:t>
      </w:r>
      <w:proofErr w:type="spellStart"/>
      <w:r w:rsidRPr="003D49EB">
        <w:rPr>
          <w:i/>
          <w:spacing w:val="-2"/>
          <w:szCs w:val="20"/>
        </w:rPr>
        <w:t>jus</w:t>
      </w:r>
      <w:proofErr w:type="spellEnd"/>
      <w:r w:rsidRPr="003D49EB">
        <w:rPr>
          <w:i/>
          <w:spacing w:val="-2"/>
          <w:szCs w:val="20"/>
        </w:rPr>
        <w:t xml:space="preserve"> cogens </w:t>
      </w:r>
      <w:r w:rsidR="003B7C6D" w:rsidRPr="003D49EB">
        <w:rPr>
          <w:spacing w:val="-2"/>
          <w:szCs w:val="20"/>
        </w:rPr>
        <w:t>internacional […]</w:t>
      </w:r>
      <w:r w:rsidRPr="003D49EB">
        <w:rPr>
          <w:spacing w:val="-2"/>
          <w:szCs w:val="20"/>
        </w:rPr>
        <w:t xml:space="preserve">. </w:t>
      </w:r>
    </w:p>
    <w:p w14:paraId="3102C935" w14:textId="5F97662A" w:rsidR="00C257FF" w:rsidRDefault="00EA7516" w:rsidP="009A4683">
      <w:pPr>
        <w:pStyle w:val="Caso"/>
      </w:pPr>
      <w:r w:rsidRPr="003D49EB">
        <w:lastRenderedPageBreak/>
        <w:t>Corte IDH. Caso Azul Rojas Marín y otra Vs. Perú. Excepciones Preliminares, Fondo, Reparaciones y Costas. Sentencia de 12 de marzo de 2020. Serie C No. 402.</w:t>
      </w:r>
    </w:p>
    <w:p w14:paraId="4E37436E" w14:textId="77777777" w:rsidR="007276B0" w:rsidRPr="003D49EB" w:rsidRDefault="007276B0" w:rsidP="009A4683">
      <w:pPr>
        <w:pStyle w:val="Caso"/>
      </w:pPr>
    </w:p>
    <w:p w14:paraId="514FBFA9" w14:textId="7CC5AFF8" w:rsidR="00EA7516" w:rsidRPr="003D49EB" w:rsidRDefault="00EA7516" w:rsidP="009A4683">
      <w:pPr>
        <w:pStyle w:val="Prrafodelista"/>
        <w:spacing w:after="100" w:afterAutospacing="1"/>
        <w:ind w:left="0"/>
        <w:rPr>
          <w:spacing w:val="-2"/>
          <w:szCs w:val="20"/>
        </w:rPr>
      </w:pPr>
      <w:r w:rsidRPr="003D49EB">
        <w:rPr>
          <w:spacing w:val="-2"/>
          <w:szCs w:val="20"/>
        </w:rPr>
        <w:t xml:space="preserve">141. Asimismo, en casos que involucran alguna forma de violencia sexual, se ha precisado que las violaciones a la integridad personal conllevan la </w:t>
      </w:r>
      <w:proofErr w:type="spellStart"/>
      <w:r w:rsidRPr="003D49EB">
        <w:rPr>
          <w:spacing w:val="-2"/>
          <w:szCs w:val="20"/>
        </w:rPr>
        <w:t>afectación</w:t>
      </w:r>
      <w:proofErr w:type="spellEnd"/>
      <w:r w:rsidRPr="003D49EB">
        <w:rPr>
          <w:spacing w:val="-2"/>
          <w:szCs w:val="20"/>
        </w:rPr>
        <w:t xml:space="preserve"> de la vida privada de las personas, protegida por el artículo 11 de la Convención, la cual abarca la vida sexual o sexualidad de las personas. La violencia sexual vulnera valores y aspectos esenciales de la vida privada de las personas, supone una </w:t>
      </w:r>
      <w:proofErr w:type="spellStart"/>
      <w:r w:rsidRPr="003D49EB">
        <w:rPr>
          <w:spacing w:val="-2"/>
          <w:szCs w:val="20"/>
        </w:rPr>
        <w:t>intromisión</w:t>
      </w:r>
      <w:proofErr w:type="spellEnd"/>
      <w:r w:rsidRPr="003D49EB">
        <w:rPr>
          <w:spacing w:val="-2"/>
          <w:szCs w:val="20"/>
        </w:rPr>
        <w:t xml:space="preserve"> en su vida sexual y anula su derecho a tomar libremente las decisiones respecto a con quien tener relaciones sexuales, perdiendo de forma completa el control sobre sus decisiones </w:t>
      </w:r>
      <w:proofErr w:type="spellStart"/>
      <w:r w:rsidRPr="003D49EB">
        <w:rPr>
          <w:spacing w:val="-2"/>
          <w:szCs w:val="20"/>
        </w:rPr>
        <w:t>más</w:t>
      </w:r>
      <w:proofErr w:type="spellEnd"/>
      <w:r w:rsidRPr="003D49EB">
        <w:rPr>
          <w:spacing w:val="-2"/>
          <w:szCs w:val="20"/>
        </w:rPr>
        <w:t xml:space="preserve"> personales e </w:t>
      </w:r>
      <w:proofErr w:type="spellStart"/>
      <w:r w:rsidRPr="003D49EB">
        <w:rPr>
          <w:spacing w:val="-2"/>
          <w:szCs w:val="20"/>
        </w:rPr>
        <w:t>íntimas</w:t>
      </w:r>
      <w:proofErr w:type="spellEnd"/>
      <w:r w:rsidRPr="003D49EB">
        <w:rPr>
          <w:spacing w:val="-2"/>
          <w:szCs w:val="20"/>
        </w:rPr>
        <w:t xml:space="preserve">, y sobre las funciones corporales </w:t>
      </w:r>
      <w:proofErr w:type="spellStart"/>
      <w:r w:rsidRPr="003D49EB">
        <w:rPr>
          <w:spacing w:val="-2"/>
          <w:szCs w:val="20"/>
        </w:rPr>
        <w:t>básicas</w:t>
      </w:r>
      <w:proofErr w:type="spellEnd"/>
      <w:r w:rsidRPr="003D49EB">
        <w:rPr>
          <w:spacing w:val="-2"/>
          <w:szCs w:val="20"/>
        </w:rPr>
        <w:t>.</w:t>
      </w:r>
    </w:p>
    <w:p w14:paraId="5E69DB20" w14:textId="77777777" w:rsidR="00EA7516" w:rsidRPr="003D49EB" w:rsidRDefault="00EA7516" w:rsidP="009A4683">
      <w:pPr>
        <w:pStyle w:val="Prrafodelista"/>
        <w:spacing w:after="100" w:afterAutospacing="1"/>
        <w:ind w:left="0"/>
        <w:rPr>
          <w:spacing w:val="-2"/>
          <w:szCs w:val="20"/>
        </w:rPr>
      </w:pPr>
    </w:p>
    <w:p w14:paraId="39AC79FC" w14:textId="0F5DA0E1" w:rsidR="00EA7516" w:rsidRPr="003D49EB" w:rsidRDefault="00EA7516" w:rsidP="009A4683">
      <w:pPr>
        <w:pStyle w:val="Prrafodelista"/>
        <w:spacing w:after="100" w:afterAutospacing="1"/>
        <w:ind w:left="0"/>
        <w:rPr>
          <w:spacing w:val="-2"/>
          <w:szCs w:val="20"/>
        </w:rPr>
      </w:pPr>
      <w:r w:rsidRPr="003D49EB">
        <w:rPr>
          <w:spacing w:val="-2"/>
          <w:szCs w:val="20"/>
        </w:rPr>
        <w:t xml:space="preserve">142. Asimismo, ha considerado que la </w:t>
      </w:r>
      <w:proofErr w:type="spellStart"/>
      <w:r w:rsidRPr="003D49EB">
        <w:rPr>
          <w:spacing w:val="-2"/>
          <w:szCs w:val="20"/>
        </w:rPr>
        <w:t>violación</w:t>
      </w:r>
      <w:proofErr w:type="spellEnd"/>
      <w:r w:rsidRPr="003D49EB">
        <w:rPr>
          <w:spacing w:val="-2"/>
          <w:szCs w:val="20"/>
        </w:rPr>
        <w:t xml:space="preserve"> sexual es cualquier acto de </w:t>
      </w:r>
      <w:proofErr w:type="spellStart"/>
      <w:r w:rsidRPr="003D49EB">
        <w:rPr>
          <w:spacing w:val="-2"/>
          <w:szCs w:val="20"/>
        </w:rPr>
        <w:t>penetración</w:t>
      </w:r>
      <w:proofErr w:type="spellEnd"/>
      <w:r w:rsidRPr="003D49EB">
        <w:rPr>
          <w:spacing w:val="-2"/>
          <w:szCs w:val="20"/>
        </w:rPr>
        <w:t xml:space="preserve"> vaginal o anal, sin consentimiento de la </w:t>
      </w:r>
      <w:proofErr w:type="spellStart"/>
      <w:r w:rsidRPr="003D49EB">
        <w:rPr>
          <w:spacing w:val="-2"/>
          <w:szCs w:val="20"/>
        </w:rPr>
        <w:t>víctima</w:t>
      </w:r>
      <w:proofErr w:type="spellEnd"/>
      <w:r w:rsidRPr="003D49EB">
        <w:rPr>
          <w:spacing w:val="-2"/>
          <w:szCs w:val="20"/>
        </w:rPr>
        <w:t xml:space="preserve">, mediante la </w:t>
      </w:r>
      <w:proofErr w:type="spellStart"/>
      <w:r w:rsidRPr="003D49EB">
        <w:rPr>
          <w:spacing w:val="-2"/>
          <w:szCs w:val="20"/>
        </w:rPr>
        <w:t>utilización</w:t>
      </w:r>
      <w:proofErr w:type="spellEnd"/>
      <w:r w:rsidRPr="003D49EB">
        <w:rPr>
          <w:spacing w:val="-2"/>
          <w:szCs w:val="20"/>
        </w:rPr>
        <w:t xml:space="preserve"> de otras partes del cuerpo del agresor u objetos, </w:t>
      </w:r>
      <w:proofErr w:type="spellStart"/>
      <w:r w:rsidRPr="003D49EB">
        <w:rPr>
          <w:spacing w:val="-2"/>
          <w:szCs w:val="20"/>
        </w:rPr>
        <w:t>asi</w:t>
      </w:r>
      <w:proofErr w:type="spellEnd"/>
      <w:r w:rsidRPr="003D49EB">
        <w:rPr>
          <w:spacing w:val="-2"/>
          <w:szCs w:val="20"/>
        </w:rPr>
        <w:t xml:space="preserve">́ como la </w:t>
      </w:r>
      <w:proofErr w:type="spellStart"/>
      <w:r w:rsidRPr="003D49EB">
        <w:rPr>
          <w:spacing w:val="-2"/>
          <w:szCs w:val="20"/>
        </w:rPr>
        <w:t>penetración</w:t>
      </w:r>
      <w:proofErr w:type="spellEnd"/>
      <w:r w:rsidRPr="003D49EB">
        <w:rPr>
          <w:spacing w:val="-2"/>
          <w:szCs w:val="20"/>
        </w:rPr>
        <w:t xml:space="preserve"> bucal mediante el miembro viril.</w:t>
      </w:r>
    </w:p>
    <w:p w14:paraId="4071D59F" w14:textId="77777777" w:rsidR="00EA7516" w:rsidRPr="003D49EB" w:rsidRDefault="00EA7516" w:rsidP="009A4683">
      <w:pPr>
        <w:pStyle w:val="Prrafodelista"/>
        <w:spacing w:after="100" w:afterAutospacing="1"/>
        <w:ind w:left="0"/>
        <w:rPr>
          <w:spacing w:val="-2"/>
          <w:szCs w:val="20"/>
        </w:rPr>
      </w:pPr>
    </w:p>
    <w:p w14:paraId="7DE28680" w14:textId="46FCBC9F" w:rsidR="00EA7516" w:rsidRPr="003D49EB" w:rsidRDefault="00EA7516" w:rsidP="009A4683">
      <w:pPr>
        <w:pStyle w:val="Prrafodelista"/>
        <w:spacing w:after="100" w:afterAutospacing="1"/>
        <w:ind w:left="0"/>
        <w:rPr>
          <w:spacing w:val="-2"/>
          <w:szCs w:val="20"/>
        </w:rPr>
      </w:pPr>
      <w:r w:rsidRPr="003D49EB">
        <w:rPr>
          <w:spacing w:val="-2"/>
          <w:szCs w:val="20"/>
        </w:rPr>
        <w:t xml:space="preserve">143. Adicionalmente, se advierte que en este caso las obligaciones generales que se derivan de los </w:t>
      </w:r>
      <w:proofErr w:type="spellStart"/>
      <w:r w:rsidRPr="003D49EB">
        <w:rPr>
          <w:spacing w:val="-2"/>
          <w:szCs w:val="20"/>
        </w:rPr>
        <w:t>artículos</w:t>
      </w:r>
      <w:proofErr w:type="spellEnd"/>
      <w:r w:rsidRPr="003D49EB">
        <w:rPr>
          <w:spacing w:val="-2"/>
          <w:szCs w:val="20"/>
        </w:rPr>
        <w:t xml:space="preserve"> 5 y 11 de la Convención Americana son reforzadas por las obligaciones </w:t>
      </w:r>
      <w:proofErr w:type="spellStart"/>
      <w:r w:rsidRPr="003D49EB">
        <w:rPr>
          <w:spacing w:val="-2"/>
          <w:szCs w:val="20"/>
        </w:rPr>
        <w:t>específicas</w:t>
      </w:r>
      <w:proofErr w:type="spellEnd"/>
      <w:r w:rsidRPr="003D49EB">
        <w:rPr>
          <w:spacing w:val="-2"/>
          <w:szCs w:val="20"/>
        </w:rPr>
        <w:t xml:space="preserve"> derivadas de la Convención Interamericana para Prevenir y Sancionar la Tortura. Los </w:t>
      </w:r>
      <w:proofErr w:type="spellStart"/>
      <w:r w:rsidRPr="003D49EB">
        <w:rPr>
          <w:spacing w:val="-2"/>
          <w:szCs w:val="20"/>
        </w:rPr>
        <w:t>artículos</w:t>
      </w:r>
      <w:proofErr w:type="spellEnd"/>
      <w:r w:rsidRPr="003D49EB">
        <w:rPr>
          <w:spacing w:val="-2"/>
          <w:szCs w:val="20"/>
        </w:rPr>
        <w:t xml:space="preserve"> 1 y 6 de esta Convención Interamericana, refuerzan la </w:t>
      </w:r>
      <w:proofErr w:type="spellStart"/>
      <w:r w:rsidRPr="003D49EB">
        <w:rPr>
          <w:spacing w:val="-2"/>
          <w:szCs w:val="20"/>
        </w:rPr>
        <w:t>prohibición</w:t>
      </w:r>
      <w:proofErr w:type="spellEnd"/>
      <w:r w:rsidRPr="003D49EB">
        <w:rPr>
          <w:spacing w:val="-2"/>
          <w:szCs w:val="20"/>
        </w:rPr>
        <w:t xml:space="preserve"> absoluta de la tortura y las obligaciones del Estados para prevenir y sancionar todo acto o intento de tortura y otros tratos crueles, inhumanos y degradantes en el </w:t>
      </w:r>
      <w:proofErr w:type="spellStart"/>
      <w:r w:rsidRPr="003D49EB">
        <w:rPr>
          <w:spacing w:val="-2"/>
          <w:szCs w:val="20"/>
        </w:rPr>
        <w:t>ámbito</w:t>
      </w:r>
      <w:proofErr w:type="spellEnd"/>
      <w:r w:rsidRPr="003D49EB">
        <w:rPr>
          <w:spacing w:val="-2"/>
          <w:szCs w:val="20"/>
        </w:rPr>
        <w:t xml:space="preserve"> de su </w:t>
      </w:r>
      <w:proofErr w:type="spellStart"/>
      <w:r w:rsidRPr="003D49EB">
        <w:rPr>
          <w:spacing w:val="-2"/>
          <w:szCs w:val="20"/>
        </w:rPr>
        <w:t>jurisdicción</w:t>
      </w:r>
      <w:proofErr w:type="spellEnd"/>
      <w:r w:rsidRPr="003D49EB">
        <w:rPr>
          <w:spacing w:val="-2"/>
          <w:szCs w:val="20"/>
        </w:rPr>
        <w:t>.</w:t>
      </w:r>
    </w:p>
    <w:p w14:paraId="68DCFF98" w14:textId="01465046" w:rsidR="00EA7516" w:rsidRPr="003D49EB" w:rsidRDefault="00EA7516" w:rsidP="009A4683">
      <w:pPr>
        <w:pStyle w:val="Prrafodelista"/>
        <w:spacing w:after="100" w:afterAutospacing="1"/>
        <w:ind w:left="0"/>
        <w:rPr>
          <w:spacing w:val="-2"/>
          <w:szCs w:val="20"/>
        </w:rPr>
      </w:pPr>
    </w:p>
    <w:p w14:paraId="0182500C" w14:textId="23C29B2C" w:rsidR="00EA7516" w:rsidRPr="003D49EB" w:rsidRDefault="00EA7516" w:rsidP="009A4683">
      <w:pPr>
        <w:pStyle w:val="Prrafodelista"/>
        <w:spacing w:after="100" w:afterAutospacing="1"/>
        <w:ind w:left="0"/>
        <w:rPr>
          <w:spacing w:val="-2"/>
          <w:szCs w:val="20"/>
        </w:rPr>
      </w:pPr>
      <w:r w:rsidRPr="003D49EB">
        <w:rPr>
          <w:spacing w:val="-2"/>
          <w:szCs w:val="20"/>
        </w:rPr>
        <w:t>[...]</w:t>
      </w:r>
    </w:p>
    <w:p w14:paraId="7BC7AE50" w14:textId="36773045" w:rsidR="00EA7516" w:rsidRPr="003D49EB" w:rsidRDefault="00EA7516" w:rsidP="009A4683">
      <w:pPr>
        <w:pStyle w:val="Prrafodelista"/>
        <w:spacing w:after="100" w:afterAutospacing="1"/>
        <w:ind w:left="0"/>
        <w:rPr>
          <w:spacing w:val="-2"/>
          <w:szCs w:val="20"/>
        </w:rPr>
      </w:pPr>
    </w:p>
    <w:p w14:paraId="15838EA0" w14:textId="1106EA83" w:rsidR="00EA7516" w:rsidRPr="003D49EB" w:rsidRDefault="00EA7516" w:rsidP="009A4683">
      <w:pPr>
        <w:pStyle w:val="Prrafodelista"/>
        <w:spacing w:after="100" w:afterAutospacing="1"/>
        <w:ind w:left="0"/>
        <w:rPr>
          <w:spacing w:val="-2"/>
          <w:szCs w:val="20"/>
        </w:rPr>
      </w:pPr>
      <w:r w:rsidRPr="003D49EB">
        <w:rPr>
          <w:spacing w:val="-2"/>
          <w:szCs w:val="20"/>
        </w:rPr>
        <w:t xml:space="preserve">157. En virtud de todas las consideraciones anteriores, la Corte encuentra suficientemente acreditado que, durante la </w:t>
      </w:r>
      <w:proofErr w:type="spellStart"/>
      <w:r w:rsidRPr="003D49EB">
        <w:rPr>
          <w:spacing w:val="-2"/>
          <w:szCs w:val="20"/>
        </w:rPr>
        <w:t>detención</w:t>
      </w:r>
      <w:proofErr w:type="spellEnd"/>
      <w:r w:rsidRPr="003D49EB">
        <w:rPr>
          <w:spacing w:val="-2"/>
          <w:szCs w:val="20"/>
        </w:rPr>
        <w:t xml:space="preserve">, la </w:t>
      </w:r>
      <w:proofErr w:type="spellStart"/>
      <w:r w:rsidRPr="003D49EB">
        <w:rPr>
          <w:spacing w:val="-2"/>
          <w:szCs w:val="20"/>
        </w:rPr>
        <w:t>señora</w:t>
      </w:r>
      <w:proofErr w:type="spellEnd"/>
      <w:r w:rsidRPr="003D49EB">
        <w:rPr>
          <w:spacing w:val="-2"/>
          <w:szCs w:val="20"/>
        </w:rPr>
        <w:t xml:space="preserve"> Rojas </w:t>
      </w:r>
      <w:proofErr w:type="spellStart"/>
      <w:r w:rsidRPr="003D49EB">
        <w:rPr>
          <w:spacing w:val="-2"/>
          <w:szCs w:val="20"/>
        </w:rPr>
        <w:t>Marín</w:t>
      </w:r>
      <w:proofErr w:type="spellEnd"/>
      <w:r w:rsidRPr="003D49EB">
        <w:rPr>
          <w:spacing w:val="-2"/>
          <w:szCs w:val="20"/>
        </w:rPr>
        <w:t xml:space="preserve"> fue desnudada forzosamente, golpeada en varias oportunidades, los agentes estatales realizaron comentarios despectivos sobre su </w:t>
      </w:r>
      <w:proofErr w:type="spellStart"/>
      <w:r w:rsidRPr="003D49EB">
        <w:rPr>
          <w:spacing w:val="-2"/>
          <w:szCs w:val="20"/>
        </w:rPr>
        <w:t>orientación</w:t>
      </w:r>
      <w:proofErr w:type="spellEnd"/>
      <w:r w:rsidRPr="003D49EB">
        <w:rPr>
          <w:spacing w:val="-2"/>
          <w:szCs w:val="20"/>
        </w:rPr>
        <w:t xml:space="preserve"> sexual, y fue </w:t>
      </w:r>
      <w:proofErr w:type="spellStart"/>
      <w:r w:rsidRPr="003D49EB">
        <w:rPr>
          <w:spacing w:val="-2"/>
          <w:szCs w:val="20"/>
        </w:rPr>
        <w:t>víctima</w:t>
      </w:r>
      <w:proofErr w:type="spellEnd"/>
      <w:r w:rsidRPr="003D49EB">
        <w:rPr>
          <w:spacing w:val="-2"/>
          <w:szCs w:val="20"/>
        </w:rPr>
        <w:t xml:space="preserve"> de </w:t>
      </w:r>
      <w:proofErr w:type="spellStart"/>
      <w:r w:rsidRPr="003D49EB">
        <w:rPr>
          <w:spacing w:val="-2"/>
          <w:szCs w:val="20"/>
        </w:rPr>
        <w:t>violación</w:t>
      </w:r>
      <w:proofErr w:type="spellEnd"/>
      <w:r w:rsidRPr="003D49EB">
        <w:rPr>
          <w:spacing w:val="-2"/>
          <w:szCs w:val="20"/>
        </w:rPr>
        <w:t xml:space="preserve"> sexual ya que en dos oportunidades le introdujeron una vara policial en el ano. Dicha </w:t>
      </w:r>
      <w:proofErr w:type="spellStart"/>
      <w:r w:rsidRPr="003D49EB">
        <w:rPr>
          <w:spacing w:val="-2"/>
          <w:szCs w:val="20"/>
        </w:rPr>
        <w:t>determinación</w:t>
      </w:r>
      <w:proofErr w:type="spellEnd"/>
      <w:r w:rsidRPr="003D49EB">
        <w:rPr>
          <w:spacing w:val="-2"/>
          <w:szCs w:val="20"/>
        </w:rPr>
        <w:t xml:space="preserve"> se basa en: (1) las declaraciones de la </w:t>
      </w:r>
      <w:proofErr w:type="spellStart"/>
      <w:r w:rsidRPr="003D49EB">
        <w:rPr>
          <w:spacing w:val="-2"/>
          <w:szCs w:val="20"/>
        </w:rPr>
        <w:t>señora</w:t>
      </w:r>
      <w:proofErr w:type="spellEnd"/>
      <w:r w:rsidRPr="003D49EB">
        <w:rPr>
          <w:spacing w:val="-2"/>
          <w:szCs w:val="20"/>
        </w:rPr>
        <w:t xml:space="preserve"> Rojas </w:t>
      </w:r>
      <w:proofErr w:type="spellStart"/>
      <w:r w:rsidRPr="003D49EB">
        <w:rPr>
          <w:spacing w:val="-2"/>
          <w:szCs w:val="20"/>
        </w:rPr>
        <w:t>Marín</w:t>
      </w:r>
      <w:proofErr w:type="spellEnd"/>
      <w:r w:rsidRPr="003D49EB">
        <w:rPr>
          <w:spacing w:val="-2"/>
          <w:szCs w:val="20"/>
        </w:rPr>
        <w:t xml:space="preserve">; (2) los </w:t>
      </w:r>
      <w:proofErr w:type="spellStart"/>
      <w:r w:rsidRPr="003D49EB">
        <w:rPr>
          <w:spacing w:val="-2"/>
          <w:szCs w:val="20"/>
        </w:rPr>
        <w:t>exámenes</w:t>
      </w:r>
      <w:proofErr w:type="spellEnd"/>
      <w:r w:rsidRPr="003D49EB">
        <w:rPr>
          <w:spacing w:val="-2"/>
          <w:szCs w:val="20"/>
        </w:rPr>
        <w:t xml:space="preserve"> </w:t>
      </w:r>
      <w:proofErr w:type="spellStart"/>
      <w:r w:rsidRPr="003D49EB">
        <w:rPr>
          <w:spacing w:val="-2"/>
          <w:szCs w:val="20"/>
        </w:rPr>
        <w:t>médicos</w:t>
      </w:r>
      <w:proofErr w:type="spellEnd"/>
      <w:r w:rsidRPr="003D49EB">
        <w:rPr>
          <w:spacing w:val="-2"/>
          <w:szCs w:val="20"/>
        </w:rPr>
        <w:t xml:space="preserve"> realizado a la </w:t>
      </w:r>
      <w:proofErr w:type="spellStart"/>
      <w:r w:rsidRPr="003D49EB">
        <w:rPr>
          <w:spacing w:val="-2"/>
          <w:szCs w:val="20"/>
        </w:rPr>
        <w:t>señora</w:t>
      </w:r>
      <w:proofErr w:type="spellEnd"/>
      <w:r w:rsidRPr="003D49EB">
        <w:rPr>
          <w:spacing w:val="-2"/>
          <w:szCs w:val="20"/>
        </w:rPr>
        <w:t xml:space="preserve"> Rojas </w:t>
      </w:r>
      <w:proofErr w:type="spellStart"/>
      <w:r w:rsidRPr="003D49EB">
        <w:rPr>
          <w:spacing w:val="-2"/>
          <w:szCs w:val="20"/>
        </w:rPr>
        <w:t>Marín</w:t>
      </w:r>
      <w:proofErr w:type="spellEnd"/>
      <w:r w:rsidRPr="003D49EB">
        <w:rPr>
          <w:spacing w:val="-2"/>
          <w:szCs w:val="20"/>
        </w:rPr>
        <w:t xml:space="preserve">, y (3) el dictamen pericial de la vestimenta de la presunta </w:t>
      </w:r>
      <w:proofErr w:type="spellStart"/>
      <w:r w:rsidRPr="003D49EB">
        <w:rPr>
          <w:spacing w:val="-2"/>
          <w:szCs w:val="20"/>
        </w:rPr>
        <w:t>víctima</w:t>
      </w:r>
      <w:proofErr w:type="spellEnd"/>
      <w:r w:rsidRPr="003D49EB">
        <w:rPr>
          <w:spacing w:val="-2"/>
          <w:szCs w:val="20"/>
        </w:rPr>
        <w:t xml:space="preserve">. Adicionalmente, la Corte recuerda que la </w:t>
      </w:r>
      <w:proofErr w:type="spellStart"/>
      <w:r w:rsidRPr="003D49EB">
        <w:rPr>
          <w:spacing w:val="-2"/>
          <w:szCs w:val="20"/>
        </w:rPr>
        <w:t>detención</w:t>
      </w:r>
      <w:proofErr w:type="spellEnd"/>
      <w:r w:rsidRPr="003D49EB">
        <w:rPr>
          <w:spacing w:val="-2"/>
          <w:szCs w:val="20"/>
        </w:rPr>
        <w:t xml:space="preserve"> de la </w:t>
      </w:r>
      <w:proofErr w:type="spellStart"/>
      <w:r w:rsidRPr="003D49EB">
        <w:rPr>
          <w:spacing w:val="-2"/>
          <w:szCs w:val="20"/>
        </w:rPr>
        <w:t>señora</w:t>
      </w:r>
      <w:proofErr w:type="spellEnd"/>
      <w:r w:rsidRPr="003D49EB">
        <w:rPr>
          <w:spacing w:val="-2"/>
          <w:szCs w:val="20"/>
        </w:rPr>
        <w:t xml:space="preserve"> Rojas </w:t>
      </w:r>
      <w:proofErr w:type="spellStart"/>
      <w:r w:rsidRPr="003D49EB">
        <w:rPr>
          <w:spacing w:val="-2"/>
          <w:szCs w:val="20"/>
        </w:rPr>
        <w:t>Marín</w:t>
      </w:r>
      <w:proofErr w:type="spellEnd"/>
      <w:r w:rsidRPr="003D49EB">
        <w:rPr>
          <w:spacing w:val="-2"/>
          <w:szCs w:val="20"/>
        </w:rPr>
        <w:t xml:space="preserve"> se realizó sin que se cumplieran con los requisitos legales, incluyendo la obligación de registrar la </w:t>
      </w:r>
      <w:proofErr w:type="spellStart"/>
      <w:r w:rsidRPr="003D49EB">
        <w:rPr>
          <w:spacing w:val="-2"/>
          <w:szCs w:val="20"/>
        </w:rPr>
        <w:t>detención</w:t>
      </w:r>
      <w:proofErr w:type="spellEnd"/>
      <w:r w:rsidRPr="003D49EB">
        <w:rPr>
          <w:spacing w:val="-2"/>
          <w:szCs w:val="20"/>
        </w:rPr>
        <w:t xml:space="preserve">, y que esta </w:t>
      </w:r>
      <w:proofErr w:type="spellStart"/>
      <w:r w:rsidRPr="003D49EB">
        <w:rPr>
          <w:spacing w:val="-2"/>
          <w:szCs w:val="20"/>
        </w:rPr>
        <w:t>detención</w:t>
      </w:r>
      <w:proofErr w:type="spellEnd"/>
      <w:r w:rsidRPr="003D49EB">
        <w:rPr>
          <w:spacing w:val="-2"/>
          <w:szCs w:val="20"/>
        </w:rPr>
        <w:t xml:space="preserve"> fue realizada con fines discriminatorios </w:t>
      </w:r>
      <w:r w:rsidR="00632C28">
        <w:rPr>
          <w:spacing w:val="-2"/>
          <w:szCs w:val="20"/>
        </w:rPr>
        <w:t>[...]</w:t>
      </w:r>
      <w:r w:rsidRPr="003D49EB">
        <w:rPr>
          <w:spacing w:val="-2"/>
          <w:szCs w:val="20"/>
        </w:rPr>
        <w:t xml:space="preserve">. Estas condiciones en las que se realizó la </w:t>
      </w:r>
      <w:proofErr w:type="spellStart"/>
      <w:r w:rsidRPr="003D49EB">
        <w:rPr>
          <w:spacing w:val="-2"/>
          <w:szCs w:val="20"/>
        </w:rPr>
        <w:t>detención</w:t>
      </w:r>
      <w:proofErr w:type="spellEnd"/>
      <w:r w:rsidRPr="003D49EB">
        <w:rPr>
          <w:spacing w:val="-2"/>
          <w:szCs w:val="20"/>
        </w:rPr>
        <w:t xml:space="preserve"> favorecen la </w:t>
      </w:r>
      <w:proofErr w:type="spellStart"/>
      <w:r w:rsidRPr="003D49EB">
        <w:rPr>
          <w:spacing w:val="-2"/>
          <w:szCs w:val="20"/>
        </w:rPr>
        <w:t>conclusión</w:t>
      </w:r>
      <w:proofErr w:type="spellEnd"/>
      <w:r w:rsidRPr="003D49EB">
        <w:rPr>
          <w:spacing w:val="-2"/>
          <w:szCs w:val="20"/>
        </w:rPr>
        <w:t xml:space="preserve"> de la ocurrencia de los malos tratos alegados por la presunta </w:t>
      </w:r>
      <w:proofErr w:type="spellStart"/>
      <w:r w:rsidRPr="003D49EB">
        <w:rPr>
          <w:spacing w:val="-2"/>
          <w:szCs w:val="20"/>
        </w:rPr>
        <w:t>víctima</w:t>
      </w:r>
      <w:proofErr w:type="spellEnd"/>
      <w:r w:rsidRPr="003D49EB">
        <w:rPr>
          <w:spacing w:val="-2"/>
          <w:szCs w:val="20"/>
        </w:rPr>
        <w:t>.</w:t>
      </w:r>
    </w:p>
    <w:p w14:paraId="6B71D831" w14:textId="097FCD9C" w:rsidR="00EA7516" w:rsidRPr="003D49EB" w:rsidRDefault="00EA7516" w:rsidP="009A4683">
      <w:pPr>
        <w:pStyle w:val="Prrafodelista"/>
        <w:spacing w:after="100" w:afterAutospacing="1"/>
        <w:ind w:left="0"/>
        <w:rPr>
          <w:spacing w:val="-2"/>
          <w:szCs w:val="20"/>
        </w:rPr>
      </w:pPr>
    </w:p>
    <w:p w14:paraId="06FF8C41" w14:textId="553BAF1A" w:rsidR="00EA7516" w:rsidRPr="003D49EB" w:rsidRDefault="00EA7516" w:rsidP="009A4683">
      <w:pPr>
        <w:pStyle w:val="Prrafodelista"/>
        <w:spacing w:after="100" w:afterAutospacing="1"/>
        <w:ind w:left="0"/>
        <w:rPr>
          <w:spacing w:val="-2"/>
          <w:szCs w:val="20"/>
        </w:rPr>
      </w:pPr>
      <w:r w:rsidRPr="003D49EB">
        <w:rPr>
          <w:spacing w:val="-2"/>
          <w:szCs w:val="20"/>
        </w:rPr>
        <w:t>[...]</w:t>
      </w:r>
    </w:p>
    <w:p w14:paraId="6DB96071" w14:textId="7BB5D3BF" w:rsidR="00EA7516" w:rsidRPr="003D49EB" w:rsidRDefault="00EA7516" w:rsidP="009A4683">
      <w:pPr>
        <w:pStyle w:val="Prrafodelista"/>
        <w:spacing w:after="100" w:afterAutospacing="1"/>
        <w:ind w:left="0"/>
        <w:rPr>
          <w:spacing w:val="-2"/>
          <w:szCs w:val="20"/>
        </w:rPr>
      </w:pPr>
    </w:p>
    <w:p w14:paraId="44667F6C" w14:textId="1E268B56" w:rsidR="00EA7516" w:rsidRPr="003D49EB" w:rsidRDefault="00EA7516" w:rsidP="009A4683">
      <w:pPr>
        <w:pStyle w:val="Prrafodelista"/>
        <w:spacing w:after="100" w:afterAutospacing="1"/>
        <w:ind w:left="0"/>
        <w:rPr>
          <w:spacing w:val="-2"/>
          <w:szCs w:val="20"/>
        </w:rPr>
      </w:pPr>
      <w:r w:rsidRPr="003D49EB">
        <w:rPr>
          <w:spacing w:val="-2"/>
          <w:szCs w:val="20"/>
        </w:rPr>
        <w:t xml:space="preserve">160. La Corte ha entendido que, a la luz del artículo 5.2 de la Convención “tortura” es todo acto de maltrato que: i) sea intencional; ii) cause severos sufrimientos </w:t>
      </w:r>
      <w:proofErr w:type="spellStart"/>
      <w:r w:rsidRPr="003D49EB">
        <w:rPr>
          <w:spacing w:val="-2"/>
          <w:szCs w:val="20"/>
        </w:rPr>
        <w:t>físicos</w:t>
      </w:r>
      <w:proofErr w:type="spellEnd"/>
      <w:r w:rsidRPr="003D49EB">
        <w:rPr>
          <w:spacing w:val="-2"/>
          <w:szCs w:val="20"/>
        </w:rPr>
        <w:t xml:space="preserve"> o mentales, y iii) se cometa con cualquier fin o </w:t>
      </w:r>
      <w:proofErr w:type="spellStart"/>
      <w:r w:rsidRPr="003D49EB">
        <w:rPr>
          <w:spacing w:val="-2"/>
          <w:szCs w:val="20"/>
        </w:rPr>
        <w:t>propósito</w:t>
      </w:r>
      <w:proofErr w:type="spellEnd"/>
      <w:r w:rsidRPr="003D49EB">
        <w:rPr>
          <w:spacing w:val="-2"/>
          <w:szCs w:val="20"/>
        </w:rPr>
        <w:t xml:space="preserve">. Asimismo, el Tribunal ha reconocido que las amenazas y el peligro real de someter a una persona a graves lesiones </w:t>
      </w:r>
      <w:proofErr w:type="spellStart"/>
      <w:r w:rsidRPr="003D49EB">
        <w:rPr>
          <w:spacing w:val="-2"/>
          <w:szCs w:val="20"/>
        </w:rPr>
        <w:t>físicas</w:t>
      </w:r>
      <w:proofErr w:type="spellEnd"/>
      <w:r w:rsidRPr="003D49EB">
        <w:rPr>
          <w:spacing w:val="-2"/>
          <w:szCs w:val="20"/>
        </w:rPr>
        <w:t xml:space="preserve"> produce, en determinadas circunstancias, una angustia moral de tal grado que puede ser considerada “tortura </w:t>
      </w:r>
      <w:proofErr w:type="spellStart"/>
      <w:r w:rsidRPr="003D49EB">
        <w:rPr>
          <w:spacing w:val="-2"/>
          <w:szCs w:val="20"/>
        </w:rPr>
        <w:t>psicológica</w:t>
      </w:r>
      <w:proofErr w:type="spellEnd"/>
      <w:r w:rsidRPr="003D49EB">
        <w:rPr>
          <w:spacing w:val="-2"/>
          <w:szCs w:val="20"/>
        </w:rPr>
        <w:t xml:space="preserve">. De igual manera, la Corte ha reiterado que la </w:t>
      </w:r>
      <w:proofErr w:type="spellStart"/>
      <w:r w:rsidRPr="003D49EB">
        <w:rPr>
          <w:spacing w:val="-2"/>
          <w:szCs w:val="20"/>
        </w:rPr>
        <w:t>violación</w:t>
      </w:r>
      <w:proofErr w:type="spellEnd"/>
      <w:r w:rsidRPr="003D49EB">
        <w:rPr>
          <w:spacing w:val="-2"/>
          <w:szCs w:val="20"/>
        </w:rPr>
        <w:t xml:space="preserve"> y otras formas de violencia sexual pueden configurar tratos crueles, inhumanos o degradantes, e incluso actos de tortura si se satisfacen los elementos de la </w:t>
      </w:r>
      <w:proofErr w:type="spellStart"/>
      <w:r w:rsidRPr="003D49EB">
        <w:rPr>
          <w:spacing w:val="-2"/>
          <w:szCs w:val="20"/>
        </w:rPr>
        <w:t>definición</w:t>
      </w:r>
      <w:proofErr w:type="spellEnd"/>
      <w:r w:rsidRPr="003D49EB">
        <w:rPr>
          <w:spacing w:val="-2"/>
          <w:szCs w:val="20"/>
        </w:rPr>
        <w:t xml:space="preserve">. Para calificar una </w:t>
      </w:r>
      <w:proofErr w:type="spellStart"/>
      <w:r w:rsidRPr="003D49EB">
        <w:rPr>
          <w:spacing w:val="-2"/>
          <w:szCs w:val="20"/>
        </w:rPr>
        <w:t>violación</w:t>
      </w:r>
      <w:proofErr w:type="spellEnd"/>
      <w:r w:rsidRPr="003D49EB">
        <w:rPr>
          <w:spacing w:val="-2"/>
          <w:szCs w:val="20"/>
        </w:rPr>
        <w:t xml:space="preserve"> sexual como tortura </w:t>
      </w:r>
      <w:proofErr w:type="spellStart"/>
      <w:r w:rsidRPr="003D49EB">
        <w:rPr>
          <w:spacing w:val="-2"/>
          <w:szCs w:val="20"/>
        </w:rPr>
        <w:t>debera</w:t>
      </w:r>
      <w:proofErr w:type="spellEnd"/>
      <w:r w:rsidRPr="003D49EB">
        <w:rPr>
          <w:spacing w:val="-2"/>
          <w:szCs w:val="20"/>
        </w:rPr>
        <w:t xml:space="preserve">́ atenerse a la intencionalidad, a la severidad del sufrimiento y a la finalidad del acto, tomando en </w:t>
      </w:r>
      <w:proofErr w:type="spellStart"/>
      <w:r w:rsidRPr="003D49EB">
        <w:rPr>
          <w:spacing w:val="-2"/>
          <w:szCs w:val="20"/>
        </w:rPr>
        <w:t>consideración</w:t>
      </w:r>
      <w:proofErr w:type="spellEnd"/>
      <w:r w:rsidRPr="003D49EB">
        <w:rPr>
          <w:spacing w:val="-2"/>
          <w:szCs w:val="20"/>
        </w:rPr>
        <w:t xml:space="preserve"> las circunstancias </w:t>
      </w:r>
      <w:proofErr w:type="spellStart"/>
      <w:r w:rsidRPr="003D49EB">
        <w:rPr>
          <w:spacing w:val="-2"/>
          <w:szCs w:val="20"/>
        </w:rPr>
        <w:t>específicas</w:t>
      </w:r>
      <w:proofErr w:type="spellEnd"/>
      <w:r w:rsidRPr="003D49EB">
        <w:rPr>
          <w:spacing w:val="-2"/>
          <w:szCs w:val="20"/>
        </w:rPr>
        <w:t xml:space="preserve"> de cada caso. En este sentido, se </w:t>
      </w:r>
      <w:proofErr w:type="spellStart"/>
      <w:r w:rsidRPr="003D49EB">
        <w:rPr>
          <w:spacing w:val="-2"/>
          <w:szCs w:val="20"/>
        </w:rPr>
        <w:t>procedera</w:t>
      </w:r>
      <w:proofErr w:type="spellEnd"/>
      <w:r w:rsidRPr="003D49EB">
        <w:rPr>
          <w:spacing w:val="-2"/>
          <w:szCs w:val="20"/>
        </w:rPr>
        <w:t xml:space="preserve">́ a examinar si los maltratos de los que fue </w:t>
      </w:r>
      <w:proofErr w:type="spellStart"/>
      <w:r w:rsidRPr="003D49EB">
        <w:rPr>
          <w:spacing w:val="-2"/>
          <w:szCs w:val="20"/>
        </w:rPr>
        <w:t>víctima</w:t>
      </w:r>
      <w:proofErr w:type="spellEnd"/>
      <w:r w:rsidRPr="003D49EB">
        <w:rPr>
          <w:spacing w:val="-2"/>
          <w:szCs w:val="20"/>
        </w:rPr>
        <w:t xml:space="preserve"> Azul Rojas </w:t>
      </w:r>
      <w:proofErr w:type="spellStart"/>
      <w:r w:rsidRPr="003D49EB">
        <w:rPr>
          <w:spacing w:val="-2"/>
          <w:szCs w:val="20"/>
        </w:rPr>
        <w:t>Marín</w:t>
      </w:r>
      <w:proofErr w:type="spellEnd"/>
      <w:r w:rsidRPr="003D49EB">
        <w:rPr>
          <w:spacing w:val="-2"/>
          <w:szCs w:val="20"/>
        </w:rPr>
        <w:t xml:space="preserve"> cumplen con estos elementos.</w:t>
      </w:r>
    </w:p>
    <w:p w14:paraId="64D86A74" w14:textId="77777777" w:rsidR="00EA7516" w:rsidRPr="003D49EB" w:rsidRDefault="00EA7516" w:rsidP="009A4683">
      <w:pPr>
        <w:pStyle w:val="Prrafodelista"/>
        <w:spacing w:after="100" w:afterAutospacing="1"/>
        <w:ind w:left="0"/>
        <w:rPr>
          <w:spacing w:val="-2"/>
          <w:szCs w:val="20"/>
        </w:rPr>
      </w:pPr>
    </w:p>
    <w:p w14:paraId="08DDB225" w14:textId="77777777" w:rsidR="00EA7516" w:rsidRPr="003D49EB" w:rsidRDefault="00EA7516" w:rsidP="009A4683">
      <w:pPr>
        <w:pStyle w:val="Prrafodelista"/>
        <w:spacing w:after="100" w:afterAutospacing="1"/>
        <w:ind w:left="0"/>
        <w:rPr>
          <w:spacing w:val="-2"/>
          <w:szCs w:val="20"/>
        </w:rPr>
      </w:pPr>
      <w:r w:rsidRPr="003D49EB">
        <w:rPr>
          <w:spacing w:val="-2"/>
          <w:szCs w:val="20"/>
        </w:rPr>
        <w:t xml:space="preserve">161. Con respecto a la existencia de un acto intencional, de las pruebas que constan en el expediente queda acreditado que el maltrato fue deliberadamente infligido en contra de la presunta </w:t>
      </w:r>
      <w:proofErr w:type="spellStart"/>
      <w:r w:rsidRPr="003D49EB">
        <w:rPr>
          <w:spacing w:val="-2"/>
          <w:szCs w:val="20"/>
        </w:rPr>
        <w:t>víctima</w:t>
      </w:r>
      <w:proofErr w:type="spellEnd"/>
      <w:r w:rsidRPr="003D49EB">
        <w:rPr>
          <w:spacing w:val="-2"/>
          <w:szCs w:val="20"/>
        </w:rPr>
        <w:t xml:space="preserve">. En efecto, de las declaraciones se desprende que los agentes estatales golpearon intencionalmente a la </w:t>
      </w:r>
      <w:proofErr w:type="spellStart"/>
      <w:r w:rsidRPr="003D49EB">
        <w:rPr>
          <w:spacing w:val="-2"/>
          <w:szCs w:val="20"/>
        </w:rPr>
        <w:t>señora</w:t>
      </w:r>
      <w:proofErr w:type="spellEnd"/>
      <w:r w:rsidRPr="003D49EB">
        <w:rPr>
          <w:spacing w:val="-2"/>
          <w:szCs w:val="20"/>
        </w:rPr>
        <w:t xml:space="preserve"> Rojas </w:t>
      </w:r>
      <w:proofErr w:type="spellStart"/>
      <w:r w:rsidRPr="003D49EB">
        <w:rPr>
          <w:spacing w:val="-2"/>
          <w:szCs w:val="20"/>
        </w:rPr>
        <w:t>Marín</w:t>
      </w:r>
      <w:proofErr w:type="spellEnd"/>
      <w:r w:rsidRPr="003D49EB">
        <w:rPr>
          <w:spacing w:val="-2"/>
          <w:szCs w:val="20"/>
        </w:rPr>
        <w:t xml:space="preserve"> en repetidas oportunidades y la violaron al introducir la vara policial en su ano.</w:t>
      </w:r>
    </w:p>
    <w:p w14:paraId="15152157" w14:textId="77777777" w:rsidR="00EA7516" w:rsidRPr="003D49EB" w:rsidRDefault="00EA7516" w:rsidP="009A4683">
      <w:pPr>
        <w:pStyle w:val="Prrafodelista"/>
        <w:spacing w:after="100" w:afterAutospacing="1"/>
        <w:ind w:left="0"/>
        <w:rPr>
          <w:spacing w:val="-2"/>
          <w:szCs w:val="20"/>
        </w:rPr>
      </w:pPr>
    </w:p>
    <w:p w14:paraId="29360310" w14:textId="50BBC2EF" w:rsidR="00EA7516" w:rsidRPr="003D49EB" w:rsidRDefault="00EA7516" w:rsidP="009A4683">
      <w:pPr>
        <w:pStyle w:val="Prrafodelista"/>
        <w:spacing w:after="100" w:afterAutospacing="1"/>
        <w:ind w:left="0"/>
        <w:rPr>
          <w:spacing w:val="-2"/>
          <w:szCs w:val="20"/>
        </w:rPr>
      </w:pPr>
      <w:r w:rsidRPr="003D49EB">
        <w:rPr>
          <w:spacing w:val="-2"/>
          <w:szCs w:val="20"/>
        </w:rPr>
        <w:t xml:space="preserve">162. De la prueba ofrecida, la Corte da por demostrada la severidad de los maltratos sufridos por la presunta </w:t>
      </w:r>
      <w:proofErr w:type="spellStart"/>
      <w:r w:rsidRPr="003D49EB">
        <w:rPr>
          <w:spacing w:val="-2"/>
          <w:szCs w:val="20"/>
        </w:rPr>
        <w:t>víctima</w:t>
      </w:r>
      <w:proofErr w:type="spellEnd"/>
      <w:r w:rsidRPr="003D49EB">
        <w:rPr>
          <w:spacing w:val="-2"/>
          <w:szCs w:val="20"/>
        </w:rPr>
        <w:t xml:space="preserve">. En este sentido, este Tribunal ha establecido que la </w:t>
      </w:r>
      <w:proofErr w:type="spellStart"/>
      <w:r w:rsidRPr="003D49EB">
        <w:rPr>
          <w:spacing w:val="-2"/>
          <w:szCs w:val="20"/>
        </w:rPr>
        <w:t>violación</w:t>
      </w:r>
      <w:proofErr w:type="spellEnd"/>
      <w:r w:rsidRPr="003D49EB">
        <w:rPr>
          <w:spacing w:val="-2"/>
          <w:szCs w:val="20"/>
        </w:rPr>
        <w:t xml:space="preserve"> sexual es una experiencia sumamente </w:t>
      </w:r>
      <w:proofErr w:type="spellStart"/>
      <w:r w:rsidRPr="003D49EB">
        <w:rPr>
          <w:spacing w:val="-2"/>
          <w:szCs w:val="20"/>
        </w:rPr>
        <w:t>traumática</w:t>
      </w:r>
      <w:proofErr w:type="spellEnd"/>
      <w:r w:rsidRPr="003D49EB">
        <w:rPr>
          <w:spacing w:val="-2"/>
          <w:szCs w:val="20"/>
        </w:rPr>
        <w:t xml:space="preserve"> que tiene severas consecuencias y causa gran daño </w:t>
      </w:r>
      <w:proofErr w:type="spellStart"/>
      <w:r w:rsidRPr="003D49EB">
        <w:rPr>
          <w:spacing w:val="-2"/>
          <w:szCs w:val="20"/>
        </w:rPr>
        <w:t>físico</w:t>
      </w:r>
      <w:proofErr w:type="spellEnd"/>
      <w:r w:rsidRPr="003D49EB">
        <w:rPr>
          <w:spacing w:val="-2"/>
          <w:szCs w:val="20"/>
        </w:rPr>
        <w:t xml:space="preserve"> y </w:t>
      </w:r>
      <w:proofErr w:type="spellStart"/>
      <w:r w:rsidRPr="003D49EB">
        <w:rPr>
          <w:spacing w:val="-2"/>
          <w:szCs w:val="20"/>
        </w:rPr>
        <w:t>psicológico</w:t>
      </w:r>
      <w:proofErr w:type="spellEnd"/>
      <w:r w:rsidRPr="003D49EB">
        <w:rPr>
          <w:spacing w:val="-2"/>
          <w:szCs w:val="20"/>
        </w:rPr>
        <w:t xml:space="preserve"> que deja a la </w:t>
      </w:r>
      <w:proofErr w:type="spellStart"/>
      <w:r w:rsidRPr="003D49EB">
        <w:rPr>
          <w:spacing w:val="-2"/>
          <w:szCs w:val="20"/>
        </w:rPr>
        <w:t>víctima</w:t>
      </w:r>
      <w:proofErr w:type="spellEnd"/>
      <w:r w:rsidRPr="003D49EB">
        <w:rPr>
          <w:spacing w:val="-2"/>
          <w:szCs w:val="20"/>
        </w:rPr>
        <w:t xml:space="preserve"> “humillada </w:t>
      </w:r>
      <w:proofErr w:type="spellStart"/>
      <w:r w:rsidRPr="003D49EB">
        <w:rPr>
          <w:spacing w:val="-2"/>
          <w:szCs w:val="20"/>
        </w:rPr>
        <w:t>física</w:t>
      </w:r>
      <w:proofErr w:type="spellEnd"/>
      <w:r w:rsidRPr="003D49EB">
        <w:rPr>
          <w:spacing w:val="-2"/>
          <w:szCs w:val="20"/>
        </w:rPr>
        <w:t xml:space="preserve"> y emocionalmente”. Sobre este punto, el examen </w:t>
      </w:r>
      <w:proofErr w:type="spellStart"/>
      <w:r w:rsidRPr="003D49EB">
        <w:rPr>
          <w:spacing w:val="-2"/>
          <w:szCs w:val="20"/>
        </w:rPr>
        <w:t>médico</w:t>
      </w:r>
      <w:proofErr w:type="spellEnd"/>
      <w:r w:rsidRPr="003D49EB">
        <w:rPr>
          <w:spacing w:val="-2"/>
          <w:szCs w:val="20"/>
        </w:rPr>
        <w:t xml:space="preserve"> legal acredita la presencia de lesiones </w:t>
      </w:r>
      <w:proofErr w:type="spellStart"/>
      <w:r w:rsidRPr="003D49EB">
        <w:rPr>
          <w:spacing w:val="-2"/>
          <w:szCs w:val="20"/>
        </w:rPr>
        <w:t>extragenitales</w:t>
      </w:r>
      <w:proofErr w:type="spellEnd"/>
      <w:r w:rsidRPr="003D49EB">
        <w:rPr>
          <w:spacing w:val="-2"/>
          <w:szCs w:val="20"/>
        </w:rPr>
        <w:t xml:space="preserve"> y en el ano </w:t>
      </w:r>
      <w:r w:rsidR="00632C28">
        <w:rPr>
          <w:spacing w:val="-2"/>
          <w:szCs w:val="20"/>
        </w:rPr>
        <w:t>[...]</w:t>
      </w:r>
      <w:r w:rsidRPr="003D49EB">
        <w:rPr>
          <w:spacing w:val="-2"/>
          <w:szCs w:val="20"/>
        </w:rPr>
        <w:t xml:space="preserve">, y la sangre encontrada en la parte trasera del </w:t>
      </w:r>
      <w:proofErr w:type="spellStart"/>
      <w:r w:rsidRPr="003D49EB">
        <w:rPr>
          <w:spacing w:val="-2"/>
          <w:szCs w:val="20"/>
        </w:rPr>
        <w:t>pantalón</w:t>
      </w:r>
      <w:proofErr w:type="spellEnd"/>
      <w:r w:rsidRPr="003D49EB">
        <w:rPr>
          <w:spacing w:val="-2"/>
          <w:szCs w:val="20"/>
        </w:rPr>
        <w:t xml:space="preserve"> de la presunta </w:t>
      </w:r>
      <w:proofErr w:type="spellStart"/>
      <w:r w:rsidRPr="003D49EB">
        <w:rPr>
          <w:spacing w:val="-2"/>
          <w:szCs w:val="20"/>
        </w:rPr>
        <w:t>víctima</w:t>
      </w:r>
      <w:proofErr w:type="spellEnd"/>
      <w:r w:rsidRPr="003D49EB">
        <w:rPr>
          <w:spacing w:val="-2"/>
          <w:szCs w:val="20"/>
        </w:rPr>
        <w:t xml:space="preserve"> muestra que posiblemente tras la </w:t>
      </w:r>
      <w:proofErr w:type="spellStart"/>
      <w:r w:rsidRPr="003D49EB">
        <w:rPr>
          <w:spacing w:val="-2"/>
          <w:szCs w:val="20"/>
        </w:rPr>
        <w:t>violación</w:t>
      </w:r>
      <w:proofErr w:type="spellEnd"/>
      <w:r w:rsidRPr="003D49EB">
        <w:rPr>
          <w:spacing w:val="-2"/>
          <w:szCs w:val="20"/>
        </w:rPr>
        <w:t xml:space="preserve">, al ponerse el </w:t>
      </w:r>
      <w:proofErr w:type="spellStart"/>
      <w:r w:rsidRPr="003D49EB">
        <w:rPr>
          <w:spacing w:val="-2"/>
          <w:szCs w:val="20"/>
        </w:rPr>
        <w:t>pantalón</w:t>
      </w:r>
      <w:proofErr w:type="spellEnd"/>
      <w:r w:rsidRPr="003D49EB">
        <w:rPr>
          <w:spacing w:val="-2"/>
          <w:szCs w:val="20"/>
        </w:rPr>
        <w:t xml:space="preserve">, continuó sangrando. Asimismo, la </w:t>
      </w:r>
      <w:proofErr w:type="spellStart"/>
      <w:r w:rsidRPr="003D49EB">
        <w:rPr>
          <w:spacing w:val="-2"/>
          <w:szCs w:val="20"/>
        </w:rPr>
        <w:t>señora</w:t>
      </w:r>
      <w:proofErr w:type="spellEnd"/>
      <w:r w:rsidRPr="003D49EB">
        <w:rPr>
          <w:spacing w:val="-2"/>
          <w:szCs w:val="20"/>
        </w:rPr>
        <w:t xml:space="preserve"> Rojas </w:t>
      </w:r>
      <w:proofErr w:type="spellStart"/>
      <w:r w:rsidRPr="003D49EB">
        <w:rPr>
          <w:spacing w:val="-2"/>
          <w:szCs w:val="20"/>
        </w:rPr>
        <w:t>Marín</w:t>
      </w:r>
      <w:proofErr w:type="spellEnd"/>
      <w:r w:rsidRPr="003D49EB">
        <w:rPr>
          <w:spacing w:val="-2"/>
          <w:szCs w:val="20"/>
        </w:rPr>
        <w:t xml:space="preserve"> indicó que los “primeros cuatro </w:t>
      </w:r>
      <w:proofErr w:type="spellStart"/>
      <w:r w:rsidRPr="003D49EB">
        <w:rPr>
          <w:spacing w:val="-2"/>
          <w:szCs w:val="20"/>
        </w:rPr>
        <w:t>días</w:t>
      </w:r>
      <w:proofErr w:type="spellEnd"/>
      <w:r w:rsidRPr="003D49EB">
        <w:rPr>
          <w:spacing w:val="-2"/>
          <w:szCs w:val="20"/>
        </w:rPr>
        <w:t xml:space="preserve"> el dolor fue </w:t>
      </w:r>
      <w:proofErr w:type="spellStart"/>
      <w:r w:rsidRPr="003D49EB">
        <w:rPr>
          <w:spacing w:val="-2"/>
          <w:szCs w:val="20"/>
        </w:rPr>
        <w:t>más</w:t>
      </w:r>
      <w:proofErr w:type="spellEnd"/>
      <w:r w:rsidRPr="003D49EB">
        <w:rPr>
          <w:spacing w:val="-2"/>
          <w:szCs w:val="20"/>
        </w:rPr>
        <w:t xml:space="preserve"> intenso, incluso </w:t>
      </w:r>
      <w:proofErr w:type="spellStart"/>
      <w:r w:rsidRPr="003D49EB">
        <w:rPr>
          <w:spacing w:val="-2"/>
          <w:szCs w:val="20"/>
        </w:rPr>
        <w:t>tenía</w:t>
      </w:r>
      <w:proofErr w:type="spellEnd"/>
      <w:r w:rsidRPr="003D49EB">
        <w:rPr>
          <w:spacing w:val="-2"/>
          <w:szCs w:val="20"/>
        </w:rPr>
        <w:t xml:space="preserve"> temor de hacer mis deposiciones porque [l]e </w:t>
      </w:r>
      <w:proofErr w:type="spellStart"/>
      <w:r w:rsidRPr="003D49EB">
        <w:rPr>
          <w:spacing w:val="-2"/>
          <w:szCs w:val="20"/>
        </w:rPr>
        <w:t>dolía</w:t>
      </w:r>
      <w:proofErr w:type="spellEnd"/>
      <w:r w:rsidRPr="003D49EB">
        <w:rPr>
          <w:spacing w:val="-2"/>
          <w:szCs w:val="20"/>
        </w:rPr>
        <w:t xml:space="preserve">”. Asimismo indicó que “al sentarse a veces le </w:t>
      </w:r>
      <w:proofErr w:type="spellStart"/>
      <w:r w:rsidRPr="003D49EB">
        <w:rPr>
          <w:spacing w:val="-2"/>
          <w:szCs w:val="20"/>
        </w:rPr>
        <w:t>dolía</w:t>
      </w:r>
      <w:proofErr w:type="spellEnd"/>
      <w:r w:rsidRPr="003D49EB">
        <w:rPr>
          <w:spacing w:val="-2"/>
          <w:szCs w:val="20"/>
        </w:rPr>
        <w:t xml:space="preserve">, le presionaba, </w:t>
      </w:r>
      <w:proofErr w:type="spellStart"/>
      <w:r w:rsidRPr="003D49EB">
        <w:rPr>
          <w:spacing w:val="-2"/>
          <w:szCs w:val="20"/>
        </w:rPr>
        <w:t>tenía</w:t>
      </w:r>
      <w:proofErr w:type="spellEnd"/>
      <w:r w:rsidRPr="003D49EB">
        <w:rPr>
          <w:spacing w:val="-2"/>
          <w:szCs w:val="20"/>
        </w:rPr>
        <w:t xml:space="preserve"> que acomodarse”.</w:t>
      </w:r>
    </w:p>
    <w:p w14:paraId="27B823BC" w14:textId="77777777" w:rsidR="00EA7516" w:rsidRPr="003D49EB" w:rsidRDefault="00EA7516" w:rsidP="009A4683">
      <w:pPr>
        <w:pStyle w:val="Prrafodelista"/>
        <w:spacing w:after="100" w:afterAutospacing="1"/>
        <w:ind w:left="0"/>
        <w:rPr>
          <w:spacing w:val="-2"/>
          <w:szCs w:val="20"/>
        </w:rPr>
      </w:pPr>
    </w:p>
    <w:p w14:paraId="0F70F386" w14:textId="6412A907" w:rsidR="00EA7516" w:rsidRPr="003D49EB" w:rsidRDefault="00EA7516" w:rsidP="009A4683">
      <w:pPr>
        <w:pStyle w:val="Prrafodelista"/>
        <w:spacing w:after="100" w:afterAutospacing="1"/>
        <w:ind w:left="0"/>
        <w:rPr>
          <w:spacing w:val="-2"/>
          <w:szCs w:val="20"/>
        </w:rPr>
      </w:pPr>
      <w:r w:rsidRPr="003D49EB">
        <w:rPr>
          <w:spacing w:val="-2"/>
          <w:szCs w:val="20"/>
        </w:rPr>
        <w:t xml:space="preserve">163. Por </w:t>
      </w:r>
      <w:proofErr w:type="spellStart"/>
      <w:r w:rsidRPr="003D49EB">
        <w:rPr>
          <w:spacing w:val="-2"/>
          <w:szCs w:val="20"/>
        </w:rPr>
        <w:t>último</w:t>
      </w:r>
      <w:proofErr w:type="spellEnd"/>
      <w:r w:rsidRPr="003D49EB">
        <w:rPr>
          <w:spacing w:val="-2"/>
          <w:szCs w:val="20"/>
        </w:rPr>
        <w:t xml:space="preserve">, respecto a la finalidad, la Corte ha considerado que en </w:t>
      </w:r>
      <w:proofErr w:type="spellStart"/>
      <w:r w:rsidRPr="003D49EB">
        <w:rPr>
          <w:spacing w:val="-2"/>
          <w:szCs w:val="20"/>
        </w:rPr>
        <w:t>términos</w:t>
      </w:r>
      <w:proofErr w:type="spellEnd"/>
      <w:r w:rsidRPr="003D49EB">
        <w:rPr>
          <w:spacing w:val="-2"/>
          <w:szCs w:val="20"/>
        </w:rPr>
        <w:t xml:space="preserve"> generales, la </w:t>
      </w:r>
      <w:proofErr w:type="spellStart"/>
      <w:r w:rsidRPr="003D49EB">
        <w:rPr>
          <w:spacing w:val="-2"/>
          <w:szCs w:val="20"/>
        </w:rPr>
        <w:t>violación</w:t>
      </w:r>
      <w:proofErr w:type="spellEnd"/>
      <w:r w:rsidRPr="003D49EB">
        <w:rPr>
          <w:spacing w:val="-2"/>
          <w:szCs w:val="20"/>
        </w:rPr>
        <w:t xml:space="preserve"> sexual, al igual que la tortura, persigue, entre otros, los fines de intimidar, degradar, humillar, castigar o controlar a la persona que la sufre. Las representantes alegaron que los malos tratos fueron realizados con fines discriminatorios. Al respecto, el perito Juan </w:t>
      </w:r>
      <w:proofErr w:type="spellStart"/>
      <w:r w:rsidRPr="003D49EB">
        <w:rPr>
          <w:spacing w:val="-2"/>
          <w:szCs w:val="20"/>
        </w:rPr>
        <w:t>Méndez</w:t>
      </w:r>
      <w:proofErr w:type="spellEnd"/>
      <w:r w:rsidRPr="003D49EB">
        <w:rPr>
          <w:spacing w:val="-2"/>
          <w:szCs w:val="20"/>
        </w:rPr>
        <w:t xml:space="preserve"> indicó que “para determinar si un caso de tortura ha sido motivado por un prejuicio contra personas LGBTI” se puede usar como indicadores: “[l]a modalidad y </w:t>
      </w:r>
      <w:proofErr w:type="spellStart"/>
      <w:r w:rsidRPr="003D49EB">
        <w:rPr>
          <w:spacing w:val="-2"/>
          <w:szCs w:val="20"/>
        </w:rPr>
        <w:t>características</w:t>
      </w:r>
      <w:proofErr w:type="spellEnd"/>
      <w:r w:rsidRPr="003D49EB">
        <w:rPr>
          <w:spacing w:val="-2"/>
          <w:szCs w:val="20"/>
        </w:rPr>
        <w:t xml:space="preserve"> de la violencia inspirada en la discriminación. Por ejemplo, en casos de personas LGBTI, la </w:t>
      </w:r>
      <w:proofErr w:type="spellStart"/>
      <w:r w:rsidRPr="003D49EB">
        <w:rPr>
          <w:spacing w:val="-2"/>
          <w:szCs w:val="20"/>
        </w:rPr>
        <w:t>violación</w:t>
      </w:r>
      <w:proofErr w:type="spellEnd"/>
      <w:r w:rsidRPr="003D49EB">
        <w:rPr>
          <w:spacing w:val="-2"/>
          <w:szCs w:val="20"/>
        </w:rPr>
        <w:t xml:space="preserve"> anal o el uso de otras formas de violencia sexual”; “insultos, comentarios o gestos discriminatorios realizados por los perpetradores durante la </w:t>
      </w:r>
      <w:proofErr w:type="spellStart"/>
      <w:r w:rsidRPr="003D49EB">
        <w:rPr>
          <w:spacing w:val="-2"/>
          <w:szCs w:val="20"/>
        </w:rPr>
        <w:t>comisión</w:t>
      </w:r>
      <w:proofErr w:type="spellEnd"/>
      <w:r w:rsidRPr="003D49EB">
        <w:rPr>
          <w:spacing w:val="-2"/>
          <w:szCs w:val="20"/>
        </w:rPr>
        <w:t xml:space="preserve"> de la conducta o en su contexto inmediato, con referencia a la </w:t>
      </w:r>
      <w:proofErr w:type="spellStart"/>
      <w:r w:rsidRPr="003D49EB">
        <w:rPr>
          <w:spacing w:val="-2"/>
          <w:szCs w:val="20"/>
        </w:rPr>
        <w:t>orientación</w:t>
      </w:r>
      <w:proofErr w:type="spellEnd"/>
      <w:r w:rsidRPr="003D49EB">
        <w:rPr>
          <w:spacing w:val="-2"/>
          <w:szCs w:val="20"/>
        </w:rPr>
        <w:t xml:space="preserve"> sexual o identidad de genera de la </w:t>
      </w:r>
      <w:proofErr w:type="spellStart"/>
      <w:r w:rsidRPr="003D49EB">
        <w:rPr>
          <w:spacing w:val="-2"/>
          <w:szCs w:val="20"/>
        </w:rPr>
        <w:t>víctima</w:t>
      </w:r>
      <w:proofErr w:type="spellEnd"/>
      <w:r w:rsidRPr="003D49EB">
        <w:rPr>
          <w:spacing w:val="-2"/>
          <w:szCs w:val="20"/>
        </w:rPr>
        <w:t xml:space="preserve">” o “la ausencia de otras motivaciones”. En el presente caso, una de las agresiones sufridas por la presunta </w:t>
      </w:r>
      <w:proofErr w:type="spellStart"/>
      <w:r w:rsidRPr="003D49EB">
        <w:rPr>
          <w:spacing w:val="-2"/>
          <w:szCs w:val="20"/>
        </w:rPr>
        <w:t>víctima</w:t>
      </w:r>
      <w:proofErr w:type="spellEnd"/>
      <w:r w:rsidRPr="003D49EB">
        <w:rPr>
          <w:spacing w:val="-2"/>
          <w:szCs w:val="20"/>
        </w:rPr>
        <w:t xml:space="preserve"> fue una </w:t>
      </w:r>
      <w:proofErr w:type="spellStart"/>
      <w:r w:rsidRPr="003D49EB">
        <w:rPr>
          <w:spacing w:val="-2"/>
          <w:szCs w:val="20"/>
        </w:rPr>
        <w:t>violación</w:t>
      </w:r>
      <w:proofErr w:type="spellEnd"/>
      <w:r w:rsidRPr="003D49EB">
        <w:rPr>
          <w:spacing w:val="-2"/>
          <w:szCs w:val="20"/>
        </w:rPr>
        <w:t xml:space="preserve"> anal. Sobre este punto, la perita </w:t>
      </w:r>
      <w:proofErr w:type="spellStart"/>
      <w:r w:rsidRPr="003D49EB">
        <w:rPr>
          <w:spacing w:val="-2"/>
          <w:szCs w:val="20"/>
        </w:rPr>
        <w:t>María</w:t>
      </w:r>
      <w:proofErr w:type="spellEnd"/>
      <w:r w:rsidRPr="003D49EB">
        <w:rPr>
          <w:spacing w:val="-2"/>
          <w:szCs w:val="20"/>
        </w:rPr>
        <w:t xml:space="preserve"> Mercedes </w:t>
      </w:r>
      <w:proofErr w:type="spellStart"/>
      <w:r w:rsidRPr="003D49EB">
        <w:rPr>
          <w:spacing w:val="-2"/>
          <w:szCs w:val="20"/>
        </w:rPr>
        <w:t>Gómez</w:t>
      </w:r>
      <w:proofErr w:type="spellEnd"/>
      <w:r w:rsidRPr="003D49EB">
        <w:rPr>
          <w:spacing w:val="-2"/>
          <w:szCs w:val="20"/>
        </w:rPr>
        <w:t xml:space="preserve"> indicó que en la </w:t>
      </w:r>
      <w:proofErr w:type="spellStart"/>
      <w:r w:rsidRPr="003D49EB">
        <w:rPr>
          <w:spacing w:val="-2"/>
          <w:szCs w:val="20"/>
        </w:rPr>
        <w:t>violación</w:t>
      </w:r>
      <w:proofErr w:type="spellEnd"/>
      <w:r w:rsidRPr="003D49EB">
        <w:rPr>
          <w:spacing w:val="-2"/>
          <w:szCs w:val="20"/>
        </w:rPr>
        <w:t xml:space="preserve"> mediante “un elemento que </w:t>
      </w:r>
      <w:proofErr w:type="spellStart"/>
      <w:r w:rsidRPr="003D49EB">
        <w:rPr>
          <w:spacing w:val="-2"/>
          <w:szCs w:val="20"/>
        </w:rPr>
        <w:t>simbólicamente</w:t>
      </w:r>
      <w:proofErr w:type="spellEnd"/>
      <w:r w:rsidRPr="003D49EB">
        <w:rPr>
          <w:spacing w:val="-2"/>
          <w:szCs w:val="20"/>
        </w:rPr>
        <w:t xml:space="preserve"> representa la autoridad, [como lo es] la vara de </w:t>
      </w:r>
      <w:proofErr w:type="spellStart"/>
      <w:r w:rsidRPr="003D49EB">
        <w:rPr>
          <w:spacing w:val="-2"/>
          <w:szCs w:val="20"/>
        </w:rPr>
        <w:t>dotación</w:t>
      </w:r>
      <w:proofErr w:type="spellEnd"/>
      <w:r w:rsidRPr="003D49EB">
        <w:rPr>
          <w:spacing w:val="-2"/>
          <w:szCs w:val="20"/>
        </w:rPr>
        <w:t xml:space="preserve">,[...] manda [el] mensaje </w:t>
      </w:r>
      <w:proofErr w:type="spellStart"/>
      <w:r w:rsidRPr="003D49EB">
        <w:rPr>
          <w:spacing w:val="-2"/>
          <w:szCs w:val="20"/>
        </w:rPr>
        <w:t>simbólico</w:t>
      </w:r>
      <w:proofErr w:type="spellEnd"/>
      <w:r w:rsidRPr="003D49EB">
        <w:rPr>
          <w:spacing w:val="-2"/>
          <w:szCs w:val="20"/>
        </w:rPr>
        <w:t xml:space="preserve"> [...] de reinstaurar una masculinidad que se ve amenazada por la </w:t>
      </w:r>
      <w:proofErr w:type="spellStart"/>
      <w:r w:rsidRPr="003D49EB">
        <w:rPr>
          <w:spacing w:val="-2"/>
          <w:szCs w:val="20"/>
        </w:rPr>
        <w:t>percepción</w:t>
      </w:r>
      <w:proofErr w:type="spellEnd"/>
      <w:r w:rsidRPr="003D49EB">
        <w:rPr>
          <w:spacing w:val="-2"/>
          <w:szCs w:val="20"/>
        </w:rPr>
        <w:t xml:space="preserve"> de la </w:t>
      </w:r>
      <w:proofErr w:type="spellStart"/>
      <w:r w:rsidRPr="003D49EB">
        <w:rPr>
          <w:spacing w:val="-2"/>
          <w:szCs w:val="20"/>
        </w:rPr>
        <w:t>víctima</w:t>
      </w:r>
      <w:proofErr w:type="spellEnd"/>
      <w:r w:rsidRPr="003D49EB">
        <w:rPr>
          <w:spacing w:val="-2"/>
          <w:szCs w:val="20"/>
        </w:rPr>
        <w:t xml:space="preserve"> como no cumpliendo los </w:t>
      </w:r>
      <w:proofErr w:type="spellStart"/>
      <w:r w:rsidRPr="003D49EB">
        <w:rPr>
          <w:spacing w:val="-2"/>
          <w:szCs w:val="20"/>
        </w:rPr>
        <w:t>órdenes</w:t>
      </w:r>
      <w:proofErr w:type="spellEnd"/>
      <w:r w:rsidRPr="003D49EB">
        <w:rPr>
          <w:spacing w:val="-2"/>
          <w:szCs w:val="20"/>
        </w:rPr>
        <w:t xml:space="preserve"> establecidos de la masculinidad”.</w:t>
      </w:r>
    </w:p>
    <w:p w14:paraId="24B2B857" w14:textId="77777777" w:rsidR="00EA7516" w:rsidRPr="003D49EB" w:rsidRDefault="00EA7516" w:rsidP="009A4683">
      <w:pPr>
        <w:pStyle w:val="Prrafodelista"/>
        <w:spacing w:after="100" w:afterAutospacing="1"/>
        <w:ind w:left="0"/>
        <w:rPr>
          <w:spacing w:val="-2"/>
          <w:szCs w:val="20"/>
        </w:rPr>
      </w:pPr>
    </w:p>
    <w:p w14:paraId="40F84548" w14:textId="2672D5A3" w:rsidR="00EA7516" w:rsidRPr="003D49EB" w:rsidRDefault="00EA7516" w:rsidP="009A4683">
      <w:pPr>
        <w:pStyle w:val="Prrafodelista"/>
        <w:spacing w:after="100" w:afterAutospacing="1"/>
        <w:ind w:left="0"/>
        <w:rPr>
          <w:spacing w:val="-2"/>
          <w:szCs w:val="20"/>
        </w:rPr>
      </w:pPr>
      <w:r w:rsidRPr="003D49EB">
        <w:rPr>
          <w:spacing w:val="-2"/>
          <w:szCs w:val="20"/>
        </w:rPr>
        <w:t xml:space="preserve">164. </w:t>
      </w:r>
      <w:proofErr w:type="spellStart"/>
      <w:r w:rsidRPr="003D49EB">
        <w:rPr>
          <w:spacing w:val="-2"/>
          <w:szCs w:val="20"/>
        </w:rPr>
        <w:t>Además</w:t>
      </w:r>
      <w:proofErr w:type="spellEnd"/>
      <w:r w:rsidRPr="003D49EB">
        <w:rPr>
          <w:spacing w:val="-2"/>
          <w:szCs w:val="20"/>
        </w:rPr>
        <w:t xml:space="preserve">, la violencia ejercida por los agentes estatales contra la </w:t>
      </w:r>
      <w:proofErr w:type="spellStart"/>
      <w:r w:rsidRPr="003D49EB">
        <w:rPr>
          <w:spacing w:val="-2"/>
          <w:szCs w:val="20"/>
        </w:rPr>
        <w:t>señora</w:t>
      </w:r>
      <w:proofErr w:type="spellEnd"/>
      <w:r w:rsidRPr="003D49EB">
        <w:rPr>
          <w:spacing w:val="-2"/>
          <w:szCs w:val="20"/>
        </w:rPr>
        <w:t xml:space="preserve"> Rojas </w:t>
      </w:r>
      <w:proofErr w:type="spellStart"/>
      <w:r w:rsidRPr="003D49EB">
        <w:rPr>
          <w:spacing w:val="-2"/>
          <w:szCs w:val="20"/>
        </w:rPr>
        <w:t>Marín</w:t>
      </w:r>
      <w:proofErr w:type="spellEnd"/>
      <w:r w:rsidRPr="003D49EB">
        <w:rPr>
          <w:spacing w:val="-2"/>
          <w:szCs w:val="20"/>
        </w:rPr>
        <w:t xml:space="preserve"> incluyó insultos estereotipados y amenazas de </w:t>
      </w:r>
      <w:proofErr w:type="spellStart"/>
      <w:r w:rsidRPr="003D49EB">
        <w:rPr>
          <w:spacing w:val="-2"/>
          <w:szCs w:val="20"/>
        </w:rPr>
        <w:t>violación</w:t>
      </w:r>
      <w:proofErr w:type="spellEnd"/>
      <w:r w:rsidRPr="003D49EB">
        <w:rPr>
          <w:spacing w:val="-2"/>
          <w:szCs w:val="20"/>
        </w:rPr>
        <w:t>. En este sentido, se advierte que le dijeron en varias oportunidades “cabro”, “concha de tu madre”, “te gusta la pinga”, “</w:t>
      </w:r>
      <w:proofErr w:type="spellStart"/>
      <w:r w:rsidRPr="003D49EB">
        <w:rPr>
          <w:spacing w:val="-2"/>
          <w:szCs w:val="20"/>
        </w:rPr>
        <w:t>maricón</w:t>
      </w:r>
      <w:proofErr w:type="spellEnd"/>
      <w:r w:rsidRPr="003D49EB">
        <w:rPr>
          <w:spacing w:val="-2"/>
          <w:szCs w:val="20"/>
        </w:rPr>
        <w:t xml:space="preserve"> de mierda”, y “te hubieran metido al calabozo para que te cachen todos”. Este Tribunal considera que la </w:t>
      </w:r>
      <w:proofErr w:type="spellStart"/>
      <w:r w:rsidRPr="003D49EB">
        <w:rPr>
          <w:spacing w:val="-2"/>
          <w:szCs w:val="20"/>
        </w:rPr>
        <w:t>violación</w:t>
      </w:r>
      <w:proofErr w:type="spellEnd"/>
      <w:r w:rsidRPr="003D49EB">
        <w:rPr>
          <w:spacing w:val="-2"/>
          <w:szCs w:val="20"/>
        </w:rPr>
        <w:t xml:space="preserve"> anal y los comentarios relativos a la </w:t>
      </w:r>
      <w:proofErr w:type="spellStart"/>
      <w:r w:rsidRPr="003D49EB">
        <w:rPr>
          <w:spacing w:val="-2"/>
          <w:szCs w:val="20"/>
        </w:rPr>
        <w:t>orientación</w:t>
      </w:r>
      <w:proofErr w:type="spellEnd"/>
      <w:r w:rsidRPr="003D49EB">
        <w:rPr>
          <w:spacing w:val="-2"/>
          <w:szCs w:val="20"/>
        </w:rPr>
        <w:t xml:space="preserve"> sexual, evidencian también un fin discriminatorio, por lo que constituyó un acto de violencia por prejuicio.</w:t>
      </w:r>
    </w:p>
    <w:p w14:paraId="3D4D92A5" w14:textId="77777777" w:rsidR="00EA7516" w:rsidRPr="003D49EB" w:rsidRDefault="00EA7516" w:rsidP="009A4683">
      <w:pPr>
        <w:pStyle w:val="Prrafodelista"/>
        <w:spacing w:after="100" w:afterAutospacing="1"/>
        <w:ind w:left="0"/>
        <w:rPr>
          <w:spacing w:val="-2"/>
          <w:szCs w:val="20"/>
        </w:rPr>
      </w:pPr>
    </w:p>
    <w:p w14:paraId="42B772CD" w14:textId="77777777" w:rsidR="00EA7516" w:rsidRPr="003D49EB" w:rsidRDefault="00EA7516" w:rsidP="009A4683">
      <w:pPr>
        <w:pStyle w:val="Prrafodelista"/>
        <w:spacing w:after="100" w:afterAutospacing="1"/>
        <w:ind w:left="0"/>
        <w:rPr>
          <w:spacing w:val="-2"/>
          <w:szCs w:val="20"/>
        </w:rPr>
      </w:pPr>
      <w:r w:rsidRPr="003D49EB">
        <w:rPr>
          <w:spacing w:val="-2"/>
          <w:szCs w:val="20"/>
        </w:rPr>
        <w:t>165. Asimismo, la Corte advierte que el caso resulta encuadrable en lo que considera “delito de odio” o “</w:t>
      </w:r>
      <w:proofErr w:type="spellStart"/>
      <w:r w:rsidRPr="003D49EB">
        <w:rPr>
          <w:spacing w:val="-2"/>
          <w:szCs w:val="20"/>
        </w:rPr>
        <w:t>hate</w:t>
      </w:r>
      <w:proofErr w:type="spellEnd"/>
      <w:r w:rsidRPr="003D49EB">
        <w:rPr>
          <w:spacing w:val="-2"/>
          <w:szCs w:val="20"/>
        </w:rPr>
        <w:t xml:space="preserve"> </w:t>
      </w:r>
      <w:proofErr w:type="spellStart"/>
      <w:r w:rsidRPr="003D49EB">
        <w:rPr>
          <w:spacing w:val="-2"/>
          <w:szCs w:val="20"/>
        </w:rPr>
        <w:t>crime</w:t>
      </w:r>
      <w:proofErr w:type="spellEnd"/>
      <w:r w:rsidRPr="003D49EB">
        <w:rPr>
          <w:spacing w:val="-2"/>
          <w:szCs w:val="20"/>
        </w:rPr>
        <w:t xml:space="preserve">”, pues es claro que la </w:t>
      </w:r>
      <w:proofErr w:type="spellStart"/>
      <w:r w:rsidRPr="003D49EB">
        <w:rPr>
          <w:spacing w:val="-2"/>
          <w:szCs w:val="20"/>
        </w:rPr>
        <w:t>agresión</w:t>
      </w:r>
      <w:proofErr w:type="spellEnd"/>
      <w:r w:rsidRPr="003D49EB">
        <w:rPr>
          <w:spacing w:val="-2"/>
          <w:szCs w:val="20"/>
        </w:rPr>
        <w:t xml:space="preserve"> a la </w:t>
      </w:r>
      <w:proofErr w:type="spellStart"/>
      <w:r w:rsidRPr="003D49EB">
        <w:rPr>
          <w:spacing w:val="-2"/>
          <w:szCs w:val="20"/>
        </w:rPr>
        <w:t>víctima</w:t>
      </w:r>
      <w:proofErr w:type="spellEnd"/>
      <w:r w:rsidRPr="003D49EB">
        <w:rPr>
          <w:spacing w:val="-2"/>
          <w:szCs w:val="20"/>
        </w:rPr>
        <w:t xml:space="preserve"> estuvo motivada en su </w:t>
      </w:r>
      <w:proofErr w:type="spellStart"/>
      <w:r w:rsidRPr="003D49EB">
        <w:rPr>
          <w:spacing w:val="-2"/>
          <w:szCs w:val="20"/>
        </w:rPr>
        <w:t>orientación</w:t>
      </w:r>
      <w:proofErr w:type="spellEnd"/>
      <w:r w:rsidRPr="003D49EB">
        <w:rPr>
          <w:spacing w:val="-2"/>
          <w:szCs w:val="20"/>
        </w:rPr>
        <w:t xml:space="preserve"> sexual, o sea que, este delito no solo lesionó bienes </w:t>
      </w:r>
      <w:proofErr w:type="spellStart"/>
      <w:r w:rsidRPr="003D49EB">
        <w:rPr>
          <w:spacing w:val="-2"/>
          <w:szCs w:val="20"/>
        </w:rPr>
        <w:t>jurídicos</w:t>
      </w:r>
      <w:proofErr w:type="spellEnd"/>
      <w:r w:rsidRPr="003D49EB">
        <w:rPr>
          <w:spacing w:val="-2"/>
          <w:szCs w:val="20"/>
        </w:rPr>
        <w:t xml:space="preserve"> de Azul Rojas </w:t>
      </w:r>
      <w:proofErr w:type="spellStart"/>
      <w:r w:rsidRPr="003D49EB">
        <w:rPr>
          <w:spacing w:val="-2"/>
          <w:szCs w:val="20"/>
        </w:rPr>
        <w:t>Marín</w:t>
      </w:r>
      <w:proofErr w:type="spellEnd"/>
      <w:r w:rsidRPr="003D49EB">
        <w:rPr>
          <w:spacing w:val="-2"/>
          <w:szCs w:val="20"/>
        </w:rPr>
        <w:t>, sino que también fue un mensaje a todas las personas LGBTI, como amenaza a la libertad y dignidad de todo este grupo social.</w:t>
      </w:r>
    </w:p>
    <w:p w14:paraId="508C1D94" w14:textId="77777777" w:rsidR="00EA7516" w:rsidRPr="003D49EB" w:rsidRDefault="00EA7516" w:rsidP="009A4683">
      <w:pPr>
        <w:pStyle w:val="Prrafodelista"/>
        <w:spacing w:after="100" w:afterAutospacing="1"/>
        <w:ind w:left="0"/>
        <w:rPr>
          <w:spacing w:val="-2"/>
          <w:szCs w:val="20"/>
        </w:rPr>
      </w:pPr>
    </w:p>
    <w:p w14:paraId="25DF5D7E" w14:textId="12BBFAAB" w:rsidR="00EA7516" w:rsidRPr="003D49EB" w:rsidRDefault="00EA7516" w:rsidP="009A4683">
      <w:pPr>
        <w:pStyle w:val="Prrafodelista"/>
        <w:spacing w:after="100" w:afterAutospacing="1"/>
        <w:ind w:left="0"/>
        <w:rPr>
          <w:spacing w:val="-2"/>
          <w:szCs w:val="20"/>
        </w:rPr>
      </w:pPr>
      <w:r w:rsidRPr="003D49EB">
        <w:rPr>
          <w:spacing w:val="-2"/>
          <w:szCs w:val="20"/>
        </w:rPr>
        <w:t xml:space="preserve">166. En virtud de lo anterior, la Corte concluye que el conjunto de abusos y agresiones sufridas por Azul Rojas </w:t>
      </w:r>
      <w:proofErr w:type="spellStart"/>
      <w:r w:rsidRPr="003D49EB">
        <w:rPr>
          <w:spacing w:val="-2"/>
          <w:szCs w:val="20"/>
        </w:rPr>
        <w:t>Marín</w:t>
      </w:r>
      <w:proofErr w:type="spellEnd"/>
      <w:r w:rsidRPr="003D49EB">
        <w:rPr>
          <w:spacing w:val="-2"/>
          <w:szCs w:val="20"/>
        </w:rPr>
        <w:t xml:space="preserve">, incluyendo la </w:t>
      </w:r>
      <w:proofErr w:type="spellStart"/>
      <w:r w:rsidRPr="003D49EB">
        <w:rPr>
          <w:spacing w:val="-2"/>
          <w:szCs w:val="20"/>
        </w:rPr>
        <w:t>violación</w:t>
      </w:r>
      <w:proofErr w:type="spellEnd"/>
      <w:r w:rsidRPr="003D49EB">
        <w:rPr>
          <w:spacing w:val="-2"/>
          <w:szCs w:val="20"/>
        </w:rPr>
        <w:t xml:space="preserve"> sexual, constituyó un acto de tortura por parte de agentes estatales.</w:t>
      </w:r>
    </w:p>
    <w:p w14:paraId="7E58C4B3" w14:textId="77777777" w:rsidR="00EA7516" w:rsidRPr="003D49EB" w:rsidRDefault="00EA7516" w:rsidP="009A4683">
      <w:pPr>
        <w:pStyle w:val="Prrafodelista"/>
        <w:spacing w:after="100" w:afterAutospacing="1"/>
        <w:ind w:left="0"/>
        <w:rPr>
          <w:spacing w:val="-2"/>
          <w:szCs w:val="20"/>
        </w:rPr>
      </w:pPr>
    </w:p>
    <w:p w14:paraId="08961E04" w14:textId="2A579E18" w:rsidR="00EA7516" w:rsidRPr="003D49EB" w:rsidRDefault="00EA7516" w:rsidP="009A4683">
      <w:pPr>
        <w:pStyle w:val="Prrafodelista"/>
        <w:spacing w:after="100" w:afterAutospacing="1"/>
        <w:ind w:left="0"/>
        <w:rPr>
          <w:spacing w:val="-2"/>
          <w:szCs w:val="20"/>
        </w:rPr>
      </w:pPr>
      <w:r w:rsidRPr="003D49EB">
        <w:rPr>
          <w:spacing w:val="-2"/>
          <w:szCs w:val="20"/>
        </w:rPr>
        <w:lastRenderedPageBreak/>
        <w:t xml:space="preserve">167. Por tanto, el Estado violó los derechos a la integridad personal, a la vida privada, y a no ser sometida a tortura, consagrados en los </w:t>
      </w:r>
      <w:proofErr w:type="spellStart"/>
      <w:r w:rsidRPr="003D49EB">
        <w:rPr>
          <w:spacing w:val="-2"/>
          <w:szCs w:val="20"/>
        </w:rPr>
        <w:t>artículos</w:t>
      </w:r>
      <w:proofErr w:type="spellEnd"/>
      <w:r w:rsidRPr="003D49EB">
        <w:rPr>
          <w:spacing w:val="-2"/>
          <w:szCs w:val="20"/>
        </w:rPr>
        <w:t xml:space="preserve"> 5.1, 5.2 y 11 de la Convención, en </w:t>
      </w:r>
      <w:proofErr w:type="spellStart"/>
      <w:r w:rsidRPr="003D49EB">
        <w:rPr>
          <w:spacing w:val="-2"/>
          <w:szCs w:val="20"/>
        </w:rPr>
        <w:t>relación</w:t>
      </w:r>
      <w:proofErr w:type="spellEnd"/>
      <w:r w:rsidRPr="003D49EB">
        <w:rPr>
          <w:spacing w:val="-2"/>
          <w:szCs w:val="20"/>
        </w:rPr>
        <w:t xml:space="preserve"> con las obligaciones de respetar y garantizar dichos derechos sin discriminación, consagradas en el artículo 1.1 del mismo tratado y los </w:t>
      </w:r>
      <w:proofErr w:type="spellStart"/>
      <w:r w:rsidRPr="003D49EB">
        <w:rPr>
          <w:spacing w:val="-2"/>
          <w:szCs w:val="20"/>
        </w:rPr>
        <w:t>artículos</w:t>
      </w:r>
      <w:proofErr w:type="spellEnd"/>
      <w:r w:rsidRPr="003D49EB">
        <w:rPr>
          <w:spacing w:val="-2"/>
          <w:szCs w:val="20"/>
        </w:rPr>
        <w:t xml:space="preserve"> 1 y 6 de la Convención Interamericana para Prevenir y Sancionar la Tortura.</w:t>
      </w:r>
    </w:p>
    <w:p w14:paraId="56AF8338" w14:textId="3922BB90" w:rsidR="00B21394" w:rsidRDefault="00B21394" w:rsidP="009A4683">
      <w:pPr>
        <w:pStyle w:val="Caso"/>
      </w:pPr>
      <w:r w:rsidRPr="003D49EB">
        <w:t>Corte IDH. Caso Guzmán Albarracín y otras Vs. Ecuador. Fondo, Reparaciones y Costas. Sentencia de 24 de junio de 2020. Serie C No. 405.</w:t>
      </w:r>
      <w:r w:rsidR="005821EA" w:rsidRPr="003D49EB">
        <w:rPr>
          <w:rStyle w:val="Refdenotaalpie"/>
        </w:rPr>
        <w:footnoteReference w:id="37"/>
      </w:r>
    </w:p>
    <w:p w14:paraId="04824CAC" w14:textId="77777777" w:rsidR="007276B0" w:rsidRPr="003D49EB" w:rsidRDefault="007276B0" w:rsidP="009A4683">
      <w:pPr>
        <w:pStyle w:val="Caso"/>
      </w:pPr>
    </w:p>
    <w:p w14:paraId="50BB8B79" w14:textId="15C40F4B" w:rsidR="00B21394" w:rsidRDefault="00B21394" w:rsidP="009A4683">
      <w:r w:rsidRPr="003D49EB">
        <w:t xml:space="preserve">149. La Corte ha indicado que, de acuerdo al caso, formas de violencia sexual pueden constituir tortura. No obstante, ello debe determinarse en cada caso, para lo que </w:t>
      </w:r>
      <w:proofErr w:type="spellStart"/>
      <w:r w:rsidRPr="003D49EB">
        <w:t>debera</w:t>
      </w:r>
      <w:proofErr w:type="spellEnd"/>
      <w:r w:rsidRPr="003D49EB">
        <w:t xml:space="preserve">́ atenerse a las circunstancias </w:t>
      </w:r>
      <w:proofErr w:type="spellStart"/>
      <w:r w:rsidRPr="003D49EB">
        <w:t>específicas</w:t>
      </w:r>
      <w:proofErr w:type="spellEnd"/>
      <w:r w:rsidRPr="003D49EB">
        <w:t xml:space="preserve"> en </w:t>
      </w:r>
      <w:proofErr w:type="spellStart"/>
      <w:r w:rsidRPr="003D49EB">
        <w:t>relación</w:t>
      </w:r>
      <w:proofErr w:type="spellEnd"/>
      <w:r w:rsidRPr="003D49EB">
        <w:t xml:space="preserve"> con la intencionalidad, a la severidad del sufrimiento y a la finalidad del acto.</w:t>
      </w:r>
    </w:p>
    <w:p w14:paraId="1D8B7B8D" w14:textId="77777777" w:rsidR="007276B0" w:rsidRPr="003D49EB" w:rsidRDefault="007276B0" w:rsidP="009A4683"/>
    <w:p w14:paraId="77523B7D" w14:textId="0B0F98C2" w:rsidR="00B21394" w:rsidRDefault="00B21394" w:rsidP="009A4683">
      <w:r w:rsidRPr="003D49EB">
        <w:t xml:space="preserve">150. La Corte entiende que debe integrarse la perspectiva de </w:t>
      </w:r>
      <w:proofErr w:type="spellStart"/>
      <w:r w:rsidRPr="003D49EB">
        <w:t>género</w:t>
      </w:r>
      <w:proofErr w:type="spellEnd"/>
      <w:r w:rsidRPr="003D49EB">
        <w:t xml:space="preserve"> en el </w:t>
      </w:r>
      <w:proofErr w:type="spellStart"/>
      <w:r w:rsidRPr="003D49EB">
        <w:t>análisis</w:t>
      </w:r>
      <w:proofErr w:type="spellEnd"/>
      <w:r w:rsidRPr="003D49EB">
        <w:t xml:space="preserve"> de hechos que </w:t>
      </w:r>
      <w:proofErr w:type="spellStart"/>
      <w:r w:rsidRPr="003D49EB">
        <w:t>podrían</w:t>
      </w:r>
      <w:proofErr w:type="spellEnd"/>
      <w:r w:rsidRPr="003D49EB">
        <w:t xml:space="preserve"> configurar malos tratos, pues ello permite analizar de un modo </w:t>
      </w:r>
      <w:proofErr w:type="spellStart"/>
      <w:r w:rsidRPr="003D49EB">
        <w:t>más</w:t>
      </w:r>
      <w:proofErr w:type="spellEnd"/>
      <w:r w:rsidRPr="003D49EB">
        <w:t xml:space="preserve"> preciso su </w:t>
      </w:r>
      <w:proofErr w:type="spellStart"/>
      <w:r w:rsidRPr="003D49EB">
        <w:t>carácter</w:t>
      </w:r>
      <w:proofErr w:type="spellEnd"/>
      <w:r w:rsidRPr="003D49EB">
        <w:t xml:space="preserve">, gravedad e implicancias, </w:t>
      </w:r>
      <w:proofErr w:type="spellStart"/>
      <w:r w:rsidRPr="003D49EB">
        <w:t>asi</w:t>
      </w:r>
      <w:proofErr w:type="spellEnd"/>
      <w:r w:rsidRPr="003D49EB">
        <w:t xml:space="preserve">́ como, </w:t>
      </w:r>
      <w:proofErr w:type="spellStart"/>
      <w:r w:rsidRPr="003D49EB">
        <w:t>según</w:t>
      </w:r>
      <w:proofErr w:type="spellEnd"/>
      <w:r w:rsidRPr="003D49EB">
        <w:t xml:space="preserve"> el caso, su arraigo en pautas discriminatorias. En ese sentido, actos de violencia sexual pueden presentar una especificidad propia respecto a mujeres y </w:t>
      </w:r>
      <w:proofErr w:type="spellStart"/>
      <w:r w:rsidRPr="003D49EB">
        <w:t>niñas</w:t>
      </w:r>
      <w:proofErr w:type="spellEnd"/>
      <w:r w:rsidRPr="003D49EB">
        <w:t xml:space="preserve">. A fin de determinar el sufrimiento de malos tratos, “el </w:t>
      </w:r>
      <w:proofErr w:type="spellStart"/>
      <w:r w:rsidRPr="003D49EB">
        <w:t>género</w:t>
      </w:r>
      <w:proofErr w:type="spellEnd"/>
      <w:r w:rsidRPr="003D49EB">
        <w:t xml:space="preserve"> es un factor fundamental”, al igual que la edad de la </w:t>
      </w:r>
      <w:proofErr w:type="spellStart"/>
      <w:r w:rsidRPr="003D49EB">
        <w:t>víctima</w:t>
      </w:r>
      <w:proofErr w:type="spellEnd"/>
      <w:r w:rsidRPr="003D49EB">
        <w:t xml:space="preserve">. </w:t>
      </w:r>
      <w:proofErr w:type="spellStart"/>
      <w:r w:rsidRPr="003D49EB">
        <w:t>Asi</w:t>
      </w:r>
      <w:proofErr w:type="spellEnd"/>
      <w:r w:rsidRPr="003D49EB">
        <w:t xml:space="preserve">́ lo ha expresado el </w:t>
      </w:r>
      <w:proofErr w:type="spellStart"/>
      <w:r w:rsidRPr="003D49EB">
        <w:t>Comite</w:t>
      </w:r>
      <w:proofErr w:type="spellEnd"/>
      <w:r w:rsidRPr="003D49EB">
        <w:t xml:space="preserve">́ contra la Tortura, que explicó que “[l]a condición femenina se combina con otras </w:t>
      </w:r>
      <w:proofErr w:type="spellStart"/>
      <w:r w:rsidRPr="003D49EB">
        <w:t>características</w:t>
      </w:r>
      <w:proofErr w:type="spellEnd"/>
      <w:r w:rsidRPr="003D49EB">
        <w:t xml:space="preserve"> o condiciones distintivas de la persona, como[, entre otras,] la edad [...], para determinar las formas en que las mujeres y las </w:t>
      </w:r>
      <w:proofErr w:type="spellStart"/>
      <w:r w:rsidRPr="003D49EB">
        <w:t>niñas</w:t>
      </w:r>
      <w:proofErr w:type="spellEnd"/>
      <w:r w:rsidRPr="003D49EB">
        <w:t xml:space="preserve"> sufren o corren el riesgo de sufrir torturas o malos tratos, y sus consecuencias”. En </w:t>
      </w:r>
      <w:proofErr w:type="spellStart"/>
      <w:r w:rsidRPr="003D49EB">
        <w:t>relación</w:t>
      </w:r>
      <w:proofErr w:type="spellEnd"/>
      <w:r w:rsidRPr="003D49EB">
        <w:t xml:space="preserve"> con ello, el </w:t>
      </w:r>
      <w:proofErr w:type="spellStart"/>
      <w:r w:rsidRPr="003D49EB">
        <w:t>Comite</w:t>
      </w:r>
      <w:proofErr w:type="spellEnd"/>
      <w:r w:rsidRPr="003D49EB">
        <w:t xml:space="preserve">́ de los Derechos del </w:t>
      </w:r>
      <w:proofErr w:type="spellStart"/>
      <w:r w:rsidRPr="003D49EB">
        <w:t>Niño</w:t>
      </w:r>
      <w:proofErr w:type="spellEnd"/>
      <w:r w:rsidRPr="003D49EB">
        <w:t xml:space="preserve"> ha </w:t>
      </w:r>
      <w:proofErr w:type="spellStart"/>
      <w:r w:rsidRPr="003D49EB">
        <w:t>señalado</w:t>
      </w:r>
      <w:proofErr w:type="spellEnd"/>
      <w:r w:rsidRPr="003D49EB">
        <w:t xml:space="preserve"> que cabe incluir en los conceptos de “[t]</w:t>
      </w:r>
      <w:proofErr w:type="spellStart"/>
      <w:r w:rsidRPr="003D49EB">
        <w:t>ortura</w:t>
      </w:r>
      <w:proofErr w:type="spellEnd"/>
      <w:r w:rsidRPr="003D49EB">
        <w:t xml:space="preserve"> y tratos o penas crueles, inhumanos o degradantes” actos severos de violencia contra </w:t>
      </w:r>
      <w:proofErr w:type="spellStart"/>
      <w:r w:rsidRPr="003D49EB">
        <w:t>niñas</w:t>
      </w:r>
      <w:proofErr w:type="spellEnd"/>
      <w:r w:rsidRPr="003D49EB">
        <w:t xml:space="preserve"> o </w:t>
      </w:r>
      <w:proofErr w:type="spellStart"/>
      <w:r w:rsidRPr="003D49EB">
        <w:t>niños</w:t>
      </w:r>
      <w:proofErr w:type="spellEnd"/>
      <w:r w:rsidRPr="003D49EB">
        <w:t xml:space="preserve"> cometidos por “personas que tienen autoridad sobre el </w:t>
      </w:r>
      <w:proofErr w:type="spellStart"/>
      <w:r w:rsidRPr="003D49EB">
        <w:t>niño</w:t>
      </w:r>
      <w:proofErr w:type="spellEnd"/>
      <w:r w:rsidRPr="003D49EB">
        <w:t>[.</w:t>
      </w:r>
      <w:r w:rsidR="006A660B" w:rsidRPr="003D49EB">
        <w:t>.</w:t>
      </w:r>
      <w:r w:rsidRPr="003D49EB">
        <w:t xml:space="preserve">..] Estos actos brutales suelen causar </w:t>
      </w:r>
      <w:proofErr w:type="spellStart"/>
      <w:r w:rsidRPr="003D49EB">
        <w:t>daños</w:t>
      </w:r>
      <w:proofErr w:type="spellEnd"/>
      <w:r w:rsidRPr="003D49EB">
        <w:t xml:space="preserve"> </w:t>
      </w:r>
      <w:proofErr w:type="spellStart"/>
      <w:r w:rsidRPr="003D49EB">
        <w:t>físicos</w:t>
      </w:r>
      <w:proofErr w:type="spellEnd"/>
      <w:r w:rsidRPr="003D49EB">
        <w:t xml:space="preserve"> y </w:t>
      </w:r>
      <w:proofErr w:type="spellStart"/>
      <w:r w:rsidRPr="003D49EB">
        <w:t>psicológicos</w:t>
      </w:r>
      <w:proofErr w:type="spellEnd"/>
      <w:r w:rsidRPr="003D49EB">
        <w:t xml:space="preserve"> y </w:t>
      </w:r>
      <w:proofErr w:type="spellStart"/>
      <w:r w:rsidRPr="003D49EB">
        <w:t>estrés</w:t>
      </w:r>
      <w:proofErr w:type="spellEnd"/>
      <w:r w:rsidRPr="003D49EB">
        <w:t xml:space="preserve"> social permanentes”. Los Estados tienen la obligación de adoptar acciones para evitar malos tratos en las escuelas e instituciones que atienden a </w:t>
      </w:r>
      <w:proofErr w:type="spellStart"/>
      <w:r w:rsidRPr="003D49EB">
        <w:t>niñas</w:t>
      </w:r>
      <w:proofErr w:type="spellEnd"/>
      <w:r w:rsidRPr="003D49EB">
        <w:t xml:space="preserve"> o </w:t>
      </w:r>
      <w:proofErr w:type="spellStart"/>
      <w:r w:rsidRPr="003D49EB">
        <w:t>niños</w:t>
      </w:r>
      <w:proofErr w:type="spellEnd"/>
      <w:r w:rsidRPr="003D49EB">
        <w:t>.</w:t>
      </w:r>
    </w:p>
    <w:p w14:paraId="7063F75B" w14:textId="77777777" w:rsidR="007276B0" w:rsidRPr="003D49EB" w:rsidRDefault="007276B0" w:rsidP="009A4683">
      <w:pPr>
        <w:rPr>
          <w:szCs w:val="22"/>
        </w:rPr>
      </w:pPr>
    </w:p>
    <w:p w14:paraId="6C2D561F" w14:textId="76D1C71D" w:rsidR="00B21394" w:rsidRDefault="00B21394" w:rsidP="009A4683">
      <w:r w:rsidRPr="003D49EB">
        <w:t xml:space="preserve">151. En el caso, resulta claro que la violencia sexual generó un grave sufrimiento a Paola. En ese sentido, resultan muy graves las implicancias que tiene la violencia sexual para las </w:t>
      </w:r>
      <w:proofErr w:type="spellStart"/>
      <w:r w:rsidRPr="003D49EB">
        <w:t>niñas</w:t>
      </w:r>
      <w:proofErr w:type="spellEnd"/>
      <w:r w:rsidRPr="003D49EB">
        <w:t xml:space="preserve"> y los </w:t>
      </w:r>
      <w:proofErr w:type="spellStart"/>
      <w:r w:rsidRPr="003D49EB">
        <w:t>niños</w:t>
      </w:r>
      <w:proofErr w:type="spellEnd"/>
      <w:r w:rsidRPr="003D49EB">
        <w:t xml:space="preserve">. Como también se indica </w:t>
      </w:r>
      <w:proofErr w:type="spellStart"/>
      <w:r w:rsidRPr="003D49EB">
        <w:t>más</w:t>
      </w:r>
      <w:proofErr w:type="spellEnd"/>
      <w:r w:rsidRPr="003D49EB">
        <w:t xml:space="preserve"> adelante </w:t>
      </w:r>
      <w:r w:rsidR="00632C28">
        <w:t>[...]</w:t>
      </w:r>
      <w:r w:rsidRPr="003D49EB">
        <w:t xml:space="preserve">, el sufrimiento de Paola se hizo patente a partir de su suicidio. Este acto evidencia hasta qué punto el sufrimiento </w:t>
      </w:r>
      <w:proofErr w:type="spellStart"/>
      <w:r w:rsidRPr="003D49EB">
        <w:t>psicológico</w:t>
      </w:r>
      <w:proofErr w:type="spellEnd"/>
      <w:r w:rsidRPr="003D49EB">
        <w:t xml:space="preserve"> resultó insostenible para la </w:t>
      </w:r>
      <w:proofErr w:type="spellStart"/>
      <w:r w:rsidRPr="003D49EB">
        <w:t>víctima</w:t>
      </w:r>
      <w:proofErr w:type="spellEnd"/>
      <w:r w:rsidRPr="003D49EB">
        <w:t xml:space="preserve">. El </w:t>
      </w:r>
      <w:proofErr w:type="spellStart"/>
      <w:r w:rsidRPr="003D49EB">
        <w:t>vínculo</w:t>
      </w:r>
      <w:proofErr w:type="spellEnd"/>
      <w:r w:rsidRPr="003D49EB">
        <w:t xml:space="preserve"> del suicidio con la violencia sexual se infiere de las cartas que dejó Paola, en las que hizo referencia clara a su </w:t>
      </w:r>
      <w:proofErr w:type="spellStart"/>
      <w:r w:rsidRPr="003D49EB">
        <w:t>relación</w:t>
      </w:r>
      <w:proofErr w:type="spellEnd"/>
      <w:r w:rsidRPr="003D49EB">
        <w:t xml:space="preserve"> con el Vicerrector, </w:t>
      </w:r>
      <w:proofErr w:type="spellStart"/>
      <w:r w:rsidRPr="003D49EB">
        <w:t>señalando</w:t>
      </w:r>
      <w:proofErr w:type="spellEnd"/>
      <w:r w:rsidRPr="003D49EB">
        <w:t xml:space="preserve"> que ya no </w:t>
      </w:r>
      <w:proofErr w:type="spellStart"/>
      <w:r w:rsidRPr="003D49EB">
        <w:t>podía</w:t>
      </w:r>
      <w:proofErr w:type="spellEnd"/>
      <w:r w:rsidRPr="003D49EB">
        <w:t xml:space="preserve"> aguantar lo que estaba sufriendo y que por ese motivo </w:t>
      </w:r>
      <w:proofErr w:type="spellStart"/>
      <w:r w:rsidRPr="003D49EB">
        <w:t>ingirio</w:t>
      </w:r>
      <w:proofErr w:type="spellEnd"/>
      <w:r w:rsidRPr="003D49EB">
        <w:t xml:space="preserve">́ veneno. Esto resulta respaldado por los dichos de la perita Ximena </w:t>
      </w:r>
      <w:proofErr w:type="spellStart"/>
      <w:r w:rsidRPr="003D49EB">
        <w:t>Cortés</w:t>
      </w:r>
      <w:proofErr w:type="spellEnd"/>
      <w:r w:rsidRPr="003D49EB">
        <w:t xml:space="preserve"> Castillo, quien </w:t>
      </w:r>
      <w:proofErr w:type="spellStart"/>
      <w:r w:rsidRPr="003D49EB">
        <w:t>señalo</w:t>
      </w:r>
      <w:proofErr w:type="spellEnd"/>
      <w:r w:rsidRPr="003D49EB">
        <w:t xml:space="preserve">́ que el suicido en el caso estuvo vinculado a la violencia sexual y debe entenderse “como un impacto de [la misma]: Paola se quitó la vida por la </w:t>
      </w:r>
      <w:proofErr w:type="spellStart"/>
      <w:r w:rsidRPr="003D49EB">
        <w:t>presión</w:t>
      </w:r>
      <w:proofErr w:type="spellEnd"/>
      <w:r w:rsidRPr="003D49EB">
        <w:t xml:space="preserve"> de la culpa”, en tanto que lo que estaba viviendo resultaba “insoportable e inaudito para su capacidad </w:t>
      </w:r>
      <w:proofErr w:type="spellStart"/>
      <w:r w:rsidRPr="003D49EB">
        <w:t>psíquica</w:t>
      </w:r>
      <w:proofErr w:type="spellEnd"/>
      <w:r w:rsidRPr="003D49EB">
        <w:t>”.</w:t>
      </w:r>
    </w:p>
    <w:p w14:paraId="3BABAF39" w14:textId="77777777" w:rsidR="007276B0" w:rsidRPr="003D49EB" w:rsidRDefault="007276B0" w:rsidP="009A4683">
      <w:pPr>
        <w:rPr>
          <w:szCs w:val="22"/>
        </w:rPr>
      </w:pPr>
    </w:p>
    <w:p w14:paraId="7BCE1B74" w14:textId="446DFF44" w:rsidR="00B21394" w:rsidRDefault="00B21394" w:rsidP="009A4683">
      <w:r w:rsidRPr="003D49EB">
        <w:t xml:space="preserve">152. Sin perjuicio de lo anterior, la </w:t>
      </w:r>
      <w:proofErr w:type="spellStart"/>
      <w:r w:rsidRPr="003D49EB">
        <w:t>categorización</w:t>
      </w:r>
      <w:proofErr w:type="spellEnd"/>
      <w:r w:rsidRPr="003D49EB">
        <w:t xml:space="preserve"> de un acto como tortura debe realizarse con el </w:t>
      </w:r>
      <w:proofErr w:type="spellStart"/>
      <w:r w:rsidRPr="003D49EB">
        <w:t>máximo</w:t>
      </w:r>
      <w:proofErr w:type="spellEnd"/>
      <w:r w:rsidRPr="003D49EB">
        <w:t xml:space="preserve"> rigor, pues la tortura constituye un ataque a la dignidad humana particularmente grave y reprochable, en la que el perpetrador </w:t>
      </w:r>
      <w:r w:rsidRPr="003D49EB">
        <w:lastRenderedPageBreak/>
        <w:t xml:space="preserve">deliberadamente inflige un dolor o sufrimiento severo, o ejerce un </w:t>
      </w:r>
      <w:proofErr w:type="spellStart"/>
      <w:r w:rsidRPr="003D49EB">
        <w:t>método</w:t>
      </w:r>
      <w:proofErr w:type="spellEnd"/>
      <w:r w:rsidRPr="003D49EB">
        <w:t xml:space="preserve"> tendiente a anular la personalidad o disminuir la capacidad </w:t>
      </w:r>
      <w:proofErr w:type="spellStart"/>
      <w:r w:rsidRPr="003D49EB">
        <w:t>física</w:t>
      </w:r>
      <w:proofErr w:type="spellEnd"/>
      <w:r w:rsidRPr="003D49EB">
        <w:t xml:space="preserve"> o mental, en una </w:t>
      </w:r>
      <w:proofErr w:type="spellStart"/>
      <w:r w:rsidRPr="003D49EB">
        <w:t>víctima</w:t>
      </w:r>
      <w:proofErr w:type="spellEnd"/>
      <w:r w:rsidRPr="003D49EB">
        <w:t xml:space="preserve"> que se encuentra en una situación de vulnerabilidad, </w:t>
      </w:r>
      <w:proofErr w:type="spellStart"/>
      <w:r w:rsidRPr="003D49EB">
        <w:t>haciéndolo</w:t>
      </w:r>
      <w:proofErr w:type="spellEnd"/>
      <w:r w:rsidRPr="003D49EB">
        <w:t xml:space="preserve"> para lograr, de ese modo, un </w:t>
      </w:r>
      <w:proofErr w:type="spellStart"/>
      <w:r w:rsidRPr="003D49EB">
        <w:t>propósito</w:t>
      </w:r>
      <w:proofErr w:type="spellEnd"/>
      <w:r w:rsidRPr="003D49EB">
        <w:t xml:space="preserve"> </w:t>
      </w:r>
      <w:proofErr w:type="spellStart"/>
      <w:r w:rsidRPr="003D49EB">
        <w:t>específico</w:t>
      </w:r>
      <w:proofErr w:type="spellEnd"/>
      <w:r w:rsidRPr="003D49EB">
        <w:t xml:space="preserve">. La Corte entiende que en el presente caso los hechos acreditados no permiten evidenciar de forma suficiente todos los requisitos que </w:t>
      </w:r>
      <w:proofErr w:type="spellStart"/>
      <w:r w:rsidRPr="003D49EB">
        <w:t>permitirían</w:t>
      </w:r>
      <w:proofErr w:type="spellEnd"/>
      <w:r w:rsidRPr="003D49EB">
        <w:t xml:space="preserve"> arribar a esa </w:t>
      </w:r>
      <w:proofErr w:type="spellStart"/>
      <w:r w:rsidRPr="003D49EB">
        <w:t>conclusión</w:t>
      </w:r>
      <w:proofErr w:type="spellEnd"/>
      <w:r w:rsidRPr="003D49EB">
        <w:t>.</w:t>
      </w:r>
    </w:p>
    <w:p w14:paraId="4AE69A36" w14:textId="77777777" w:rsidR="007276B0" w:rsidRPr="003D49EB" w:rsidRDefault="007276B0" w:rsidP="009A4683"/>
    <w:p w14:paraId="74D12723" w14:textId="0BB6E08A" w:rsidR="00994980" w:rsidRDefault="00994980" w:rsidP="009A4683">
      <w:pPr>
        <w:pStyle w:val="Caso"/>
      </w:pPr>
      <w:r w:rsidRPr="003D49EB">
        <w:t>Corte IDH. Caso Bedoya Lima y otra Vs. Colombia. Fondo, Reparaciones y Costas. Sentencia de 26 de agosto de 2021. Serie C No. 431.</w:t>
      </w:r>
      <w:r w:rsidR="005821EA" w:rsidRPr="003D49EB">
        <w:rPr>
          <w:rStyle w:val="Refdenotaalpie"/>
        </w:rPr>
        <w:footnoteReference w:id="38"/>
      </w:r>
    </w:p>
    <w:p w14:paraId="01D0B639" w14:textId="77777777" w:rsidR="007276B0" w:rsidRPr="003D49EB" w:rsidRDefault="007276B0" w:rsidP="009A4683">
      <w:pPr>
        <w:pStyle w:val="Caso"/>
      </w:pPr>
    </w:p>
    <w:p w14:paraId="51E18E53" w14:textId="3EEB6300" w:rsidR="00994980" w:rsidRDefault="00994980" w:rsidP="009A4683">
      <w:r w:rsidRPr="003D49EB">
        <w:t xml:space="preserve">100. Adicionalmente, el Tribunal advierte que, mientras la </w:t>
      </w:r>
      <w:proofErr w:type="spellStart"/>
      <w:r w:rsidRPr="003D49EB">
        <w:t>señora</w:t>
      </w:r>
      <w:proofErr w:type="spellEnd"/>
      <w:r w:rsidRPr="003D49EB">
        <w:t xml:space="preserve"> Bedoya estuvo secuestrada fue sometida a graves agresiones verbales y </w:t>
      </w:r>
      <w:proofErr w:type="spellStart"/>
      <w:r w:rsidRPr="003D49EB">
        <w:t>físicas</w:t>
      </w:r>
      <w:proofErr w:type="spellEnd"/>
      <w:r w:rsidRPr="003D49EB">
        <w:t xml:space="preserve">, siendo </w:t>
      </w:r>
      <w:proofErr w:type="spellStart"/>
      <w:r w:rsidRPr="003D49EB">
        <w:t>además</w:t>
      </w:r>
      <w:proofErr w:type="spellEnd"/>
      <w:r w:rsidRPr="003D49EB">
        <w:t xml:space="preserve"> violada por sus secuestradores. Si bien el artículo 5.1 de la Convención consagra en </w:t>
      </w:r>
      <w:proofErr w:type="spellStart"/>
      <w:r w:rsidRPr="003D49EB">
        <w:t>términos</w:t>
      </w:r>
      <w:proofErr w:type="spellEnd"/>
      <w:r w:rsidRPr="003D49EB">
        <w:t xml:space="preserve"> generales el derecho a la integridad personal –tanto </w:t>
      </w:r>
      <w:proofErr w:type="spellStart"/>
      <w:r w:rsidRPr="003D49EB">
        <w:t>física</w:t>
      </w:r>
      <w:proofErr w:type="spellEnd"/>
      <w:r w:rsidRPr="003D49EB">
        <w:t xml:space="preserve"> como </w:t>
      </w:r>
      <w:proofErr w:type="spellStart"/>
      <w:r w:rsidRPr="003D49EB">
        <w:t>psíquica</w:t>
      </w:r>
      <w:proofErr w:type="spellEnd"/>
      <w:r w:rsidRPr="003D49EB">
        <w:t xml:space="preserve"> y moral–, el artículo 5.2 establece, de manera </w:t>
      </w:r>
      <w:proofErr w:type="spellStart"/>
      <w:r w:rsidRPr="003D49EB">
        <w:t>más</w:t>
      </w:r>
      <w:proofErr w:type="spellEnd"/>
      <w:r w:rsidRPr="003D49EB">
        <w:t xml:space="preserve"> </w:t>
      </w:r>
      <w:proofErr w:type="spellStart"/>
      <w:r w:rsidRPr="003D49EB">
        <w:t>específica</w:t>
      </w:r>
      <w:proofErr w:type="spellEnd"/>
      <w:r w:rsidRPr="003D49EB">
        <w:t xml:space="preserve">, la </w:t>
      </w:r>
      <w:proofErr w:type="spellStart"/>
      <w:r w:rsidRPr="003D49EB">
        <w:t>prohibición</w:t>
      </w:r>
      <w:proofErr w:type="spellEnd"/>
      <w:r w:rsidRPr="003D49EB">
        <w:t xml:space="preserve"> absoluta de someter a alguien a torturas o a penas o tratos crueles, inhumanos o degradantes. La Corte ha </w:t>
      </w:r>
      <w:proofErr w:type="spellStart"/>
      <w:r w:rsidRPr="003D49EB">
        <w:t>señalado</w:t>
      </w:r>
      <w:proofErr w:type="spellEnd"/>
      <w:r w:rsidRPr="003D49EB">
        <w:t xml:space="preserve"> que la </w:t>
      </w:r>
      <w:proofErr w:type="spellStart"/>
      <w:r w:rsidRPr="003D49EB">
        <w:t>violación</w:t>
      </w:r>
      <w:proofErr w:type="spellEnd"/>
      <w:r w:rsidRPr="003D49EB">
        <w:t xml:space="preserve"> del derecho a la integridad </w:t>
      </w:r>
      <w:proofErr w:type="spellStart"/>
      <w:r w:rsidRPr="003D49EB">
        <w:t>física</w:t>
      </w:r>
      <w:proofErr w:type="spellEnd"/>
      <w:r w:rsidRPr="003D49EB">
        <w:t xml:space="preserve"> y </w:t>
      </w:r>
      <w:proofErr w:type="spellStart"/>
      <w:r w:rsidRPr="003D49EB">
        <w:t>psíquica</w:t>
      </w:r>
      <w:proofErr w:type="spellEnd"/>
      <w:r w:rsidRPr="003D49EB">
        <w:t xml:space="preserve"> de las personas tiene diversas connotaciones de grado y que abarca desde la tortura hasta otro tipo de </w:t>
      </w:r>
      <w:proofErr w:type="spellStart"/>
      <w:r w:rsidRPr="003D49EB">
        <w:t>vejámenes</w:t>
      </w:r>
      <w:proofErr w:type="spellEnd"/>
      <w:r w:rsidRPr="003D49EB">
        <w:t xml:space="preserve"> o tratos crueles, inhumanos o degradantes, cuyas secuelas </w:t>
      </w:r>
      <w:proofErr w:type="spellStart"/>
      <w:r w:rsidRPr="003D49EB">
        <w:t>físicas</w:t>
      </w:r>
      <w:proofErr w:type="spellEnd"/>
      <w:r w:rsidRPr="003D49EB">
        <w:t xml:space="preserve"> y </w:t>
      </w:r>
      <w:proofErr w:type="spellStart"/>
      <w:r w:rsidRPr="003D49EB">
        <w:t>psíquicas</w:t>
      </w:r>
      <w:proofErr w:type="spellEnd"/>
      <w:r w:rsidRPr="003D49EB">
        <w:t xml:space="preserve"> </w:t>
      </w:r>
      <w:proofErr w:type="spellStart"/>
      <w:r w:rsidRPr="003D49EB">
        <w:t>varían</w:t>
      </w:r>
      <w:proofErr w:type="spellEnd"/>
      <w:r w:rsidRPr="003D49EB">
        <w:t xml:space="preserve"> de intensidad </w:t>
      </w:r>
      <w:proofErr w:type="spellStart"/>
      <w:r w:rsidRPr="003D49EB">
        <w:t>según</w:t>
      </w:r>
      <w:proofErr w:type="spellEnd"/>
      <w:r w:rsidRPr="003D49EB">
        <w:t xml:space="preserve"> factores </w:t>
      </w:r>
      <w:proofErr w:type="spellStart"/>
      <w:r w:rsidRPr="003D49EB">
        <w:t>endógenos</w:t>
      </w:r>
      <w:proofErr w:type="spellEnd"/>
      <w:r w:rsidRPr="003D49EB">
        <w:t xml:space="preserve"> y </w:t>
      </w:r>
      <w:proofErr w:type="spellStart"/>
      <w:r w:rsidRPr="003D49EB">
        <w:t>exógenos</w:t>
      </w:r>
      <w:proofErr w:type="spellEnd"/>
      <w:r w:rsidRPr="003D49EB">
        <w:t xml:space="preserve"> de la persona (</w:t>
      </w:r>
      <w:proofErr w:type="spellStart"/>
      <w:r w:rsidRPr="003D49EB">
        <w:t>duración</w:t>
      </w:r>
      <w:proofErr w:type="spellEnd"/>
      <w:r w:rsidRPr="003D49EB">
        <w:t xml:space="preserve"> de los tratos, edad, sexo, salud, contexto, vulnerabilidad, entre otros) que </w:t>
      </w:r>
      <w:proofErr w:type="spellStart"/>
      <w:r w:rsidRPr="003D49EB">
        <w:t>deberán</w:t>
      </w:r>
      <w:proofErr w:type="spellEnd"/>
      <w:r w:rsidRPr="003D49EB">
        <w:t xml:space="preserve"> ser analizados en cada situación concreta. El Tribunal recuerda que la </w:t>
      </w:r>
      <w:proofErr w:type="spellStart"/>
      <w:r w:rsidRPr="003D49EB">
        <w:t>prohibición</w:t>
      </w:r>
      <w:proofErr w:type="spellEnd"/>
      <w:r w:rsidRPr="003D49EB">
        <w:t xml:space="preserve"> absoluta de la tortura, tanto </w:t>
      </w:r>
      <w:proofErr w:type="spellStart"/>
      <w:r w:rsidRPr="003D49EB">
        <w:t>física</w:t>
      </w:r>
      <w:proofErr w:type="spellEnd"/>
      <w:r w:rsidRPr="003D49EB">
        <w:t xml:space="preserve"> como </w:t>
      </w:r>
      <w:proofErr w:type="spellStart"/>
      <w:r w:rsidRPr="003D49EB">
        <w:t>psicológica</w:t>
      </w:r>
      <w:proofErr w:type="spellEnd"/>
      <w:r w:rsidRPr="003D49EB">
        <w:t xml:space="preserve">, pertenece hoy </w:t>
      </w:r>
      <w:proofErr w:type="spellStart"/>
      <w:r w:rsidRPr="003D49EB">
        <w:t>día</w:t>
      </w:r>
      <w:proofErr w:type="spellEnd"/>
      <w:r w:rsidRPr="003D49EB">
        <w:t xml:space="preserve"> al dominio del </w:t>
      </w:r>
      <w:proofErr w:type="spellStart"/>
      <w:r w:rsidRPr="003D49EB">
        <w:t>jus</w:t>
      </w:r>
      <w:proofErr w:type="spellEnd"/>
      <w:r w:rsidRPr="003D49EB">
        <w:t xml:space="preserve"> cogens internacional.</w:t>
      </w:r>
    </w:p>
    <w:p w14:paraId="6741DCFA" w14:textId="77777777" w:rsidR="007276B0" w:rsidRPr="003D49EB" w:rsidRDefault="007276B0" w:rsidP="009A4683"/>
    <w:p w14:paraId="4E79B193" w14:textId="64C75BD4" w:rsidR="00994980" w:rsidRDefault="00994980" w:rsidP="009A4683">
      <w:r w:rsidRPr="003D49EB">
        <w:t xml:space="preserve">101. En lo que respecta a la violencia sexual y la </w:t>
      </w:r>
      <w:proofErr w:type="spellStart"/>
      <w:r w:rsidRPr="003D49EB">
        <w:t>violación</w:t>
      </w:r>
      <w:proofErr w:type="spellEnd"/>
      <w:r w:rsidRPr="003D49EB">
        <w:t xml:space="preserve">, la jurisprudencia de esta Corte ha reconocido que estas formas de violencia sexual pueden configurar tratos crueles, inhumanos o degradantes, e incluso actos de tortura si se satisfacen los elementos de la </w:t>
      </w:r>
      <w:proofErr w:type="spellStart"/>
      <w:r w:rsidRPr="003D49EB">
        <w:t>definición</w:t>
      </w:r>
      <w:proofErr w:type="spellEnd"/>
      <w:r w:rsidRPr="003D49EB">
        <w:t xml:space="preserve">. De igual forma se ha expedido el Tribunal Europeo de Derechos Humanos, el </w:t>
      </w:r>
      <w:proofErr w:type="spellStart"/>
      <w:r w:rsidRPr="003D49EB">
        <w:t>Comite</w:t>
      </w:r>
      <w:proofErr w:type="spellEnd"/>
      <w:r w:rsidRPr="003D49EB">
        <w:t xml:space="preserve">́ de Derechos Humanos, el </w:t>
      </w:r>
      <w:proofErr w:type="spellStart"/>
      <w:r w:rsidRPr="003D49EB">
        <w:t>Comite</w:t>
      </w:r>
      <w:proofErr w:type="spellEnd"/>
      <w:r w:rsidRPr="003D49EB">
        <w:t xml:space="preserve">́ contra la Tortura, el </w:t>
      </w:r>
      <w:proofErr w:type="spellStart"/>
      <w:r w:rsidRPr="003D49EB">
        <w:t>Comite</w:t>
      </w:r>
      <w:proofErr w:type="spellEnd"/>
      <w:r w:rsidRPr="003D49EB">
        <w:t xml:space="preserve">́ para la </w:t>
      </w:r>
      <w:proofErr w:type="spellStart"/>
      <w:r w:rsidRPr="003D49EB">
        <w:t>Eliminación</w:t>
      </w:r>
      <w:proofErr w:type="spellEnd"/>
      <w:r w:rsidRPr="003D49EB">
        <w:t xml:space="preserve"> de la Discriminación contra la Mujer, y el Relator de Naciones Unidas contra la Tortura. En </w:t>
      </w:r>
      <w:proofErr w:type="spellStart"/>
      <w:r w:rsidRPr="003D49EB">
        <w:t>razón</w:t>
      </w:r>
      <w:proofErr w:type="spellEnd"/>
      <w:r w:rsidRPr="003D49EB">
        <w:t xml:space="preserve"> de que el artículo 5.2 de la Convención Americana no precisa lo que debe entenderse como “tortura”, la Corte ha recurrido tanto al artículo 2 de la CIPST, como a otras definiciones contenidas en los instrumentos internacionales que prescriben la </w:t>
      </w:r>
      <w:proofErr w:type="spellStart"/>
      <w:r w:rsidRPr="003D49EB">
        <w:t>prohibición</w:t>
      </w:r>
      <w:proofErr w:type="spellEnd"/>
      <w:r w:rsidRPr="003D49EB">
        <w:t xml:space="preserve"> de la tortura, para interpretar </w:t>
      </w:r>
      <w:proofErr w:type="spellStart"/>
      <w:r w:rsidRPr="003D49EB">
        <w:t>cuáles</w:t>
      </w:r>
      <w:proofErr w:type="spellEnd"/>
      <w:r w:rsidRPr="003D49EB">
        <w:t xml:space="preserve"> son los elementos constitutivos de la tortura, a partir de estos instrumentos ha determinado que se está frente a un acto constitutivo de tortura cuando el maltrato: i) es intencional; ii) cause severos sufrimientos </w:t>
      </w:r>
      <w:proofErr w:type="spellStart"/>
      <w:r w:rsidRPr="003D49EB">
        <w:t>físicos</w:t>
      </w:r>
      <w:proofErr w:type="spellEnd"/>
      <w:r w:rsidRPr="003D49EB">
        <w:t xml:space="preserve"> o mentales, y iii) se cometa con cualquier fin o </w:t>
      </w:r>
      <w:proofErr w:type="spellStart"/>
      <w:r w:rsidRPr="003D49EB">
        <w:t>propósito</w:t>
      </w:r>
      <w:proofErr w:type="spellEnd"/>
      <w:r w:rsidRPr="003D49EB">
        <w:t>.</w:t>
      </w:r>
    </w:p>
    <w:p w14:paraId="4F1ABB44" w14:textId="77777777" w:rsidR="007276B0" w:rsidRPr="003D49EB" w:rsidRDefault="007276B0" w:rsidP="009A4683"/>
    <w:p w14:paraId="2B079794" w14:textId="4F8F0515" w:rsidR="00994980" w:rsidRDefault="00994980" w:rsidP="009A4683">
      <w:r w:rsidRPr="003D49EB">
        <w:lastRenderedPageBreak/>
        <w:t xml:space="preserve">102. En lo que respecta al </w:t>
      </w:r>
      <w:proofErr w:type="spellStart"/>
      <w:r w:rsidRPr="003D49EB">
        <w:t>análisis</w:t>
      </w:r>
      <w:proofErr w:type="spellEnd"/>
      <w:r w:rsidRPr="003D49EB">
        <w:t xml:space="preserve"> del presente caso, de la prueba ofrecida, la Corte da por demostrada la gravedad e intensidad de los severos malos tratos </w:t>
      </w:r>
      <w:proofErr w:type="spellStart"/>
      <w:r w:rsidRPr="003D49EB">
        <w:t>físicos</w:t>
      </w:r>
      <w:proofErr w:type="spellEnd"/>
      <w:r w:rsidRPr="003D49EB">
        <w:t xml:space="preserve">, verbales, </w:t>
      </w:r>
      <w:proofErr w:type="spellStart"/>
      <w:r w:rsidRPr="003D49EB">
        <w:t>psicológicos</w:t>
      </w:r>
      <w:proofErr w:type="spellEnd"/>
      <w:r w:rsidRPr="003D49EB">
        <w:t xml:space="preserve"> y sexuales sufridos por la </w:t>
      </w:r>
      <w:proofErr w:type="spellStart"/>
      <w:r w:rsidRPr="003D49EB">
        <w:t>señora</w:t>
      </w:r>
      <w:proofErr w:type="spellEnd"/>
      <w:r w:rsidRPr="003D49EB">
        <w:t xml:space="preserve"> Bedoya, los cuales fueron perpetrados de forma sostenida en el tiempo durante aproximadamente 10 horas, cuando ella se encontraba en un estado de total </w:t>
      </w:r>
      <w:proofErr w:type="spellStart"/>
      <w:r w:rsidRPr="003D49EB">
        <w:t>indefensión</w:t>
      </w:r>
      <w:proofErr w:type="spellEnd"/>
      <w:r w:rsidRPr="003D49EB">
        <w:t xml:space="preserve">, amarrada y bajo el dominio de sus agresores. Asimismo, quedó establecido que fue sometida a una </w:t>
      </w:r>
      <w:proofErr w:type="spellStart"/>
      <w:r w:rsidRPr="003D49EB">
        <w:t>violación</w:t>
      </w:r>
      <w:proofErr w:type="spellEnd"/>
      <w:r w:rsidRPr="003D49EB">
        <w:t xml:space="preserve"> sexual por varios perpetradores, una experiencia sumamente </w:t>
      </w:r>
      <w:proofErr w:type="spellStart"/>
      <w:r w:rsidRPr="003D49EB">
        <w:t>traumática</w:t>
      </w:r>
      <w:proofErr w:type="spellEnd"/>
      <w:r w:rsidRPr="003D49EB">
        <w:t xml:space="preserve"> que tiene severas consecuencias y causa gran daño </w:t>
      </w:r>
      <w:proofErr w:type="spellStart"/>
      <w:r w:rsidRPr="003D49EB">
        <w:t>físico</w:t>
      </w:r>
      <w:proofErr w:type="spellEnd"/>
      <w:r w:rsidRPr="003D49EB">
        <w:t xml:space="preserve"> y </w:t>
      </w:r>
      <w:proofErr w:type="spellStart"/>
      <w:r w:rsidRPr="003D49EB">
        <w:t>psicológico</w:t>
      </w:r>
      <w:proofErr w:type="spellEnd"/>
      <w:r w:rsidRPr="003D49EB">
        <w:t xml:space="preserve"> que deja a la </w:t>
      </w:r>
      <w:proofErr w:type="spellStart"/>
      <w:r w:rsidRPr="003D49EB">
        <w:t>víctima</w:t>
      </w:r>
      <w:proofErr w:type="spellEnd"/>
      <w:r w:rsidRPr="003D49EB">
        <w:t xml:space="preserve"> “humillada </w:t>
      </w:r>
      <w:proofErr w:type="spellStart"/>
      <w:r w:rsidRPr="003D49EB">
        <w:t>física</w:t>
      </w:r>
      <w:proofErr w:type="spellEnd"/>
      <w:r w:rsidRPr="003D49EB">
        <w:t xml:space="preserve"> y emocionalmente”. En esta </w:t>
      </w:r>
      <w:proofErr w:type="spellStart"/>
      <w:r w:rsidRPr="003D49EB">
        <w:t>línea</w:t>
      </w:r>
      <w:proofErr w:type="spellEnd"/>
      <w:r w:rsidRPr="003D49EB">
        <w:t xml:space="preserve">, la Corte ha resaltado el rol trascendental que ocupa la discriminación al analizar las violaciones de los derechos humanos de las mujeres y su </w:t>
      </w:r>
      <w:proofErr w:type="spellStart"/>
      <w:r w:rsidRPr="003D49EB">
        <w:t>adecuación</w:t>
      </w:r>
      <w:proofErr w:type="spellEnd"/>
      <w:r w:rsidRPr="003D49EB">
        <w:t xml:space="preserve"> a la figura de la tortura y los malos tratos desde una perspectiva de </w:t>
      </w:r>
      <w:proofErr w:type="spellStart"/>
      <w:r w:rsidRPr="003D49EB">
        <w:t>género</w:t>
      </w:r>
      <w:proofErr w:type="spellEnd"/>
      <w:r w:rsidRPr="003D49EB">
        <w:t xml:space="preserve">. A este respecto, el Tribunal considera que su condición de mujer la expuso a un riesgo particular y diferenciado, traducido en la referida </w:t>
      </w:r>
      <w:proofErr w:type="spellStart"/>
      <w:r w:rsidRPr="003D49EB">
        <w:t>violación</w:t>
      </w:r>
      <w:proofErr w:type="spellEnd"/>
      <w:r w:rsidRPr="003D49EB">
        <w:t xml:space="preserve"> sexual. A todo lo anterior se une el hecho de que la </w:t>
      </w:r>
      <w:proofErr w:type="spellStart"/>
      <w:r w:rsidRPr="003D49EB">
        <w:t>señora</w:t>
      </w:r>
      <w:proofErr w:type="spellEnd"/>
      <w:r w:rsidRPr="003D49EB">
        <w:t xml:space="preserve"> Bedoya llegó a pensar que la “iban a matar en cualquier momento”, lo que indudablemente le generó un alto grado de </w:t>
      </w:r>
      <w:proofErr w:type="spellStart"/>
      <w:r w:rsidRPr="003D49EB">
        <w:t>aflicción</w:t>
      </w:r>
      <w:proofErr w:type="spellEnd"/>
      <w:r w:rsidRPr="003D49EB">
        <w:t xml:space="preserve">. Para este Tribunal es claro que todos los actos de violencia a los que fue sometida la </w:t>
      </w:r>
      <w:proofErr w:type="spellStart"/>
      <w:r w:rsidRPr="003D49EB">
        <w:t>señora</w:t>
      </w:r>
      <w:proofErr w:type="spellEnd"/>
      <w:r w:rsidRPr="003D49EB">
        <w:t xml:space="preserve"> Bedoya le causaron un gran sufrimiento y angustia, lo cual </w:t>
      </w:r>
      <w:proofErr w:type="spellStart"/>
      <w:r w:rsidRPr="003D49EB">
        <w:t>además</w:t>
      </w:r>
      <w:proofErr w:type="spellEnd"/>
      <w:r w:rsidRPr="003D49EB">
        <w:t xml:space="preserve"> tuvo como secuelas, entre otras, el desarrollo de un trastorno por </w:t>
      </w:r>
      <w:proofErr w:type="spellStart"/>
      <w:r w:rsidRPr="003D49EB">
        <w:t>estrés</w:t>
      </w:r>
      <w:proofErr w:type="spellEnd"/>
      <w:r w:rsidRPr="003D49EB">
        <w:t xml:space="preserve"> </w:t>
      </w:r>
      <w:proofErr w:type="spellStart"/>
      <w:r w:rsidRPr="003D49EB">
        <w:t>postraumático</w:t>
      </w:r>
      <w:proofErr w:type="spellEnd"/>
      <w:r w:rsidRPr="003D49EB">
        <w:t xml:space="preserve"> con “</w:t>
      </w:r>
      <w:proofErr w:type="spellStart"/>
      <w:r w:rsidRPr="003D49EB">
        <w:t>sintomatología</w:t>
      </w:r>
      <w:proofErr w:type="spellEnd"/>
      <w:r w:rsidRPr="003D49EB">
        <w:t xml:space="preserve"> de </w:t>
      </w:r>
      <w:proofErr w:type="spellStart"/>
      <w:r w:rsidRPr="003D49EB">
        <w:t>características</w:t>
      </w:r>
      <w:proofErr w:type="spellEnd"/>
      <w:r w:rsidRPr="003D49EB">
        <w:t xml:space="preserve"> agudas y otra </w:t>
      </w:r>
      <w:proofErr w:type="spellStart"/>
      <w:r w:rsidRPr="003D49EB">
        <w:t>crónica</w:t>
      </w:r>
      <w:proofErr w:type="spellEnd"/>
      <w:r w:rsidRPr="003D49EB">
        <w:t>”, con “alteraciones irreparables”.</w:t>
      </w:r>
    </w:p>
    <w:p w14:paraId="3CC2C741" w14:textId="77777777" w:rsidR="007276B0" w:rsidRPr="003D49EB" w:rsidRDefault="007276B0" w:rsidP="009A4683"/>
    <w:p w14:paraId="5D4EE394" w14:textId="1762CD2D" w:rsidR="00994980" w:rsidRDefault="00994980" w:rsidP="009A4683">
      <w:r w:rsidRPr="003D49EB">
        <w:t xml:space="preserve">103. Por otra parte, de la prueba recibida se desprende que el </w:t>
      </w:r>
      <w:proofErr w:type="spellStart"/>
      <w:r w:rsidRPr="003D49EB">
        <w:t>propósito</w:t>
      </w:r>
      <w:proofErr w:type="spellEnd"/>
      <w:r w:rsidRPr="003D49EB">
        <w:t xml:space="preserve"> de los agresores era castigarla por su actividad </w:t>
      </w:r>
      <w:proofErr w:type="spellStart"/>
      <w:r w:rsidRPr="003D49EB">
        <w:t>periodística</w:t>
      </w:r>
      <w:proofErr w:type="spellEnd"/>
      <w:r w:rsidRPr="003D49EB">
        <w:t xml:space="preserve">. En efecto, el Tribunal advierte que, a lo largo del secuestro, la </w:t>
      </w:r>
      <w:proofErr w:type="spellStart"/>
      <w:r w:rsidRPr="003D49EB">
        <w:t>señora</w:t>
      </w:r>
      <w:proofErr w:type="spellEnd"/>
      <w:r w:rsidRPr="003D49EB">
        <w:t xml:space="preserve"> Bedoya fue agredida verbalmente en numerosas ocasiones, en las cuales los agresores </w:t>
      </w:r>
      <w:proofErr w:type="spellStart"/>
      <w:r w:rsidRPr="003D49EB">
        <w:t>hacían</w:t>
      </w:r>
      <w:proofErr w:type="spellEnd"/>
      <w:r w:rsidRPr="003D49EB">
        <w:t xml:space="preserve"> expresa referencia a su pertenencia al colectivo de las y los periodistas, con frases como “periodistas </w:t>
      </w:r>
      <w:proofErr w:type="spellStart"/>
      <w:r w:rsidRPr="003D49EB">
        <w:t>hijueputas</w:t>
      </w:r>
      <w:proofErr w:type="spellEnd"/>
      <w:r w:rsidRPr="003D49EB">
        <w:t xml:space="preserve"> que tienen el </w:t>
      </w:r>
      <w:proofErr w:type="spellStart"/>
      <w:r w:rsidRPr="003D49EB">
        <w:t>país</w:t>
      </w:r>
      <w:proofErr w:type="spellEnd"/>
      <w:r w:rsidRPr="003D49EB">
        <w:t xml:space="preserve"> vuelto mierda, por culpa de ustedes es que está el </w:t>
      </w:r>
      <w:proofErr w:type="spellStart"/>
      <w:r w:rsidRPr="003D49EB">
        <w:t>país</w:t>
      </w:r>
      <w:proofErr w:type="spellEnd"/>
      <w:r w:rsidRPr="003D49EB">
        <w:t xml:space="preserve"> </w:t>
      </w:r>
      <w:proofErr w:type="spellStart"/>
      <w:r w:rsidRPr="003D49EB">
        <w:t>asi</w:t>
      </w:r>
      <w:proofErr w:type="spellEnd"/>
      <w:r w:rsidRPr="003D49EB">
        <w:t xml:space="preserve">́”, que los periodistas estaban “pagados por la guerrilla”, o que les iban a “escarmentar para que no sigan </w:t>
      </w:r>
      <w:proofErr w:type="spellStart"/>
      <w:r w:rsidRPr="003D49EB">
        <w:t>guevoniando</w:t>
      </w:r>
      <w:proofErr w:type="spellEnd"/>
      <w:r w:rsidRPr="003D49EB">
        <w:t xml:space="preserve"> y se tiren el </w:t>
      </w:r>
      <w:proofErr w:type="spellStart"/>
      <w:r w:rsidRPr="003D49EB">
        <w:t>país</w:t>
      </w:r>
      <w:proofErr w:type="spellEnd"/>
      <w:r w:rsidRPr="003D49EB">
        <w:t xml:space="preserve">”. A preguntas de la periodista sobre </w:t>
      </w:r>
      <w:proofErr w:type="spellStart"/>
      <w:r w:rsidRPr="003D49EB">
        <w:t>quién</w:t>
      </w:r>
      <w:proofErr w:type="spellEnd"/>
      <w:r w:rsidRPr="003D49EB">
        <w:t xml:space="preserve"> los </w:t>
      </w:r>
      <w:proofErr w:type="spellStart"/>
      <w:r w:rsidRPr="003D49EB">
        <w:t>había</w:t>
      </w:r>
      <w:proofErr w:type="spellEnd"/>
      <w:r w:rsidRPr="003D49EB">
        <w:t xml:space="preserve"> enviado, uno de ellos le dijo que “los </w:t>
      </w:r>
      <w:proofErr w:type="spellStart"/>
      <w:r w:rsidRPr="003D49EB">
        <w:t>habían</w:t>
      </w:r>
      <w:proofErr w:type="spellEnd"/>
      <w:r w:rsidRPr="003D49EB">
        <w:t xml:space="preserve"> mandado a sanear los medios de tanto </w:t>
      </w:r>
      <w:proofErr w:type="spellStart"/>
      <w:r w:rsidRPr="003D49EB">
        <w:t>hijoeputa</w:t>
      </w:r>
      <w:proofErr w:type="spellEnd"/>
      <w:r w:rsidRPr="003D49EB">
        <w:t xml:space="preserve"> que </w:t>
      </w:r>
      <w:proofErr w:type="spellStart"/>
      <w:r w:rsidRPr="003D49EB">
        <w:t>había</w:t>
      </w:r>
      <w:proofErr w:type="spellEnd"/>
      <w:r w:rsidRPr="003D49EB">
        <w:t xml:space="preserve"> por </w:t>
      </w:r>
      <w:proofErr w:type="spellStart"/>
      <w:r w:rsidRPr="003D49EB">
        <w:t>ahi</w:t>
      </w:r>
      <w:proofErr w:type="spellEnd"/>
      <w:r w:rsidRPr="003D49EB">
        <w:t xml:space="preserve">́”. En vista de lo anterior, el Tribunal encuentra que el secuestro y posteriores actos de violencia dirigidos contra la </w:t>
      </w:r>
      <w:proofErr w:type="spellStart"/>
      <w:r w:rsidRPr="003D49EB">
        <w:t>señora</w:t>
      </w:r>
      <w:proofErr w:type="spellEnd"/>
      <w:r w:rsidRPr="003D49EB">
        <w:t xml:space="preserve"> Bedoya eran intencionales y </w:t>
      </w:r>
      <w:proofErr w:type="spellStart"/>
      <w:r w:rsidRPr="003D49EB">
        <w:t>tenían</w:t>
      </w:r>
      <w:proofErr w:type="spellEnd"/>
      <w:r w:rsidRPr="003D49EB">
        <w:t xml:space="preserve"> el fin claro de castigarla, intimidarla, y, en suma, silenciarla en el ejercicio de su actividad </w:t>
      </w:r>
      <w:proofErr w:type="spellStart"/>
      <w:r w:rsidRPr="003D49EB">
        <w:t>periodística</w:t>
      </w:r>
      <w:proofErr w:type="spellEnd"/>
      <w:r w:rsidRPr="003D49EB">
        <w:t>.</w:t>
      </w:r>
    </w:p>
    <w:p w14:paraId="4465F28B" w14:textId="77777777" w:rsidR="007276B0" w:rsidRPr="003D49EB" w:rsidRDefault="007276B0" w:rsidP="009A4683"/>
    <w:p w14:paraId="1A41648B" w14:textId="16168502" w:rsidR="00994980" w:rsidRDefault="00994980" w:rsidP="009A4683">
      <w:r w:rsidRPr="003D49EB">
        <w:t xml:space="preserve">104. Por ende, la Corte determina que la </w:t>
      </w:r>
      <w:proofErr w:type="spellStart"/>
      <w:r w:rsidRPr="003D49EB">
        <w:t>señora</w:t>
      </w:r>
      <w:proofErr w:type="spellEnd"/>
      <w:r w:rsidRPr="003D49EB">
        <w:t xml:space="preserve"> Bedoya fue sometida a actos de tortura </w:t>
      </w:r>
      <w:proofErr w:type="spellStart"/>
      <w:r w:rsidRPr="003D49EB">
        <w:t>física</w:t>
      </w:r>
      <w:proofErr w:type="spellEnd"/>
      <w:r w:rsidRPr="003D49EB">
        <w:t xml:space="preserve">, sexual y </w:t>
      </w:r>
      <w:proofErr w:type="spellStart"/>
      <w:r w:rsidRPr="003D49EB">
        <w:t>psicológica</w:t>
      </w:r>
      <w:proofErr w:type="spellEnd"/>
      <w:r w:rsidRPr="003D49EB">
        <w:t xml:space="preserve">, los cuales no pudieron llevarse a cabo sin la aquiescencia y </w:t>
      </w:r>
      <w:proofErr w:type="spellStart"/>
      <w:r w:rsidRPr="003D49EB">
        <w:t>colaboración</w:t>
      </w:r>
      <w:proofErr w:type="spellEnd"/>
      <w:r w:rsidRPr="003D49EB">
        <w:t xml:space="preserve"> del Estado, o cuanto menos con su tolerancia. Por consiguiente, siguiendo su jurisprudencia constante en la materia, la Corte considera que el Estado </w:t>
      </w:r>
      <w:proofErr w:type="spellStart"/>
      <w:r w:rsidRPr="003D49EB">
        <w:t>incurrio</w:t>
      </w:r>
      <w:proofErr w:type="spellEnd"/>
      <w:r w:rsidRPr="003D49EB">
        <w:t xml:space="preserve">́ </w:t>
      </w:r>
      <w:proofErr w:type="spellStart"/>
      <w:r w:rsidRPr="003D49EB">
        <w:t>además</w:t>
      </w:r>
      <w:proofErr w:type="spellEnd"/>
      <w:r w:rsidRPr="003D49EB">
        <w:t xml:space="preserve"> en una </w:t>
      </w:r>
      <w:proofErr w:type="spellStart"/>
      <w:r w:rsidRPr="003D49EB">
        <w:t>violación</w:t>
      </w:r>
      <w:proofErr w:type="spellEnd"/>
      <w:r w:rsidRPr="003D49EB">
        <w:t xml:space="preserve"> de los </w:t>
      </w:r>
      <w:proofErr w:type="spellStart"/>
      <w:r w:rsidRPr="003D49EB">
        <w:t>artículos</w:t>
      </w:r>
      <w:proofErr w:type="spellEnd"/>
      <w:r w:rsidRPr="003D49EB">
        <w:t xml:space="preserve"> 5.2 y 11 de la Convención Americana, en </w:t>
      </w:r>
      <w:proofErr w:type="spellStart"/>
      <w:r w:rsidRPr="003D49EB">
        <w:t>relación</w:t>
      </w:r>
      <w:proofErr w:type="spellEnd"/>
      <w:r w:rsidRPr="003D49EB">
        <w:t xml:space="preserve"> con las obligaciones contenidas en el artículo 1.1 del mismo instrumento, el artículo 7.a y 7.b de la Convención de </w:t>
      </w:r>
      <w:proofErr w:type="spellStart"/>
      <w:r w:rsidRPr="003D49EB">
        <w:t>Belém</w:t>
      </w:r>
      <w:proofErr w:type="spellEnd"/>
      <w:r w:rsidRPr="003D49EB">
        <w:t xml:space="preserve"> do Pará y los </w:t>
      </w:r>
      <w:proofErr w:type="spellStart"/>
      <w:r w:rsidRPr="003D49EB">
        <w:t>artículos</w:t>
      </w:r>
      <w:proofErr w:type="spellEnd"/>
      <w:r w:rsidRPr="003D49EB">
        <w:t xml:space="preserve"> 1 y 6 de la CIPST.</w:t>
      </w:r>
    </w:p>
    <w:p w14:paraId="78F94E47" w14:textId="77777777" w:rsidR="007276B0" w:rsidRPr="003D49EB" w:rsidRDefault="007276B0" w:rsidP="009A4683"/>
    <w:p w14:paraId="70F1AC3D" w14:textId="0F3CEE9C" w:rsidR="00994980" w:rsidRDefault="00994980" w:rsidP="009A4683">
      <w:r w:rsidRPr="003D49EB">
        <w:t xml:space="preserve">105. En suma, en </w:t>
      </w:r>
      <w:proofErr w:type="spellStart"/>
      <w:r w:rsidRPr="003D49EB">
        <w:t>razón</w:t>
      </w:r>
      <w:proofErr w:type="spellEnd"/>
      <w:r w:rsidRPr="003D49EB">
        <w:t xml:space="preserve"> de todo lo expuesto, el Tribunal concluye que el Estado </w:t>
      </w:r>
      <w:proofErr w:type="spellStart"/>
      <w:r w:rsidRPr="003D49EB">
        <w:t>incurrio</w:t>
      </w:r>
      <w:proofErr w:type="spellEnd"/>
      <w:r w:rsidRPr="003D49EB">
        <w:t xml:space="preserve">́ en responsabilidad internacional, en incumplimiento de sus deberes de respeto y </w:t>
      </w:r>
      <w:proofErr w:type="spellStart"/>
      <w:r w:rsidRPr="003D49EB">
        <w:t>garantía</w:t>
      </w:r>
      <w:proofErr w:type="spellEnd"/>
      <w:r w:rsidRPr="003D49EB">
        <w:t xml:space="preserve">, por la </w:t>
      </w:r>
      <w:proofErr w:type="spellStart"/>
      <w:r w:rsidRPr="003D49EB">
        <w:t>interceptación</w:t>
      </w:r>
      <w:proofErr w:type="spellEnd"/>
      <w:r w:rsidRPr="003D49EB">
        <w:t xml:space="preserve"> y secuestro de la </w:t>
      </w:r>
      <w:proofErr w:type="spellStart"/>
      <w:r w:rsidRPr="003D49EB">
        <w:t>señora</w:t>
      </w:r>
      <w:proofErr w:type="spellEnd"/>
      <w:r w:rsidRPr="003D49EB">
        <w:t xml:space="preserve"> Bedoya el 25 de mayo de 2000, lo cual supuso una </w:t>
      </w:r>
      <w:proofErr w:type="spellStart"/>
      <w:r w:rsidRPr="003D49EB">
        <w:t>violación</w:t>
      </w:r>
      <w:proofErr w:type="spellEnd"/>
      <w:r w:rsidRPr="003D49EB">
        <w:t xml:space="preserve"> de sus derechos a la integridad personal y libertad personal, reconocidos en los </w:t>
      </w:r>
      <w:proofErr w:type="spellStart"/>
      <w:r w:rsidRPr="003D49EB">
        <w:t>artículos</w:t>
      </w:r>
      <w:proofErr w:type="spellEnd"/>
      <w:r w:rsidRPr="003D49EB">
        <w:t xml:space="preserve"> 5.1 y 7 de la Convención Americana, en </w:t>
      </w:r>
      <w:proofErr w:type="spellStart"/>
      <w:r w:rsidRPr="003D49EB">
        <w:t>relación</w:t>
      </w:r>
      <w:proofErr w:type="spellEnd"/>
      <w:r w:rsidRPr="003D49EB">
        <w:t xml:space="preserve"> con las obligaciones establecidas en el artículo 1.1 del mismo instrumento, </w:t>
      </w:r>
      <w:proofErr w:type="spellStart"/>
      <w:r w:rsidRPr="003D49EB">
        <w:t>asi</w:t>
      </w:r>
      <w:proofErr w:type="spellEnd"/>
      <w:r w:rsidRPr="003D49EB">
        <w:t xml:space="preserve">́ como el artículo 7.a y 7.b de la Convención de </w:t>
      </w:r>
      <w:proofErr w:type="spellStart"/>
      <w:r w:rsidRPr="003D49EB">
        <w:t>Belém</w:t>
      </w:r>
      <w:proofErr w:type="spellEnd"/>
      <w:r w:rsidRPr="003D49EB">
        <w:t xml:space="preserve"> do Pará. Asimismo, el Estado también es responsable por los actos de tortura a los que fue sometida la </w:t>
      </w:r>
      <w:proofErr w:type="spellStart"/>
      <w:r w:rsidRPr="003D49EB">
        <w:t>señora</w:t>
      </w:r>
      <w:proofErr w:type="spellEnd"/>
      <w:r w:rsidRPr="003D49EB">
        <w:t xml:space="preserve"> Bedoya, en </w:t>
      </w:r>
      <w:proofErr w:type="spellStart"/>
      <w:r w:rsidRPr="003D49EB">
        <w:t>violación</w:t>
      </w:r>
      <w:proofErr w:type="spellEnd"/>
      <w:r w:rsidRPr="003D49EB">
        <w:t xml:space="preserve"> de los </w:t>
      </w:r>
      <w:proofErr w:type="spellStart"/>
      <w:r w:rsidRPr="003D49EB">
        <w:t>artículos</w:t>
      </w:r>
      <w:proofErr w:type="spellEnd"/>
      <w:r w:rsidRPr="003D49EB">
        <w:t xml:space="preserve"> 5.2 y 11 de la Convención Americana, en </w:t>
      </w:r>
      <w:proofErr w:type="spellStart"/>
      <w:r w:rsidRPr="003D49EB">
        <w:t>relación</w:t>
      </w:r>
      <w:proofErr w:type="spellEnd"/>
      <w:r w:rsidRPr="003D49EB">
        <w:t xml:space="preserve"> las obligaciones con tenidas en el artículo 1.1 del mismo instrumento, el artículo 7.a y 7.b de la Convención de </w:t>
      </w:r>
      <w:proofErr w:type="spellStart"/>
      <w:r w:rsidRPr="003D49EB">
        <w:t>Belém</w:t>
      </w:r>
      <w:proofErr w:type="spellEnd"/>
      <w:r w:rsidRPr="003D49EB">
        <w:t xml:space="preserve"> do Pará y los </w:t>
      </w:r>
      <w:proofErr w:type="spellStart"/>
      <w:r w:rsidRPr="003D49EB">
        <w:t>artículos</w:t>
      </w:r>
      <w:proofErr w:type="spellEnd"/>
      <w:r w:rsidRPr="003D49EB">
        <w:t xml:space="preserve"> 1 y 6 de la CIPST.</w:t>
      </w:r>
    </w:p>
    <w:p w14:paraId="2F9A910B" w14:textId="77777777" w:rsidR="007276B0" w:rsidRPr="003D49EB" w:rsidRDefault="007276B0" w:rsidP="009A4683"/>
    <w:p w14:paraId="0E6E7E9D" w14:textId="57BB1994" w:rsidR="004A7C53" w:rsidRDefault="004A7C53" w:rsidP="009A4683">
      <w:pPr>
        <w:pStyle w:val="Ttulo2"/>
      </w:pPr>
      <w:bookmarkStart w:id="30" w:name="_Toc88914978"/>
      <w:bookmarkStart w:id="31" w:name="_Toc530497979"/>
      <w:r w:rsidRPr="003D49EB">
        <w:lastRenderedPageBreak/>
        <w:t>Esclavitud sexual</w:t>
      </w:r>
      <w:bookmarkEnd w:id="30"/>
    </w:p>
    <w:p w14:paraId="3FD120A7" w14:textId="77777777" w:rsidR="007276B0" w:rsidRPr="007276B0" w:rsidRDefault="007276B0" w:rsidP="007276B0">
      <w:pPr>
        <w:rPr>
          <w:lang w:val="es-CR"/>
        </w:rPr>
      </w:pPr>
    </w:p>
    <w:p w14:paraId="25970953" w14:textId="54DE70FF" w:rsidR="004A7C53" w:rsidRDefault="004A7C53" w:rsidP="009A4683">
      <w:pPr>
        <w:pStyle w:val="Caso"/>
        <w:rPr>
          <w:lang w:val="es-ES_tradnl"/>
        </w:rPr>
      </w:pPr>
      <w:r w:rsidRPr="003D49EB">
        <w:rPr>
          <w:lang w:val="es-ES_tradnl"/>
        </w:rPr>
        <w:t>Corte IDH. Caso López Soto y otros Vs. Venezuela. Fondo, Reparaciones y Costas. Sentencia de 26 de septiembre de 2018. Serie C No. 362.</w:t>
      </w:r>
      <w:r w:rsidR="003C49CE" w:rsidRPr="003D49EB">
        <w:rPr>
          <w:rStyle w:val="Refdenotaalpie"/>
        </w:rPr>
        <w:footnoteReference w:id="39"/>
      </w:r>
    </w:p>
    <w:p w14:paraId="74A1C7AA" w14:textId="77777777" w:rsidR="007276B0" w:rsidRPr="003D49EB" w:rsidRDefault="007276B0" w:rsidP="009A4683">
      <w:pPr>
        <w:pStyle w:val="Caso"/>
        <w:rPr>
          <w:lang w:val="es-ES_tradnl"/>
        </w:rPr>
      </w:pPr>
    </w:p>
    <w:p w14:paraId="2E4D742B" w14:textId="7D75CD93" w:rsidR="004A7C53" w:rsidRDefault="004A7C53" w:rsidP="009A4683">
      <w:pPr>
        <w:rPr>
          <w:lang w:val="es-ES_tradnl"/>
        </w:rPr>
      </w:pPr>
      <w:r w:rsidRPr="003D49EB">
        <w:rPr>
          <w:lang w:val="es-ES_tradnl"/>
        </w:rPr>
        <w:t>183.</w:t>
      </w:r>
      <w:r w:rsidRPr="003D49EB">
        <w:rPr>
          <w:lang w:val="es-ES_tradnl"/>
        </w:rPr>
        <w:tab/>
        <w:t>El artículo 5.1 de la Convención consagra en términos generales el derecho a la integridad personal, tanto física como psíquica y moral. Por su parte, el artículo 5.2 establece, de manera más específica, la prohibición absoluta de someter a alguien a torturas o a penas o tratos crueles, inhumanos o degradantes. Asimismo, se ha reconocido que las amenazas y el peligro real de someter a una persona a graves lesiones físicas produce, en determinadas circunstancias, una angustia moral de tal grado que puede ser considerada “tortura psicológica”</w:t>
      </w:r>
      <w:r w:rsidR="006A660B" w:rsidRPr="003D49EB">
        <w:rPr>
          <w:lang w:val="es-ES_tradnl"/>
        </w:rPr>
        <w:t>.</w:t>
      </w:r>
      <w:r w:rsidRPr="003D49EB">
        <w:rPr>
          <w:lang w:val="es-ES_tradnl"/>
        </w:rPr>
        <w:t xml:space="preserve"> En este sentido, la Corte ha establecido que un acto de tortura puede ser perpetrado tanto mediante actos de violencia física, como a través de actos que produzcan en la víctima un sufrimiento psíquico o moral agudo</w:t>
      </w:r>
      <w:r w:rsidR="006A660B" w:rsidRPr="003D49EB">
        <w:rPr>
          <w:lang w:val="es-ES_tradnl"/>
        </w:rPr>
        <w:t>.</w:t>
      </w:r>
      <w:r w:rsidRPr="003D49EB">
        <w:rPr>
          <w:lang w:val="es-ES_tradnl"/>
        </w:rPr>
        <w:t xml:space="preserve"> La prohibición absoluta de la tortura, tanto física como psicológica, pertenece hoy día al dominio del </w:t>
      </w:r>
      <w:proofErr w:type="spellStart"/>
      <w:r w:rsidRPr="003D49EB">
        <w:rPr>
          <w:lang w:val="es-ES_tradnl"/>
        </w:rPr>
        <w:t>jus</w:t>
      </w:r>
      <w:proofErr w:type="spellEnd"/>
      <w:r w:rsidRPr="003D49EB">
        <w:rPr>
          <w:lang w:val="es-ES_tradnl"/>
        </w:rPr>
        <w:t xml:space="preserve"> cogens internacional</w:t>
      </w:r>
      <w:r w:rsidR="006A660B" w:rsidRPr="003D49EB">
        <w:rPr>
          <w:lang w:val="es-ES_tradnl"/>
        </w:rPr>
        <w:t>.</w:t>
      </w:r>
    </w:p>
    <w:p w14:paraId="2B5C7451" w14:textId="77777777" w:rsidR="007276B0" w:rsidRPr="003D49EB" w:rsidRDefault="007276B0" w:rsidP="009A4683">
      <w:pPr>
        <w:rPr>
          <w:lang w:val="es-ES_tradnl"/>
        </w:rPr>
      </w:pPr>
    </w:p>
    <w:p w14:paraId="62554372" w14:textId="14E72145" w:rsidR="004A7C53" w:rsidRDefault="004A7C53" w:rsidP="009A4683">
      <w:pPr>
        <w:rPr>
          <w:lang w:val="es-ES_tradnl"/>
        </w:rPr>
      </w:pPr>
      <w:r w:rsidRPr="003D49EB">
        <w:rPr>
          <w:lang w:val="es-ES_tradnl"/>
        </w:rPr>
        <w:t>184.</w:t>
      </w:r>
      <w:r w:rsidRPr="003D49EB">
        <w:rPr>
          <w:lang w:val="es-ES_tradnl"/>
        </w:rPr>
        <w:tab/>
        <w:t>Además, la jurisprudencia de esta Corte ha reconocido que la violación y otras formas de violencia sexual pueden configurar tratos crueles, inhumanos o degradantes, e incluso actos de tortura si se satisfacen los elementos de la definición</w:t>
      </w:r>
      <w:r w:rsidR="006A660B" w:rsidRPr="003D49EB">
        <w:rPr>
          <w:lang w:val="es-ES_tradnl"/>
        </w:rPr>
        <w:t>.</w:t>
      </w:r>
      <w:r w:rsidRPr="003D49EB">
        <w:rPr>
          <w:lang w:val="es-ES_tradnl"/>
        </w:rPr>
        <w:t xml:space="preserve"> De igual forma se ha expedido el Tribunal Europeo de Derechos Humanos</w:t>
      </w:r>
      <w:r w:rsidR="006A660B" w:rsidRPr="003D49EB">
        <w:rPr>
          <w:lang w:val="es-ES_tradnl"/>
        </w:rPr>
        <w:t>,</w:t>
      </w:r>
      <w:r w:rsidRPr="003D49EB">
        <w:rPr>
          <w:lang w:val="es-ES_tradnl"/>
        </w:rPr>
        <w:t xml:space="preserve"> el Comité de Derechos Humanos</w:t>
      </w:r>
      <w:r w:rsidR="006A660B" w:rsidRPr="003D49EB">
        <w:rPr>
          <w:lang w:val="es-ES_tradnl"/>
        </w:rPr>
        <w:t>,</w:t>
      </w:r>
      <w:r w:rsidRPr="003D49EB">
        <w:rPr>
          <w:lang w:val="es-ES_tradnl"/>
        </w:rPr>
        <w:t xml:space="preserve"> el Comité contra la Tortura</w:t>
      </w:r>
      <w:r w:rsidR="006A660B" w:rsidRPr="003D49EB">
        <w:rPr>
          <w:lang w:val="es-ES_tradnl"/>
        </w:rPr>
        <w:t>,</w:t>
      </w:r>
      <w:r w:rsidRPr="003D49EB">
        <w:rPr>
          <w:lang w:val="es-ES_tradnl"/>
        </w:rPr>
        <w:t xml:space="preserve"> el Comité para la Eliminación de la Discriminación contra la Mujer</w:t>
      </w:r>
      <w:r w:rsidR="006A660B" w:rsidRPr="003D49EB">
        <w:rPr>
          <w:lang w:val="es-ES_tradnl"/>
        </w:rPr>
        <w:t>,</w:t>
      </w:r>
      <w:r w:rsidRPr="003D49EB">
        <w:rPr>
          <w:lang w:val="es-ES_tradnl"/>
        </w:rPr>
        <w:t xml:space="preserve"> y el Relator de Naciones Unidas contra la Tortura</w:t>
      </w:r>
      <w:r w:rsidR="006A660B" w:rsidRPr="003D49EB">
        <w:rPr>
          <w:lang w:val="es-ES_tradnl"/>
        </w:rPr>
        <w:t>.</w:t>
      </w:r>
    </w:p>
    <w:p w14:paraId="01F3FF61" w14:textId="77777777" w:rsidR="007276B0" w:rsidRPr="003D49EB" w:rsidRDefault="007276B0" w:rsidP="009A4683">
      <w:pPr>
        <w:rPr>
          <w:lang w:val="es-ES_tradnl"/>
        </w:rPr>
      </w:pPr>
    </w:p>
    <w:p w14:paraId="0C03EFD7" w14:textId="0898DF45" w:rsidR="004A7C53" w:rsidRDefault="004A7C53" w:rsidP="009A4683">
      <w:pPr>
        <w:rPr>
          <w:lang w:val="es-ES_tradnl"/>
        </w:rPr>
      </w:pPr>
      <w:r w:rsidRPr="003D49EB">
        <w:rPr>
          <w:lang w:val="es-ES_tradnl"/>
        </w:rPr>
        <w:t>185.</w:t>
      </w:r>
      <w:r w:rsidRPr="003D49EB">
        <w:rPr>
          <w:lang w:val="es-ES_tradnl"/>
        </w:rPr>
        <w:tab/>
        <w:t>La Corte ha señalado que la violación del derecho a la integridad física y psíquica de las personas tiene diversas connotaciones de grado y que abarca desde la tortura hasta otro tipo de vejámenes o tratos crueles, inhumanos o degradantes, cuyas secuelas físicas y psíquicas varían de intensidad según factores endógenos y exógenos de la persona (duración de los tratos, edad, sexo, salud, contexto, vulnerabilidad, entre otros) que deberán ser analizados en cada situación concreta</w:t>
      </w:r>
      <w:r w:rsidR="006A660B" w:rsidRPr="003D49EB">
        <w:rPr>
          <w:lang w:val="es-ES_tradnl"/>
        </w:rPr>
        <w:t>.</w:t>
      </w:r>
      <w:r w:rsidRPr="003D49EB">
        <w:rPr>
          <w:lang w:val="es-ES_tradnl"/>
        </w:rPr>
        <w:t xml:space="preserve"> Es decir, las características personales de una supuesta víctima de tortura o tratos crueles, inhumanos o degradantes, deben ser tomadas en cuenta al momento de determinar si la integridad personal fue vulnerada, ya que tales características pueden cambiar la percepción de la realidad del individuo y, por ende, incrementar el sufrimiento y el sentido de humillación cuando son sometidas a ciertos tratamientos</w:t>
      </w:r>
      <w:r w:rsidR="006A660B" w:rsidRPr="003D49EB">
        <w:rPr>
          <w:lang w:val="es-ES_tradnl"/>
        </w:rPr>
        <w:t>.</w:t>
      </w:r>
    </w:p>
    <w:p w14:paraId="6BBA01EE" w14:textId="77777777" w:rsidR="007276B0" w:rsidRPr="003D49EB" w:rsidRDefault="007276B0" w:rsidP="009A4683">
      <w:pPr>
        <w:rPr>
          <w:lang w:val="es-ES_tradnl"/>
        </w:rPr>
      </w:pPr>
    </w:p>
    <w:p w14:paraId="4BD7B7B3" w14:textId="59E8EA35" w:rsidR="004A7C53" w:rsidRDefault="004A7C53" w:rsidP="009A4683">
      <w:pPr>
        <w:rPr>
          <w:lang w:val="es-ES_tradnl"/>
        </w:rPr>
      </w:pPr>
      <w:r w:rsidRPr="003D49EB">
        <w:rPr>
          <w:lang w:val="es-ES_tradnl"/>
        </w:rPr>
        <w:t>186.</w:t>
      </w:r>
      <w:r w:rsidRPr="003D49EB">
        <w:rPr>
          <w:lang w:val="es-ES_tradnl"/>
        </w:rPr>
        <w:tab/>
        <w:t>A la luz del artículo 5.2 de la Convención Americana y de conformidad con la jurisprudencia de esta Corte, se está frente a un acto constitutivo de tortura cuando el maltrato: i) es intencional; ii) cause severos sufrimientos físicos o mentales, y iii) se cometa con cualquier fin o propósito</w:t>
      </w:r>
      <w:r w:rsidR="006A660B" w:rsidRPr="003D49EB">
        <w:rPr>
          <w:lang w:val="es-ES_tradnl"/>
        </w:rPr>
        <w:t>.</w:t>
      </w:r>
    </w:p>
    <w:p w14:paraId="576DCD64" w14:textId="77777777" w:rsidR="007276B0" w:rsidRPr="003D49EB" w:rsidRDefault="007276B0" w:rsidP="009A4683">
      <w:pPr>
        <w:rPr>
          <w:lang w:val="es-ES_tradnl"/>
        </w:rPr>
      </w:pPr>
    </w:p>
    <w:p w14:paraId="32DB89DB" w14:textId="25F5A91E" w:rsidR="004A7C53" w:rsidRDefault="004A7C53" w:rsidP="009A4683">
      <w:pPr>
        <w:rPr>
          <w:lang w:val="es-ES_tradnl"/>
        </w:rPr>
      </w:pPr>
      <w:r w:rsidRPr="003D49EB">
        <w:rPr>
          <w:lang w:val="es-ES_tradnl"/>
        </w:rPr>
        <w:t>187.</w:t>
      </w:r>
      <w:r w:rsidRPr="003D49EB">
        <w:rPr>
          <w:lang w:val="es-ES_tradnl"/>
        </w:rPr>
        <w:tab/>
        <w:t xml:space="preserve">De la prueba ofrecida, la Corte da por demostrada la gravedad e intensidad de los severos malos tratos físicos, verbales, psicológicos y sexuales sufridos por Linda Loaiza </w:t>
      </w:r>
      <w:r w:rsidR="00632C28">
        <w:rPr>
          <w:lang w:val="es-ES_tradnl"/>
        </w:rPr>
        <w:t>[...]</w:t>
      </w:r>
      <w:r w:rsidRPr="003D49EB">
        <w:rPr>
          <w:lang w:val="es-ES_tradnl"/>
        </w:rPr>
        <w:t xml:space="preserve">, los cuales fueron perpetrados de forma intencional y sostenida en el tiempo durante casi cuatro meses, cuando ella se encontraba en un estado de total indefensión y bajo el dominio de su agresor. Asimismo, quedó establecido que fue </w:t>
      </w:r>
      <w:r w:rsidRPr="003D49EB">
        <w:rPr>
          <w:lang w:val="es-ES_tradnl"/>
        </w:rPr>
        <w:lastRenderedPageBreak/>
        <w:t>sometida a reiteradas violaciones sexuales, una experiencia sumamente traumática que tiene severas consecuencias y causa gran daño físico y psicológico que deja a la víctima “humillada física y emocionalmente”</w:t>
      </w:r>
      <w:r w:rsidR="006A660B" w:rsidRPr="003D49EB">
        <w:rPr>
          <w:lang w:val="es-ES_tradnl"/>
        </w:rPr>
        <w:t>.</w:t>
      </w:r>
      <w:r w:rsidRPr="003D49EB">
        <w:rPr>
          <w:lang w:val="es-ES_tradnl"/>
        </w:rPr>
        <w:t xml:space="preserve"> Al respecto, la Corte ha afirmado que es inherente a la violación sexual el sufrimiento severo de la víctima, lo que en este caso se vio acompañado, además, por lesiones corporales de gran envergadura y enfermedades físicas. Además, la Corte nota que la víctima declaró que su agresor le mostró fotos de otras mujeres a quienes les habría hecho lo mismo</w:t>
      </w:r>
      <w:r w:rsidR="006A660B" w:rsidRPr="003D49EB">
        <w:rPr>
          <w:lang w:val="es-ES_tradnl"/>
        </w:rPr>
        <w:t>,</w:t>
      </w:r>
      <w:r w:rsidRPr="003D49EB">
        <w:rPr>
          <w:lang w:val="es-ES_tradnl"/>
        </w:rPr>
        <w:t xml:space="preserve"> lo cual constituye una forma de amenaza que provoca un gran impacto a nivel psicológico.</w:t>
      </w:r>
    </w:p>
    <w:p w14:paraId="4176F448" w14:textId="77777777" w:rsidR="007276B0" w:rsidRPr="003D49EB" w:rsidRDefault="007276B0" w:rsidP="009A4683">
      <w:pPr>
        <w:rPr>
          <w:lang w:val="es-ES_tradnl"/>
        </w:rPr>
      </w:pPr>
    </w:p>
    <w:p w14:paraId="7C0BC58D" w14:textId="0B863DE2" w:rsidR="004A7C53" w:rsidRDefault="004A7C53" w:rsidP="009A4683">
      <w:pPr>
        <w:rPr>
          <w:lang w:val="es-ES_tradnl"/>
        </w:rPr>
      </w:pPr>
      <w:r w:rsidRPr="003D49EB">
        <w:rPr>
          <w:lang w:val="es-ES_tradnl"/>
        </w:rPr>
        <w:t>188.</w:t>
      </w:r>
      <w:r w:rsidRPr="003D49EB">
        <w:rPr>
          <w:lang w:val="es-ES_tradnl"/>
        </w:rPr>
        <w:tab/>
        <w:t>Por otra parte, de la prueba recibida se desprende que el propósito del agresor era intimidarla, anular su personalidad y subyugarla. En definitiva, afirmar una posición de subordinación de la mujer, así como su relación de poder y dominio patriarcal sobre la víctima, lo cual evidencia el propósito discriminatorio. En esta línea, la Corte ha resaltado el rol trascendental que ocupa la discriminación al analizar las violaciones de los derechos humanos de las mujeres y su adecuación a la figura de la tortura y los malos tratos desde una perspectiva de género</w:t>
      </w:r>
      <w:r w:rsidR="006A660B" w:rsidRPr="003D49EB">
        <w:rPr>
          <w:lang w:val="es-ES_tradnl"/>
        </w:rPr>
        <w:t>.</w:t>
      </w:r>
      <w:r w:rsidRPr="003D49EB">
        <w:rPr>
          <w:lang w:val="es-ES_tradnl"/>
        </w:rPr>
        <w:t xml:space="preserve"> Por ende, la Corte determina que Linda Loaiza fue sometida a actos de tortura física, sexual y psicológica, de conformidad con los tres elementos que esta Corte ha enlistado y en los términos del artículo 5.2 de la Convención Americana.</w:t>
      </w:r>
    </w:p>
    <w:p w14:paraId="3800C4C5" w14:textId="77777777" w:rsidR="007276B0" w:rsidRPr="003D49EB" w:rsidRDefault="007276B0" w:rsidP="009A4683">
      <w:pPr>
        <w:rPr>
          <w:lang w:val="es-ES_tradnl"/>
        </w:rPr>
      </w:pPr>
    </w:p>
    <w:p w14:paraId="1651A5C8" w14:textId="43A04AB0" w:rsidR="004A7C53" w:rsidRDefault="004A7C53" w:rsidP="009A4683">
      <w:pPr>
        <w:rPr>
          <w:lang w:val="es-ES_tradnl"/>
        </w:rPr>
      </w:pPr>
      <w:r w:rsidRPr="003D49EB">
        <w:rPr>
          <w:lang w:val="es-ES_tradnl"/>
        </w:rPr>
        <w:t>189.</w:t>
      </w:r>
      <w:r w:rsidRPr="003D49EB">
        <w:rPr>
          <w:lang w:val="es-ES_tradnl"/>
        </w:rPr>
        <w:tab/>
        <w:t xml:space="preserve">Al no haber sido cometidos dichos actos directamente por un funcionario público, su calificación como tortura ha sido puesta en disputa por el Estado. Sin embargo, es pertinente recordar que la definición adoptada por esta Corte se refiere sólo a tres elementos </w:t>
      </w:r>
      <w:r w:rsidR="00632C28">
        <w:rPr>
          <w:lang w:val="es-ES_tradnl"/>
        </w:rPr>
        <w:t>[...]</w:t>
      </w:r>
      <w:r w:rsidR="006A660B" w:rsidRPr="003D49EB">
        <w:rPr>
          <w:lang w:val="es-ES_tradnl"/>
        </w:rPr>
        <w:t>,</w:t>
      </w:r>
      <w:r w:rsidRPr="003D49EB">
        <w:rPr>
          <w:lang w:val="es-ES_tradnl"/>
        </w:rPr>
        <w:t xml:space="preserve"> los cuales han sido satisfechos en este caso. En efecto, en razón de que el artículo 5.2 de la Convención Americana no precisa lo que debe entenderse como “tortura”, la Corte ha recurrido tanto al artículo 2 de la CIPST</w:t>
      </w:r>
      <w:r w:rsidR="006A660B" w:rsidRPr="003D49EB">
        <w:rPr>
          <w:lang w:val="es-ES_tradnl"/>
        </w:rPr>
        <w:t>,</w:t>
      </w:r>
      <w:r w:rsidRPr="003D49EB">
        <w:rPr>
          <w:lang w:val="es-ES_tradnl"/>
        </w:rPr>
        <w:t xml:space="preserve"> como a otras definiciones contenidas en los instrumentos internacionales que prescriben la prohibición de la tortura</w:t>
      </w:r>
      <w:r w:rsidR="006A660B" w:rsidRPr="003D49EB">
        <w:rPr>
          <w:lang w:val="es-ES_tradnl"/>
        </w:rPr>
        <w:t>,</w:t>
      </w:r>
      <w:r w:rsidRPr="003D49EB">
        <w:rPr>
          <w:lang w:val="es-ES_tradnl"/>
        </w:rPr>
        <w:t xml:space="preserve"> para interpretar cuáles son los elementos constitutivos de la tortura</w:t>
      </w:r>
      <w:r w:rsidR="006A660B" w:rsidRPr="003D49EB">
        <w:rPr>
          <w:lang w:val="es-ES_tradnl"/>
        </w:rPr>
        <w:t>.</w:t>
      </w:r>
      <w:r w:rsidRPr="003D49EB">
        <w:rPr>
          <w:lang w:val="es-ES_tradnl"/>
        </w:rPr>
        <w:t xml:space="preserve"> Al adoptar dichos elementos, la Corte no fijó un requisito de que el acto tuviera que ser cometido por un funcionario público.</w:t>
      </w:r>
    </w:p>
    <w:p w14:paraId="05FA9036" w14:textId="77777777" w:rsidR="007276B0" w:rsidRPr="003D49EB" w:rsidRDefault="007276B0" w:rsidP="009A4683">
      <w:pPr>
        <w:rPr>
          <w:lang w:val="es-ES_tradnl"/>
        </w:rPr>
      </w:pPr>
    </w:p>
    <w:p w14:paraId="37D7C995" w14:textId="787B1C10" w:rsidR="004A7C53" w:rsidRDefault="004A7C53" w:rsidP="009A4683">
      <w:pPr>
        <w:rPr>
          <w:lang w:val="es-ES_tradnl"/>
        </w:rPr>
      </w:pPr>
      <w:r w:rsidRPr="003D49EB">
        <w:rPr>
          <w:lang w:val="es-ES_tradnl"/>
        </w:rPr>
        <w:t>190.</w:t>
      </w:r>
      <w:r w:rsidRPr="003D49EB">
        <w:rPr>
          <w:lang w:val="es-ES_tradnl"/>
        </w:rPr>
        <w:tab/>
        <w:t>Dicha interpretación se ve corroborada a partir de la literalidad del texto de la CIPST, que lleva a concluir que lo dispuesto en su artículo 3 se refiere a las responsabilidades penales y no a la atribución de responsabilidad del Estado, lo que constituye la función de esta Corte. Así, la CIPST en su definición de tortura del artículo 2 no incorpora un nexo estatal, sino que lo dispone de forma separada en su artículo 3 al ocuparse de los “responsables del delito de tortura”</w:t>
      </w:r>
      <w:r w:rsidR="006A660B" w:rsidRPr="003D49EB">
        <w:rPr>
          <w:lang w:val="es-ES_tradnl"/>
        </w:rPr>
        <w:t>,</w:t>
      </w:r>
      <w:r w:rsidRPr="003D49EB">
        <w:rPr>
          <w:lang w:val="es-ES_tradnl"/>
        </w:rPr>
        <w:t xml:space="preserve"> en clara referencia al ámbito penal interno. En este sentido, ello no sería relevante para el establecimiento de la responsabilidad internacional del Estado, la cual debe regirse por las reglas de derecho internacional. Por otra parte, si se considerase lo establecido en el artículo 3 como un condicionante para el encuadre de la tortura, es pertinente resaltar que dicho instrumento también alude de forma expresa a supuestos en que pudieran tener participación particulares, si los funcionarios públicos no impidieran los actos de tortura pudiendo hacerlo.</w:t>
      </w:r>
    </w:p>
    <w:p w14:paraId="25F097B6" w14:textId="77777777" w:rsidR="007276B0" w:rsidRPr="003D49EB" w:rsidRDefault="007276B0" w:rsidP="009A4683">
      <w:pPr>
        <w:rPr>
          <w:lang w:val="es-ES_tradnl"/>
        </w:rPr>
      </w:pPr>
    </w:p>
    <w:p w14:paraId="674BAF77" w14:textId="19F8EB60" w:rsidR="004A7C53" w:rsidRDefault="004A7C53" w:rsidP="009A4683">
      <w:pPr>
        <w:rPr>
          <w:lang w:val="es-ES_tradnl"/>
        </w:rPr>
      </w:pPr>
      <w:r w:rsidRPr="003D49EB">
        <w:rPr>
          <w:lang w:val="es-ES_tradnl"/>
        </w:rPr>
        <w:t>191.</w:t>
      </w:r>
      <w:r w:rsidRPr="003D49EB">
        <w:rPr>
          <w:lang w:val="es-ES_tradnl"/>
        </w:rPr>
        <w:tab/>
        <w:t>Por otra parte, la Convención contra la Tortura de Naciones Unidas incluye también el supuesto en que un actor no estatal inflija tortura con el consentimiento o aquiescencia de un agente estatal. En esta línea, el Comité contra la Tortura ha indicado que:</w:t>
      </w:r>
    </w:p>
    <w:p w14:paraId="7D6A7592" w14:textId="77777777" w:rsidR="007276B0" w:rsidRPr="003D49EB" w:rsidRDefault="007276B0" w:rsidP="009A4683">
      <w:pPr>
        <w:rPr>
          <w:lang w:val="es-ES_tradnl"/>
        </w:rPr>
      </w:pPr>
    </w:p>
    <w:p w14:paraId="5D975985" w14:textId="782D6EFA" w:rsidR="004A7C53" w:rsidRDefault="004A7C53" w:rsidP="009A4683">
      <w:pPr>
        <w:ind w:left="1416"/>
        <w:rPr>
          <w:sz w:val="18"/>
          <w:szCs w:val="21"/>
          <w:lang w:val="es-ES_tradnl"/>
        </w:rPr>
      </w:pPr>
      <w:r w:rsidRPr="003D49EB">
        <w:rPr>
          <w:sz w:val="18"/>
          <w:szCs w:val="21"/>
          <w:lang w:val="es-ES_tradnl"/>
        </w:rPr>
        <w:t xml:space="preserve">[…] cuando las autoridades del Estado u otras personas que actúan a título oficial o al amparo de la ley tienen conocimiento o motivos fundados para creer que sujetos privados o actores no estatales perpetran actos de tortura o malos tratos y no ejercen la debida diligencia para impedir, investigar, enjuiciar y castigar a dichos sujetos privados o actores no estatales de conformidad con la Convención, el Estado es responsable y sus funcionarios deben ser considerados autores, cómplices o responsables por otro concepto en virtud de </w:t>
      </w:r>
      <w:r w:rsidRPr="003D49EB">
        <w:rPr>
          <w:sz w:val="18"/>
          <w:szCs w:val="21"/>
          <w:lang w:val="es-ES_tradnl"/>
        </w:rPr>
        <w:lastRenderedPageBreak/>
        <w:t>la Convención por consentir o tolerar esos actos inaceptables. La negligencia del Estado a la hora de intervenir para poner fin a esos actos, sancionar a los autores y ofrecer reparación a las víctimas de la tortura facilita y hace posible que los actores no estatales cometan impunemente actos prohibidos por la Convención, por lo que la indiferencia o inacción del Estado constituye una forma de incitación y/o de autorización de hecho. El Comité ha aplicado este principio a los casos en que los Estados Partes no han impedido actos de violencia de género, como la violación, la violencia en el hogar, la mutilación genital femenina o la trata, o no han protegido a las víctimas</w:t>
      </w:r>
      <w:r w:rsidR="006A660B" w:rsidRPr="003D49EB">
        <w:rPr>
          <w:sz w:val="18"/>
          <w:szCs w:val="21"/>
          <w:lang w:val="es-ES_tradnl"/>
        </w:rPr>
        <w:t>.</w:t>
      </w:r>
    </w:p>
    <w:p w14:paraId="0207604A" w14:textId="77777777" w:rsidR="007276B0" w:rsidRPr="003D49EB" w:rsidRDefault="007276B0" w:rsidP="009A4683">
      <w:pPr>
        <w:ind w:left="1416"/>
        <w:rPr>
          <w:sz w:val="18"/>
          <w:szCs w:val="21"/>
          <w:lang w:val="es-ES_tradnl"/>
        </w:rPr>
      </w:pPr>
    </w:p>
    <w:p w14:paraId="76E42EC8" w14:textId="7005A6E9" w:rsidR="004A7C53" w:rsidRDefault="004A7C53" w:rsidP="009A4683">
      <w:pPr>
        <w:rPr>
          <w:lang w:val="es-ES_tradnl"/>
        </w:rPr>
      </w:pPr>
      <w:r w:rsidRPr="003D49EB">
        <w:rPr>
          <w:lang w:val="es-ES_tradnl"/>
        </w:rPr>
        <w:t>192.</w:t>
      </w:r>
      <w:r w:rsidRPr="003D49EB">
        <w:rPr>
          <w:lang w:val="es-ES_tradnl"/>
        </w:rPr>
        <w:tab/>
        <w:t>En suma, la Corte entiende que, de la propia manera en que están redactados dichos instrumentos, la configuración de la tortura no se encuentra circunscripta únicamente a su comisión por parte de funcionarios públicos ni que la responsabilidad del Estado solo pueda generarse por acción directa de sus agentes; prevé también instancias de instigación, consentimiento, aquiescencia y falta de actuación cuando pudieran impedir tales actos.</w:t>
      </w:r>
    </w:p>
    <w:p w14:paraId="23E1230C" w14:textId="77777777" w:rsidR="007276B0" w:rsidRPr="003D49EB" w:rsidRDefault="007276B0" w:rsidP="009A4683">
      <w:pPr>
        <w:rPr>
          <w:lang w:val="es-ES_tradnl"/>
        </w:rPr>
      </w:pPr>
    </w:p>
    <w:p w14:paraId="7A4DCFF6" w14:textId="0F0A4B38" w:rsidR="004A7C53" w:rsidRDefault="004A7C53" w:rsidP="009A4683">
      <w:pPr>
        <w:rPr>
          <w:lang w:val="es-ES_tradnl"/>
        </w:rPr>
      </w:pPr>
      <w:r w:rsidRPr="003D49EB">
        <w:rPr>
          <w:lang w:val="es-ES_tradnl"/>
        </w:rPr>
        <w:t>193.</w:t>
      </w:r>
      <w:r w:rsidRPr="003D49EB">
        <w:rPr>
          <w:lang w:val="es-ES_tradnl"/>
        </w:rPr>
        <w:tab/>
        <w:t>Adicionalmente, es preciso resaltar que, en el marco de la interpretación del artículo 5.2 de la Convención, la Corte ha entendido que, tanto la interpretación sistemática como la evolutiva, juegan un rol crucial en mantener el efecto útil de la prohibición de la tortura, de acuerdo a las condiciones actuales de vida en las sociedades de nuestro continente</w:t>
      </w:r>
      <w:r w:rsidR="006A660B" w:rsidRPr="003D49EB">
        <w:rPr>
          <w:lang w:val="es-ES_tradnl"/>
        </w:rPr>
        <w:t>.</w:t>
      </w:r>
      <w:r w:rsidRPr="003D49EB">
        <w:rPr>
          <w:lang w:val="es-ES_tradnl"/>
        </w:rPr>
        <w:t xml:space="preserve"> Ello es consecuente con las reglas generales de interpretación establecidas en el artículo 29 de la Convención Americana, así como en la Convención de Viena sobre el Derecho de los Tratados</w:t>
      </w:r>
      <w:r w:rsidR="006A660B" w:rsidRPr="003D49EB">
        <w:rPr>
          <w:lang w:val="es-ES_tradnl"/>
        </w:rPr>
        <w:t>.</w:t>
      </w:r>
    </w:p>
    <w:p w14:paraId="18F45E3D" w14:textId="77777777" w:rsidR="007276B0" w:rsidRPr="003D49EB" w:rsidRDefault="007276B0" w:rsidP="009A4683">
      <w:pPr>
        <w:rPr>
          <w:lang w:val="es-ES_tradnl"/>
        </w:rPr>
      </w:pPr>
    </w:p>
    <w:p w14:paraId="4B46763D" w14:textId="71D01B28" w:rsidR="004A7C53" w:rsidRDefault="004A7C53" w:rsidP="009A4683">
      <w:pPr>
        <w:rPr>
          <w:lang w:val="es-ES_tradnl"/>
        </w:rPr>
      </w:pPr>
      <w:r w:rsidRPr="003D49EB">
        <w:rPr>
          <w:lang w:val="es-ES_tradnl"/>
        </w:rPr>
        <w:t>194.</w:t>
      </w:r>
      <w:r w:rsidRPr="003D49EB">
        <w:rPr>
          <w:lang w:val="es-ES_tradnl"/>
        </w:rPr>
        <w:tab/>
        <w:t>En el marco del método sistemático, es necesario considerar otros instrumentos interamericanos, como la Convención de Belém do Pará. Al respecto, la Corte nota que la violencia contra la mujer puede en ciertos casos constituir tortura y, además, que la violencia contra la mujer abarca también la esfera privada. Por lo tanto, de acuerdo a los postulados de la Convención de Belém do Pará, es preciso reconocer que actos intencionales que acarrean a la mujer sufrimientos graves de carácter físico, sexual o psicológico cometidos por un particular pueden configurar actos de tortura y merecen un reproche adecuado a su gravedad para alcanzar el objetivo de su erradicación.</w:t>
      </w:r>
    </w:p>
    <w:p w14:paraId="57AEB4EE" w14:textId="77777777" w:rsidR="007276B0" w:rsidRPr="003D49EB" w:rsidRDefault="007276B0" w:rsidP="009A4683">
      <w:pPr>
        <w:rPr>
          <w:lang w:val="es-ES_tradnl"/>
        </w:rPr>
      </w:pPr>
    </w:p>
    <w:p w14:paraId="60624FD5" w14:textId="646001C6" w:rsidR="004A7C53" w:rsidRDefault="004A7C53" w:rsidP="009A4683">
      <w:pPr>
        <w:rPr>
          <w:lang w:val="es-ES_tradnl"/>
        </w:rPr>
      </w:pPr>
      <w:r w:rsidRPr="003D49EB">
        <w:rPr>
          <w:lang w:val="es-ES_tradnl"/>
        </w:rPr>
        <w:t>195.</w:t>
      </w:r>
      <w:r w:rsidRPr="003D49EB">
        <w:rPr>
          <w:lang w:val="es-ES_tradnl"/>
        </w:rPr>
        <w:tab/>
        <w:t>Por otra parte, respecto del método evolutivo, la Corte ha reconocido que:</w:t>
      </w:r>
    </w:p>
    <w:p w14:paraId="5230F7AC" w14:textId="77777777" w:rsidR="007276B0" w:rsidRPr="003D49EB" w:rsidRDefault="007276B0" w:rsidP="009A4683">
      <w:pPr>
        <w:rPr>
          <w:lang w:val="es-ES_tradnl"/>
        </w:rPr>
      </w:pPr>
    </w:p>
    <w:p w14:paraId="3E97EF2E" w14:textId="3B9A6D28" w:rsidR="004A7C53" w:rsidRDefault="004A7C53" w:rsidP="009A4683">
      <w:pPr>
        <w:ind w:left="1416"/>
        <w:rPr>
          <w:sz w:val="18"/>
          <w:szCs w:val="21"/>
          <w:lang w:val="es-ES_tradnl"/>
        </w:rPr>
      </w:pPr>
      <w:r w:rsidRPr="003D49EB">
        <w:rPr>
          <w:sz w:val="18"/>
          <w:szCs w:val="21"/>
          <w:lang w:val="es-ES_tradnl"/>
        </w:rPr>
        <w:t>[h]</w:t>
      </w:r>
      <w:proofErr w:type="spellStart"/>
      <w:r w:rsidRPr="003D49EB">
        <w:rPr>
          <w:sz w:val="18"/>
          <w:szCs w:val="21"/>
          <w:lang w:val="es-ES_tradnl"/>
        </w:rPr>
        <w:t>istóricamente</w:t>
      </w:r>
      <w:proofErr w:type="spellEnd"/>
      <w:r w:rsidRPr="003D49EB">
        <w:rPr>
          <w:sz w:val="18"/>
          <w:szCs w:val="21"/>
          <w:lang w:val="es-ES_tradnl"/>
        </w:rPr>
        <w:t xml:space="preserve"> el marco de protección contra la tortura y los malos tratos se ha desarrollado en respuesta a actos y prácticas que se verificaban principalmente en el desarrollo del interrogatorio en conexión con una averiguación o proceso por la comisión de un delito, así como en el contexto de la privación de libertad, como instrumento de castigo o intimidación. Sin embargo, la comunidad internacional ha ido reconociendo en forma progresiva que la tortura y otros tratos inhumanos también pueden darse en otros contextos de custodia, dominio o control en los cuales la víctima se encuentra indefensa […]</w:t>
      </w:r>
      <w:r w:rsidR="006A660B" w:rsidRPr="003D49EB">
        <w:rPr>
          <w:sz w:val="18"/>
          <w:szCs w:val="21"/>
          <w:lang w:val="es-ES_tradnl"/>
        </w:rPr>
        <w:t>.</w:t>
      </w:r>
    </w:p>
    <w:p w14:paraId="2E5A720C" w14:textId="77777777" w:rsidR="007276B0" w:rsidRPr="003D49EB" w:rsidRDefault="007276B0" w:rsidP="009A4683">
      <w:pPr>
        <w:ind w:left="1416"/>
        <w:rPr>
          <w:sz w:val="18"/>
          <w:szCs w:val="21"/>
          <w:lang w:val="es-ES_tradnl"/>
        </w:rPr>
      </w:pPr>
    </w:p>
    <w:p w14:paraId="0236D4C7" w14:textId="5ED5FA05" w:rsidR="004A7C53" w:rsidRDefault="004A7C53" w:rsidP="009A4683">
      <w:pPr>
        <w:rPr>
          <w:lang w:val="es-ES_tradnl"/>
        </w:rPr>
      </w:pPr>
      <w:r w:rsidRPr="003D49EB">
        <w:rPr>
          <w:lang w:val="es-ES_tradnl"/>
        </w:rPr>
        <w:t>196.</w:t>
      </w:r>
      <w:r w:rsidRPr="003D49EB">
        <w:rPr>
          <w:lang w:val="es-ES_tradnl"/>
        </w:rPr>
        <w:tab/>
        <w:t>En esta misma línea, el Relator Especial sobre la tortura, refiriéndose al artículo 1 de la Convención contra la Tortura de Naciones Unidas, advirtió que:</w:t>
      </w:r>
    </w:p>
    <w:p w14:paraId="51E56C7B" w14:textId="77777777" w:rsidR="007276B0" w:rsidRPr="003D49EB" w:rsidRDefault="007276B0" w:rsidP="009A4683">
      <w:pPr>
        <w:rPr>
          <w:lang w:val="es-ES_tradnl"/>
        </w:rPr>
      </w:pPr>
    </w:p>
    <w:p w14:paraId="2B7B2CCC" w14:textId="697F7C47" w:rsidR="004A7C53" w:rsidRDefault="004A7C53" w:rsidP="009A4683">
      <w:pPr>
        <w:ind w:left="1416"/>
        <w:rPr>
          <w:sz w:val="18"/>
          <w:szCs w:val="21"/>
          <w:lang w:val="es-ES_tradnl"/>
        </w:rPr>
      </w:pPr>
      <w:r w:rsidRPr="003D49EB">
        <w:rPr>
          <w:sz w:val="18"/>
          <w:szCs w:val="21"/>
          <w:lang w:val="es-ES_tradnl"/>
        </w:rPr>
        <w:t>[…] se ha utilizado con frecuencia para excluir del ámbito de protección que dispone la Convención [contra la Tortura,] la violencia contra la mujer al margen del control directo del Estado. No obstante, [dicho artículo,] cuando habla de consentimiento o aquiescencia del funcionario público[,] hace extensivas claramente las obligaciones del Estado a la esfera privada y debería entenderse que abarca la falta de protección por parte del Estado de las personas que estén dentro de su jurisdicción contra la tortura y los malos tratos por particulares</w:t>
      </w:r>
      <w:r w:rsidR="006A660B" w:rsidRPr="003D49EB">
        <w:rPr>
          <w:sz w:val="18"/>
          <w:szCs w:val="21"/>
          <w:lang w:val="es-ES_tradnl"/>
        </w:rPr>
        <w:t>.</w:t>
      </w:r>
    </w:p>
    <w:p w14:paraId="5ACFA893" w14:textId="77777777" w:rsidR="007276B0" w:rsidRPr="003D49EB" w:rsidRDefault="007276B0" w:rsidP="009A4683">
      <w:pPr>
        <w:ind w:left="1416"/>
        <w:rPr>
          <w:sz w:val="18"/>
          <w:szCs w:val="21"/>
          <w:lang w:val="es-ES_tradnl"/>
        </w:rPr>
      </w:pPr>
    </w:p>
    <w:p w14:paraId="4F3BD6D1" w14:textId="6B83081C" w:rsidR="004A7C53" w:rsidRDefault="004A7C53" w:rsidP="009A4683">
      <w:pPr>
        <w:rPr>
          <w:lang w:val="es-ES_tradnl"/>
        </w:rPr>
      </w:pPr>
      <w:r w:rsidRPr="003D49EB">
        <w:rPr>
          <w:lang w:val="es-ES_tradnl"/>
        </w:rPr>
        <w:lastRenderedPageBreak/>
        <w:t>197.</w:t>
      </w:r>
      <w:r w:rsidRPr="003D49EB">
        <w:rPr>
          <w:lang w:val="es-ES_tradnl"/>
        </w:rPr>
        <w:tab/>
        <w:t>En suma, a partir del marco normativo de la Convención de Belém do Pará que debe permear la interpretación evolutiva de las conductas y actos de violencia contra la mujer que pueden encuadrarse como tortura, la Corte considera que no pueden excluirse los actos de violencia contra la mujer perpetrados por particulares, cuando aquellos son cometidos con la tolerancia o aquiescencia estatal por no haberlos prevenido de forma deliberada, como ocurre en este caso.</w:t>
      </w:r>
    </w:p>
    <w:p w14:paraId="1CDB0BEA" w14:textId="77777777" w:rsidR="007276B0" w:rsidRPr="003D49EB" w:rsidRDefault="007276B0" w:rsidP="009A4683">
      <w:pPr>
        <w:rPr>
          <w:lang w:val="es-ES_tradnl"/>
        </w:rPr>
      </w:pPr>
    </w:p>
    <w:p w14:paraId="153929DC" w14:textId="1A64DFA9" w:rsidR="004A7C53" w:rsidRDefault="004A7C53" w:rsidP="009A4683">
      <w:pPr>
        <w:rPr>
          <w:lang w:val="es-ES_tradnl"/>
        </w:rPr>
      </w:pPr>
      <w:r w:rsidRPr="003D49EB">
        <w:rPr>
          <w:lang w:val="es-ES_tradnl"/>
        </w:rPr>
        <w:t>198.</w:t>
      </w:r>
      <w:r w:rsidRPr="003D49EB">
        <w:rPr>
          <w:lang w:val="es-ES_tradnl"/>
        </w:rPr>
        <w:tab/>
        <w:t>Sobre este aspecto, la Corte ya ha afirmado que:</w:t>
      </w:r>
    </w:p>
    <w:p w14:paraId="2AE50D18" w14:textId="77777777" w:rsidR="007276B0" w:rsidRPr="003D49EB" w:rsidRDefault="007276B0" w:rsidP="009A4683">
      <w:pPr>
        <w:rPr>
          <w:lang w:val="es-ES_tradnl"/>
        </w:rPr>
      </w:pPr>
    </w:p>
    <w:p w14:paraId="38469331" w14:textId="30341C20" w:rsidR="004A7C53" w:rsidRDefault="004A7C53" w:rsidP="00FF6B9C">
      <w:pPr>
        <w:ind w:left="1416"/>
        <w:rPr>
          <w:sz w:val="18"/>
          <w:szCs w:val="21"/>
          <w:lang w:val="es-ES_tradnl"/>
        </w:rPr>
      </w:pPr>
      <w:r w:rsidRPr="003D49EB">
        <w:rPr>
          <w:sz w:val="18"/>
          <w:szCs w:val="21"/>
          <w:lang w:val="es-ES_tradnl"/>
        </w:rPr>
        <w:t xml:space="preserve">[a] los efectos del análisis, es irrelevante la intención o motivación del agente que materialmente haya violado los derechos reconocidos por la Convención, </w:t>
      </w:r>
      <w:proofErr w:type="gramStart"/>
      <w:r w:rsidRPr="003D49EB">
        <w:rPr>
          <w:sz w:val="18"/>
          <w:szCs w:val="21"/>
          <w:lang w:val="es-ES_tradnl"/>
        </w:rPr>
        <w:t>hasta el punto que</w:t>
      </w:r>
      <w:proofErr w:type="gramEnd"/>
      <w:r w:rsidRPr="003D49EB">
        <w:rPr>
          <w:sz w:val="18"/>
          <w:szCs w:val="21"/>
          <w:lang w:val="es-ES_tradnl"/>
        </w:rPr>
        <w:t xml:space="preserve"> la infracción a la misma puede establecerse incluso si dicho agente no está individualmente identificado. Lo decisivo es dilucidar si una determinada violación a los derechos humanos reconocidos por la Convención ha tenido lugar con el apoyo o la tolerancia del poder público o si éste ha actuado de manera que la trasgresión se haya cumplido en defecto de toda prevención o impunemente. En definitiva, de lo que se trata es de determinar si la violación a los derechos humanos resulta de la inobservancia por parte de un Estado de sus deberes de respetar y de garantizar dichos derechos, que le impone el artículo 1.1 de la Convención</w:t>
      </w:r>
      <w:r w:rsidR="006A660B" w:rsidRPr="003D49EB">
        <w:rPr>
          <w:sz w:val="18"/>
          <w:szCs w:val="21"/>
          <w:lang w:val="es-ES_tradnl"/>
        </w:rPr>
        <w:t>.</w:t>
      </w:r>
    </w:p>
    <w:p w14:paraId="5A27B943" w14:textId="77777777" w:rsidR="007276B0" w:rsidRPr="003D49EB" w:rsidRDefault="007276B0" w:rsidP="00FF6B9C">
      <w:pPr>
        <w:ind w:left="1416"/>
        <w:rPr>
          <w:sz w:val="18"/>
          <w:szCs w:val="21"/>
          <w:lang w:val="es-ES_tradnl"/>
        </w:rPr>
      </w:pPr>
    </w:p>
    <w:p w14:paraId="6475C27E" w14:textId="40FB1DAD" w:rsidR="004A7C53" w:rsidRDefault="004A7C53" w:rsidP="009A4683">
      <w:pPr>
        <w:rPr>
          <w:lang w:val="es-ES_tradnl"/>
        </w:rPr>
      </w:pPr>
      <w:r w:rsidRPr="003D49EB">
        <w:rPr>
          <w:lang w:val="es-ES_tradnl"/>
        </w:rPr>
        <w:t>199.</w:t>
      </w:r>
      <w:r w:rsidRPr="003D49EB">
        <w:rPr>
          <w:lang w:val="es-ES_tradnl"/>
        </w:rPr>
        <w:tab/>
        <w:t>La Corte concluye que el Estado es responsable porque, en razón de su grosera omisión, posibilitó los actos de tortura a los que fue sometida Linda Loaiza López Soto, en las mismas condiciones señaladas previamente, en violación del artículo 5.2 de la Convención Americana, en relación con el artículo 1.1 de la misma y los artículos 1, 6 y 8 de la CIPST.</w:t>
      </w:r>
    </w:p>
    <w:p w14:paraId="7CAE439F" w14:textId="77777777" w:rsidR="007276B0" w:rsidRPr="003D49EB" w:rsidRDefault="007276B0" w:rsidP="009A4683">
      <w:pPr>
        <w:rPr>
          <w:lang w:val="es-ES_tradnl"/>
        </w:rPr>
      </w:pPr>
    </w:p>
    <w:p w14:paraId="2C97E1BC" w14:textId="14B35922" w:rsidR="004A7C53" w:rsidRPr="003D49EB" w:rsidRDefault="004A7C53" w:rsidP="009A4683">
      <w:pPr>
        <w:rPr>
          <w:lang w:val="es-ES_tradnl"/>
        </w:rPr>
      </w:pPr>
      <w:r w:rsidRPr="003D49EB">
        <w:rPr>
          <w:lang w:val="es-ES_tradnl"/>
        </w:rPr>
        <w:t>200.</w:t>
      </w:r>
      <w:r w:rsidRPr="003D49EB">
        <w:rPr>
          <w:lang w:val="es-ES_tradnl"/>
        </w:rPr>
        <w:tab/>
        <w:t>En virtud del análisis y las determinaciones realizadas en este capítulo, la Corte concluye que Venezuela es responsable por la violación de los artículos 3, 5.1, 5.2, 6.1, 7.1, 11.1, 11.2, 22 y 24 de la Convención Americana, en relación con el artículo 1.1 de la misma, el artículo 7.a) y 7.b) de la Convención de Belém do Pará y los artículos 1, 6 y 8 de la CIPST, en perjuicio de Linda Loaiza López Soto.</w:t>
      </w:r>
    </w:p>
    <w:p w14:paraId="0F0AD9F4" w14:textId="4465196E" w:rsidR="00800714" w:rsidRDefault="00800714" w:rsidP="009A4683">
      <w:pPr>
        <w:pStyle w:val="Ttulo2"/>
      </w:pPr>
      <w:bookmarkStart w:id="32" w:name="_Toc88914979"/>
      <w:r w:rsidRPr="003D49EB">
        <w:t>Prueba</w:t>
      </w:r>
      <w:bookmarkEnd w:id="31"/>
      <w:bookmarkEnd w:id="32"/>
    </w:p>
    <w:p w14:paraId="758D75BD" w14:textId="77777777" w:rsidR="007276B0" w:rsidRPr="007276B0" w:rsidRDefault="007276B0" w:rsidP="007276B0">
      <w:pPr>
        <w:rPr>
          <w:lang w:val="es-CR"/>
        </w:rPr>
      </w:pPr>
    </w:p>
    <w:p w14:paraId="52FA8777" w14:textId="77777777" w:rsidR="00482232" w:rsidRPr="003D49EB" w:rsidRDefault="00482232" w:rsidP="009A4683">
      <w:pPr>
        <w:spacing w:after="100" w:afterAutospacing="1"/>
        <w:rPr>
          <w:b/>
          <w:bCs/>
          <w:szCs w:val="20"/>
          <w:shd w:val="clear" w:color="auto" w:fill="FFFFFF"/>
        </w:rPr>
      </w:pPr>
      <w:r w:rsidRPr="003D49EB">
        <w:rPr>
          <w:b/>
          <w:bCs/>
          <w:szCs w:val="20"/>
          <w:shd w:val="clear" w:color="auto" w:fill="FFFFFF"/>
        </w:rPr>
        <w:t xml:space="preserve">Corte IDH. Caso J. Vs. Perú. Excepción Preliminar, Fondo, Reparaciones y Costas. Sentencia de 27 de noviembre de 2013. Serie C No. 275. </w:t>
      </w:r>
    </w:p>
    <w:p w14:paraId="02EE1AEA" w14:textId="62AE4784" w:rsidR="003C4BD5" w:rsidRPr="003D49EB" w:rsidRDefault="003C4BD5" w:rsidP="009A4683">
      <w:pPr>
        <w:spacing w:after="100" w:afterAutospacing="1"/>
        <w:rPr>
          <w:bCs/>
          <w:szCs w:val="20"/>
          <w:shd w:val="clear" w:color="auto" w:fill="FFFFFF"/>
        </w:rPr>
      </w:pPr>
      <w:r w:rsidRPr="003D49EB">
        <w:rPr>
          <w:bCs/>
          <w:szCs w:val="20"/>
          <w:shd w:val="clear" w:color="auto" w:fill="FFFFFF"/>
        </w:rPr>
        <w:t>305.</w:t>
      </w:r>
      <w:r w:rsidRPr="003D49EB">
        <w:rPr>
          <w:bCs/>
          <w:szCs w:val="20"/>
          <w:shd w:val="clear" w:color="auto" w:fill="FFFFFF"/>
        </w:rPr>
        <w:tab/>
        <w:t>Antes de entrar a analizar los maltratos presuntamente infligidos a la señora J. y su calificación jurídica, este Tribunal estima pertinente recordar su jurisprudencia respecto a los criterios aplicables a la valoración de la prueba en un caso como el presente. Desde su primer caso contencioso, esta Corte ha señalado que para un tribunal internacional los criterios de valoración de la prueba son menos rígidos que en los sistemas legales internos y ha sostenido que puede evaluar libremente las pruebas. La Corte debe aplicar una valoración de la prueba que tenga en cuenta la gravedad de la atribución de responsabilidad internacional a un Estado y que, sin perjuicio de ello, sea capaz de crear la convicción de la verdad de los hechos alegados. Para establecer que se ha producido una violación de los derechos consagrados en la Convención no es necesario que se pruebe la responsabilidad del Estado más allá de toda duda razonable ni que se identifique individualmente a los agentes a los cuales se atribuyen los hechos violatorios, sino que es suficiente demostrar que se han verificado acciones u omisiones que hayan permitido la perpetración de esas violaciones o que exista una obligación del Estado que haya sido incumplida por éste.</w:t>
      </w:r>
    </w:p>
    <w:p w14:paraId="038B2B79" w14:textId="77777777" w:rsidR="003C4BD5" w:rsidRPr="003D49EB" w:rsidRDefault="003C4BD5" w:rsidP="009A4683">
      <w:pPr>
        <w:spacing w:after="100" w:afterAutospacing="1"/>
        <w:rPr>
          <w:bCs/>
          <w:szCs w:val="20"/>
          <w:shd w:val="clear" w:color="auto" w:fill="FFFFFF"/>
        </w:rPr>
      </w:pPr>
      <w:r w:rsidRPr="003D49EB">
        <w:rPr>
          <w:bCs/>
          <w:szCs w:val="20"/>
          <w:shd w:val="clear" w:color="auto" w:fill="FFFFFF"/>
        </w:rPr>
        <w:t>306.</w:t>
      </w:r>
      <w:r w:rsidRPr="003D49EB">
        <w:rPr>
          <w:bCs/>
          <w:szCs w:val="20"/>
          <w:shd w:val="clear" w:color="auto" w:fill="FFFFFF"/>
        </w:rPr>
        <w:tab/>
        <w:t xml:space="preserve">Además, la Corte recuerda que es legítimo el uso de la prueba circunstancial, los indicios y las presunciones para fundar una sentencia, siempre que de ellos </w:t>
      </w:r>
      <w:r w:rsidRPr="003D49EB">
        <w:rPr>
          <w:bCs/>
          <w:szCs w:val="20"/>
          <w:shd w:val="clear" w:color="auto" w:fill="FFFFFF"/>
        </w:rPr>
        <w:lastRenderedPageBreak/>
        <w:t>puedan inferirse conclusiones consistentes sobre los hechos. Al respecto, este Tribunal ha señalado que corresponde a la parte demandante, en principio, la carga de la prueba de los hechos en que se funda su alegato; no obstante, ha destacado que, a diferencia del derecho penal interno, en los procesos sobre violaciones de derechos humanos la defensa del Estado no puede descansar sobre la imposibilidad del demandante de allegar pruebas, cuando es el Estado quien tiene el control de los medios para aclarar hechos ocurridos dentro de su territorio.</w:t>
      </w:r>
    </w:p>
    <w:p w14:paraId="0D0F77BC" w14:textId="77777777" w:rsidR="003C4BD5" w:rsidRPr="003D49EB" w:rsidRDefault="003C4BD5" w:rsidP="009A4683">
      <w:pPr>
        <w:spacing w:after="100" w:afterAutospacing="1"/>
        <w:rPr>
          <w:bCs/>
          <w:szCs w:val="20"/>
          <w:shd w:val="clear" w:color="auto" w:fill="FFFFFF"/>
        </w:rPr>
      </w:pPr>
      <w:r w:rsidRPr="003D49EB">
        <w:rPr>
          <w:bCs/>
          <w:szCs w:val="20"/>
          <w:shd w:val="clear" w:color="auto" w:fill="FFFFFF"/>
        </w:rPr>
        <w:t>323.</w:t>
      </w:r>
      <w:r w:rsidRPr="003D49EB">
        <w:rPr>
          <w:bCs/>
          <w:szCs w:val="20"/>
          <w:shd w:val="clear" w:color="auto" w:fill="FFFFFF"/>
        </w:rPr>
        <w:tab/>
        <w:t>En relación con el alegado “manoseo sexual”, este Tribunal ha establecido que la violación sexual es un tipo particular de agresión que, en general, se caracteriza por producirse en ausencia de otras personas más allá de la víctima y el agresor o los agresores. Dada la naturaleza de esta forma de violencia, no se puede esperar la existencia de pruebas gráficas o documentales y, por ello, la declaración de la víctima constituye una prueba fundamental sobre el hecho. Sin perjuicio de la calificación jurídica de los hechos que se realiza infra, la Corte considera que dicho estándar es aplicable a las agresiones sexuales en general. Asimismo, al analizar dichas declaraciones se debe tomar en cuenta que las agresiones sexuales corresponden a un tipo de delito que la víctima no suele denunciar, por el estigma que dicha denuncia conlleva usualmente […].</w:t>
      </w:r>
    </w:p>
    <w:p w14:paraId="2571294D" w14:textId="77777777" w:rsidR="003C4BD5" w:rsidRPr="003D49EB" w:rsidRDefault="003C4BD5" w:rsidP="009A4683">
      <w:pPr>
        <w:spacing w:after="100" w:afterAutospacing="1"/>
        <w:rPr>
          <w:bCs/>
          <w:szCs w:val="20"/>
          <w:shd w:val="clear" w:color="auto" w:fill="FFFFFF"/>
        </w:rPr>
      </w:pPr>
      <w:r w:rsidRPr="003D49EB">
        <w:rPr>
          <w:bCs/>
          <w:szCs w:val="20"/>
          <w:shd w:val="clear" w:color="auto" w:fill="FFFFFF"/>
        </w:rPr>
        <w:t>324.</w:t>
      </w:r>
      <w:r w:rsidRPr="003D49EB">
        <w:rPr>
          <w:bCs/>
          <w:szCs w:val="20"/>
          <w:shd w:val="clear" w:color="auto" w:fill="FFFFFF"/>
        </w:rPr>
        <w:tab/>
        <w:t>Adicionalmente, este Tribunal considera que las variaciones entre las calificaciones jurídicas de violencia o violación sexual que la representación de la presunta víctima le ha dado a los hechos a lo largo del proceso ante el sistema interamericano no desacredita los testimonios rendidos internamente por la señora J. en cuanto a los hechos ocurridos. En este sentido, la Corte advierte que este es el caso inclusive si se trataran de declaraciones posteriores realizadas por la presunta víctima. Al respecto, esta Corte ha considerado que una negación de la ocurrencia de una agresión sexual denunciada no necesariamente desacredita las declaraciones donde se indicó que había sucedido, sino que debe ser analizado tomando en cuenta las circunstancias propias del caso y de la víctima. Adicionalmente, la calificación jurídica de los hechos que utilice la presunta víctima en sus declaraciones tiene que ser valorada tomando en cuenta el significado comúnmente dado a las palabras utilizadas, el cual no necesariamente corresponde a su definición jurídica. Lo relevante es evaluar si los hechos descritos, y no la calificación jurídica dada a los mismos, fueron consistentes.</w:t>
      </w:r>
      <w:r w:rsidR="008B18CE" w:rsidRPr="003D49EB">
        <w:rPr>
          <w:bCs/>
          <w:szCs w:val="20"/>
          <w:shd w:val="clear" w:color="auto" w:fill="FFFFFF"/>
        </w:rPr>
        <w:t xml:space="preserve"> </w:t>
      </w:r>
    </w:p>
    <w:p w14:paraId="014A3A88" w14:textId="77777777" w:rsidR="003C4BD5" w:rsidRPr="003D49EB" w:rsidRDefault="003C4BD5" w:rsidP="009A4683">
      <w:pPr>
        <w:spacing w:after="100" w:afterAutospacing="1"/>
        <w:rPr>
          <w:bCs/>
          <w:szCs w:val="20"/>
          <w:shd w:val="clear" w:color="auto" w:fill="FFFFFF"/>
        </w:rPr>
      </w:pPr>
      <w:r w:rsidRPr="003D49EB">
        <w:rPr>
          <w:bCs/>
          <w:szCs w:val="20"/>
          <w:shd w:val="clear" w:color="auto" w:fill="FFFFFF"/>
        </w:rPr>
        <w:t>329.</w:t>
      </w:r>
      <w:r w:rsidRPr="003D49EB">
        <w:rPr>
          <w:bCs/>
          <w:szCs w:val="20"/>
          <w:shd w:val="clear" w:color="auto" w:fill="FFFFFF"/>
        </w:rPr>
        <w:tab/>
        <w:t>Adicionalmente, es necesario señalar que la ausencia de señales físicas no implica que no se han producido maltratos, ya que es frecuente que estos actos de violencia contra las personas no dejen marcas ni cicatrices permanentes. Lo mismo es cierto para los casos de violencia y violación sexual, en los cuales no necesariamente se verá reflejada la ocurrencia de los mismo en un examen médico, ya que no todos los casos de violencia y/o violación sexual ocasionan lesiones físicas o enfermedades verificabl</w:t>
      </w:r>
      <w:r w:rsidR="00B23BED" w:rsidRPr="003D49EB">
        <w:rPr>
          <w:bCs/>
          <w:szCs w:val="20"/>
          <w:shd w:val="clear" w:color="auto" w:fill="FFFFFF"/>
        </w:rPr>
        <w:t>es a través de un examen médico</w:t>
      </w:r>
      <w:r w:rsidRPr="003D49EB">
        <w:rPr>
          <w:bCs/>
          <w:szCs w:val="20"/>
          <w:shd w:val="clear" w:color="auto" w:fill="FFFFFF"/>
        </w:rPr>
        <w:t>.</w:t>
      </w:r>
    </w:p>
    <w:p w14:paraId="17B431E6" w14:textId="77777777" w:rsidR="005C32C2" w:rsidRPr="003D49EB" w:rsidRDefault="003C4BD5" w:rsidP="009A4683">
      <w:pPr>
        <w:spacing w:after="100" w:afterAutospacing="1"/>
        <w:rPr>
          <w:bCs/>
          <w:szCs w:val="20"/>
          <w:shd w:val="clear" w:color="auto" w:fill="FFFFFF"/>
        </w:rPr>
      </w:pPr>
      <w:r w:rsidRPr="003D49EB">
        <w:rPr>
          <w:bCs/>
          <w:szCs w:val="20"/>
          <w:shd w:val="clear" w:color="auto" w:fill="FFFFFF"/>
        </w:rPr>
        <w:t>333.</w:t>
      </w:r>
      <w:r w:rsidRPr="003D49EB">
        <w:rPr>
          <w:bCs/>
          <w:szCs w:val="20"/>
          <w:shd w:val="clear" w:color="auto" w:fill="FFFFFF"/>
        </w:rPr>
        <w:tab/>
        <w:t xml:space="preserve">La Corte considera que la evidencia obtenida durante los exámenes médicos tiene un rol crucial durante las investigaciones realizadas contra los detenidos y en los casos cuando este alega maltrato. En este sentido, los alegatos de maltratos ocurridos en custodia policial son extremadamente difíciles de sustanciar para la víctima si estuvo aislada del mundo exterior, sin acceso a médicos, abogados, familia o amigos quienes podrán apoyar y reunir la evidencia necesaria. Por tanto, corresponde a las autoridades judiciales el deber de garantizar los derechos del detenido, lo que implica la obtención y el aseguramiento de toda prueba que pueda acreditar los actos de tortura, incluyendo exámenes médicos. Adicionalmente, es importante enfatizar que en los casos en los que existen alegatos de supuestas torturas o malos tratos, el tiempo transcurrido para la realización de las correspondientes pericias médicas es esencial para determinar fehacientemente la </w:t>
      </w:r>
      <w:r w:rsidRPr="003D49EB">
        <w:rPr>
          <w:bCs/>
          <w:szCs w:val="20"/>
          <w:shd w:val="clear" w:color="auto" w:fill="FFFFFF"/>
        </w:rPr>
        <w:lastRenderedPageBreak/>
        <w:t>existencia del daño, sobre todo cuando no se cuenta con testigos más allá de los perpetradores y las propias víctimas y, en consecuencia, los elementos de evidencia pueden ser escasos. De ello se desprende que para que una investigación sobre hechos de tortura sea efectiva, la misma deb</w:t>
      </w:r>
      <w:r w:rsidR="00B23BED" w:rsidRPr="003D49EB">
        <w:rPr>
          <w:bCs/>
          <w:szCs w:val="20"/>
          <w:shd w:val="clear" w:color="auto" w:fill="FFFFFF"/>
        </w:rPr>
        <w:t>erá ser efectuada con prontitud</w:t>
      </w:r>
      <w:r w:rsidRPr="003D49EB">
        <w:rPr>
          <w:bCs/>
          <w:szCs w:val="20"/>
          <w:shd w:val="clear" w:color="auto" w:fill="FFFFFF"/>
        </w:rPr>
        <w:t>. Por tanto, la falta de realización de un examen médico de una persona que se encontraba bajo la custodia del Estado, o la realización del mismo sin el cumplimiento de los estándares aplicables, no puede ser usado para cuestionar la veracidad de los alegatos de maltrato de la presunta víctima […]. En el mismo sentido, en casos donde se alegue agresiones sexuales, la falta de evidencia médica no disminuye la veracidad de la declaración de la presunta víctima.</w:t>
      </w:r>
    </w:p>
    <w:p w14:paraId="76EB0AC3" w14:textId="5C3202F8" w:rsidR="00800714" w:rsidRPr="003D49EB" w:rsidRDefault="005821EA" w:rsidP="009A4683">
      <w:pPr>
        <w:spacing w:after="100" w:afterAutospacing="1"/>
        <w:rPr>
          <w:b/>
          <w:bCs/>
          <w:szCs w:val="20"/>
          <w:shd w:val="clear" w:color="auto" w:fill="FFFFFF"/>
        </w:rPr>
      </w:pPr>
      <w:r w:rsidRPr="003D49EB">
        <w:rPr>
          <w:b/>
          <w:bCs/>
          <w:szCs w:val="20"/>
          <w:shd w:val="clear" w:color="auto" w:fill="FFFFFF"/>
        </w:rPr>
        <w:t>Corte IDH. Caso Espinoza Gonzáles Vs. Perú. Excepciones Preliminares, Fondo, Reparaciones y Costas. Sentencia de 20 de noviembre de 2014. Serie C No. 289.</w:t>
      </w:r>
      <w:r w:rsidR="00800714" w:rsidRPr="003D49EB">
        <w:rPr>
          <w:b/>
          <w:bCs/>
          <w:szCs w:val="20"/>
          <w:shd w:val="clear" w:color="auto" w:fill="FFFFFF"/>
        </w:rPr>
        <w:t xml:space="preserve"> </w:t>
      </w:r>
    </w:p>
    <w:p w14:paraId="3208C7C0" w14:textId="045D374E" w:rsidR="005C32C2" w:rsidRDefault="005C32C2" w:rsidP="009A4683">
      <w:r w:rsidRPr="003D49EB">
        <w:t>149.</w:t>
      </w:r>
      <w:r w:rsidRPr="003D49EB">
        <w:tab/>
        <w:t>En este sentido, la Corte considera relevante recordar los estándares que ha utilizado para la valoración de la prueba en este tipo de casos. Al respecto, en cuanto a las declaraciones rendidas por presuntas víctimas, la Corte ha considerado que éstas suelen abstenerse, por temor, de denunciar hechos de tortura o malos tratos, sobre todo si se encuentran detenidas en el mismo recinto donde estos ocurrieron, y que no resulta razonable exigir que las víctimas de tortura manifiesten todos los presuntos maltratos que habrían sufrido en cada oportunidad que declaran.</w:t>
      </w:r>
    </w:p>
    <w:p w14:paraId="071F5FF0" w14:textId="77777777" w:rsidR="008E199E" w:rsidRPr="003D49EB" w:rsidRDefault="008E199E" w:rsidP="009A4683"/>
    <w:p w14:paraId="60E29499" w14:textId="59B0414B" w:rsidR="00800714" w:rsidRDefault="00800714" w:rsidP="009A4683">
      <w:r w:rsidRPr="003D49EB">
        <w:t>150.</w:t>
      </w:r>
      <w:r w:rsidRPr="003D49EB">
        <w:tab/>
        <w:t>En lo que respecta casos de alegada violencia sexual, la Corte</w:t>
      </w:r>
      <w:r w:rsidRPr="003D49EB" w:rsidDel="00B80469">
        <w:t xml:space="preserve"> </w:t>
      </w:r>
      <w:r w:rsidRPr="003D49EB">
        <w:t>ha señalado</w:t>
      </w:r>
      <w:r w:rsidRPr="003D49EB" w:rsidDel="00B80469">
        <w:t xml:space="preserve"> que las agresiones sexuales se caracterizan, en general, por producirse en ausencia de otras personas más allá de la víctima y el agresor o los agresores. Dada la naturaleza de estas formas de violencia, no se </w:t>
      </w:r>
      <w:r w:rsidRPr="003D49EB" w:rsidDel="00B80469">
        <w:rPr>
          <w:rFonts w:eastAsia="Calibri"/>
        </w:rPr>
        <w:t>puede</w:t>
      </w:r>
      <w:r w:rsidRPr="003D49EB" w:rsidDel="00B80469">
        <w:t xml:space="preserve"> esperar la existencia de pruebas gráficas o documentales y, por ello, la declaración de la víctima constituye una prueba fundamental sobre el hecho. Asimismo, al analizar dichas declaraciones se debe tomar en cuenta que las agresiones sexuales corresponden a un tipo de delito que la víctima no suele denunciar, por el estigma que dicha denuncia conlleva usualmente.</w:t>
      </w:r>
      <w:r w:rsidRPr="003D49EB">
        <w:t xml:space="preserve"> La Corte, igualmente, ha tenido en cuenta que las declaraciones brindadas por las víctimas de violencia sexual se refieren a un momento traumático de ellas, cuyo impacto puede derivar en determinadas imprecisiones al recordarlos. Por ello, la Corte ha advertido que las imprecisiones en declaraciones relacionadas a violencia sexual o la mención de algunos de los hechos alegados solamente en algunas de éstas no significa que sean falsas o que los hechos relata</w:t>
      </w:r>
      <w:r w:rsidR="00B23BED" w:rsidRPr="003D49EB">
        <w:t>dos carezcan de veracidad.</w:t>
      </w:r>
    </w:p>
    <w:p w14:paraId="59C5C28C" w14:textId="77777777" w:rsidR="008E199E" w:rsidRPr="003D49EB" w:rsidRDefault="008E199E" w:rsidP="009A4683"/>
    <w:p w14:paraId="0F6E1644" w14:textId="12C548B5" w:rsidR="00800714" w:rsidRDefault="00800714" w:rsidP="009A4683">
      <w:r w:rsidRPr="003D49EB">
        <w:rPr>
          <w:rFonts w:eastAsia="Calibri" w:cs="Arial"/>
          <w:lang w:eastAsia="es-CR"/>
        </w:rPr>
        <w:t>151.</w:t>
      </w:r>
      <w:r w:rsidRPr="003D49EB">
        <w:rPr>
          <w:rFonts w:eastAsia="Calibri" w:cs="Arial"/>
          <w:lang w:eastAsia="es-CR"/>
        </w:rPr>
        <w:tab/>
        <w:t>Por otro lado, la Corte</w:t>
      </w:r>
      <w:r w:rsidRPr="003D49EB">
        <w:t xml:space="preserve"> recuerda que la evidencia obtenida a través de los exámenes médicos tiene un rol crucial durante las investigaciones realizadas contra los detenidos y en los casos cuando estos alegan maltrato. En este sentido, los alegatos de maltratos ocurridos en custodia policial son extremadamente difíciles de sustanciar para la víctima si ésta estuvo aislada del mundo exterior, sin acceso a médicos, abogados, familia o amigos quienes podrán apoyar y reunir la evidencia necesaria. Por tanto, corresponde a las autoridades judiciales el deber de garantizar los derechos del detenido, lo que implica la obtención y el aseguramiento de toda prueba que pueda acreditar los actos de tortura</w:t>
      </w:r>
      <w:r w:rsidR="00B23BED" w:rsidRPr="003D49EB">
        <w:t xml:space="preserve">, incluyendo exámenes médicos. </w:t>
      </w:r>
    </w:p>
    <w:p w14:paraId="3583050C" w14:textId="77777777" w:rsidR="008E199E" w:rsidRPr="003D49EB" w:rsidRDefault="008E199E" w:rsidP="009A4683"/>
    <w:p w14:paraId="28343601" w14:textId="7E656729" w:rsidR="00800714" w:rsidRDefault="00800714" w:rsidP="009A4683">
      <w:r w:rsidRPr="003D49EB">
        <w:t>152.</w:t>
      </w:r>
      <w:r w:rsidRPr="003D49EB">
        <w:tab/>
        <w:t xml:space="preserve">Adicionalmente, es importante destacar que en los casos en los que existen alegatos de supuestas torturas o malos tratos, el tiempo transcurrido para la realización de las correspondientes pericias médicas es esencial para determinar fehacientemente la existencia del daño, sobre todo cuando no se cuenta con testigos más allá de los perpetradores y las propias víctimas y, en consecuencia, los elementos de evidencia pueden ser escasos. De ello se desprende que para que una investigación sobre hechos de tortura sea efectiva, la misma deberá ser efectuada con prontitud. Por tanto, la falta de realización de un examen médico de una persona </w:t>
      </w:r>
      <w:r w:rsidRPr="003D49EB">
        <w:lastRenderedPageBreak/>
        <w:t>que se encontraba bajo la custodia del Estado, o la realización del mismo sin el cumplimiento de los estándares aplicables, no puede ser usado para cuestionar la veracidad de los alegatos de maltrato de la presunta víctima. Igualmente, la ausencia de señales físicas no implica que no se han producido maltratos, ya que es frecuente que estos actos de violencia contra las personas no dejen ma</w:t>
      </w:r>
      <w:r w:rsidR="00B23BED" w:rsidRPr="003D49EB">
        <w:t>rcas ni cicatrices permanentes.</w:t>
      </w:r>
    </w:p>
    <w:p w14:paraId="13338CE1" w14:textId="77777777" w:rsidR="008E199E" w:rsidRPr="003D49EB" w:rsidRDefault="008E199E" w:rsidP="009A4683"/>
    <w:p w14:paraId="76087AAF" w14:textId="3BB04651" w:rsidR="0001369E" w:rsidRDefault="00800714" w:rsidP="009A4683">
      <w:r w:rsidRPr="003D49EB">
        <w:t>153.</w:t>
      </w:r>
      <w:r w:rsidRPr="003D49EB">
        <w:tab/>
        <w:t>En el mismo sentido, en casos donde se alegue agresiones sexuales, la falta de evidencia médica no disminuye la veracidad de la declaración de la presunta víctima. En tales casos, no necesariamente se verá reflejada la ocurrencia de violencia o violación sexual en un examen médico, ya que no todos los casos de violencia y/o violación sexual ocasionan lesiones físicas o enfermedades verificab</w:t>
      </w:r>
      <w:r w:rsidR="00B21408" w:rsidRPr="003D49EB">
        <w:t>les a través de dichos exámenes.</w:t>
      </w:r>
      <w:r w:rsidR="00E103E1" w:rsidRPr="003D49EB">
        <w:t xml:space="preserve"> </w:t>
      </w:r>
    </w:p>
    <w:p w14:paraId="74865C34" w14:textId="77777777" w:rsidR="008E199E" w:rsidRPr="003D49EB" w:rsidRDefault="008E199E" w:rsidP="009A4683">
      <w:pPr>
        <w:rPr>
          <w:rFonts w:cs="Times"/>
        </w:rPr>
      </w:pPr>
    </w:p>
    <w:p w14:paraId="0D33EE4F" w14:textId="618C1B5E" w:rsidR="00773AFF" w:rsidRDefault="00773AFF" w:rsidP="009A4683">
      <w:pPr>
        <w:pStyle w:val="Caso"/>
      </w:pPr>
      <w:r w:rsidRPr="003D49EB">
        <w:t>Corte IDH. Caso Azul Rojas Marín y otra Vs. Perú. Excepciones Preliminares, Fondo, Reparaciones y Costas. Sentencia de 12 de marzo de 2020. Serie C No. 402.</w:t>
      </w:r>
    </w:p>
    <w:p w14:paraId="5702D551" w14:textId="77777777" w:rsidR="008E199E" w:rsidRPr="003D49EB" w:rsidRDefault="008E199E" w:rsidP="009A4683">
      <w:pPr>
        <w:pStyle w:val="Caso"/>
      </w:pPr>
    </w:p>
    <w:p w14:paraId="32B2CE79" w14:textId="72817A43" w:rsidR="00773AFF" w:rsidRDefault="00773AFF" w:rsidP="009A4683">
      <w:pPr>
        <w:rPr>
          <w:szCs w:val="20"/>
        </w:rPr>
      </w:pPr>
      <w:r w:rsidRPr="003D49EB">
        <w:rPr>
          <w:szCs w:val="20"/>
        </w:rPr>
        <w:t xml:space="preserve">217. La Corte ha </w:t>
      </w:r>
      <w:proofErr w:type="spellStart"/>
      <w:r w:rsidRPr="003D49EB">
        <w:rPr>
          <w:szCs w:val="20"/>
        </w:rPr>
        <w:t>señalado</w:t>
      </w:r>
      <w:proofErr w:type="spellEnd"/>
      <w:r w:rsidRPr="003D49EB">
        <w:rPr>
          <w:szCs w:val="20"/>
        </w:rPr>
        <w:t xml:space="preserve"> que la falta de </w:t>
      </w:r>
      <w:proofErr w:type="spellStart"/>
      <w:r w:rsidRPr="003D49EB">
        <w:rPr>
          <w:szCs w:val="20"/>
        </w:rPr>
        <w:t>realización</w:t>
      </w:r>
      <w:proofErr w:type="spellEnd"/>
      <w:r w:rsidRPr="003D49EB">
        <w:rPr>
          <w:szCs w:val="20"/>
        </w:rPr>
        <w:t xml:space="preserve"> de un examen </w:t>
      </w:r>
      <w:proofErr w:type="spellStart"/>
      <w:r w:rsidRPr="003D49EB">
        <w:rPr>
          <w:szCs w:val="20"/>
        </w:rPr>
        <w:t>médico</w:t>
      </w:r>
      <w:proofErr w:type="spellEnd"/>
      <w:r w:rsidRPr="003D49EB">
        <w:rPr>
          <w:szCs w:val="20"/>
        </w:rPr>
        <w:t xml:space="preserve"> de una persona que se encontraba bajo la custodia del Estado, o la </w:t>
      </w:r>
      <w:proofErr w:type="spellStart"/>
      <w:r w:rsidRPr="003D49EB">
        <w:rPr>
          <w:szCs w:val="20"/>
        </w:rPr>
        <w:t>realización</w:t>
      </w:r>
      <w:proofErr w:type="spellEnd"/>
      <w:r w:rsidRPr="003D49EB">
        <w:rPr>
          <w:szCs w:val="20"/>
        </w:rPr>
        <w:t xml:space="preserve"> del mismo sin el cumplimiento de los </w:t>
      </w:r>
      <w:proofErr w:type="spellStart"/>
      <w:r w:rsidRPr="003D49EB">
        <w:rPr>
          <w:szCs w:val="20"/>
        </w:rPr>
        <w:t>estándares</w:t>
      </w:r>
      <w:proofErr w:type="spellEnd"/>
      <w:r w:rsidRPr="003D49EB">
        <w:rPr>
          <w:szCs w:val="20"/>
        </w:rPr>
        <w:t xml:space="preserve"> aplicables, no puede ser usado para cuestionar la veracidad de los alegatos de maltrato de la presunta </w:t>
      </w:r>
      <w:proofErr w:type="spellStart"/>
      <w:r w:rsidRPr="003D49EB">
        <w:rPr>
          <w:szCs w:val="20"/>
        </w:rPr>
        <w:t>víctima</w:t>
      </w:r>
      <w:proofErr w:type="spellEnd"/>
      <w:r w:rsidRPr="003D49EB">
        <w:rPr>
          <w:szCs w:val="20"/>
        </w:rPr>
        <w:t xml:space="preserve">. Este Tribunal ya concluyó que la </w:t>
      </w:r>
      <w:proofErr w:type="spellStart"/>
      <w:r w:rsidRPr="003D49EB">
        <w:rPr>
          <w:szCs w:val="20"/>
        </w:rPr>
        <w:t>realización</w:t>
      </w:r>
      <w:proofErr w:type="spellEnd"/>
      <w:r w:rsidRPr="003D49EB">
        <w:rPr>
          <w:szCs w:val="20"/>
        </w:rPr>
        <w:t xml:space="preserve"> </w:t>
      </w:r>
      <w:proofErr w:type="spellStart"/>
      <w:r w:rsidRPr="003D49EB">
        <w:rPr>
          <w:szCs w:val="20"/>
        </w:rPr>
        <w:t>tardía</w:t>
      </w:r>
      <w:proofErr w:type="spellEnd"/>
      <w:r w:rsidRPr="003D49EB">
        <w:rPr>
          <w:szCs w:val="20"/>
        </w:rPr>
        <w:t xml:space="preserve"> del examen </w:t>
      </w:r>
      <w:proofErr w:type="spellStart"/>
      <w:r w:rsidRPr="003D49EB">
        <w:rPr>
          <w:szCs w:val="20"/>
        </w:rPr>
        <w:t>médico</w:t>
      </w:r>
      <w:proofErr w:type="spellEnd"/>
      <w:r w:rsidRPr="003D49EB">
        <w:rPr>
          <w:szCs w:val="20"/>
        </w:rPr>
        <w:t xml:space="preserve"> y de la falta de custodia inmediata de las vestimentas de la presunta </w:t>
      </w:r>
      <w:proofErr w:type="spellStart"/>
      <w:r w:rsidRPr="003D49EB">
        <w:rPr>
          <w:szCs w:val="20"/>
        </w:rPr>
        <w:t>víctima</w:t>
      </w:r>
      <w:proofErr w:type="spellEnd"/>
      <w:r w:rsidRPr="003D49EB">
        <w:rPr>
          <w:szCs w:val="20"/>
        </w:rPr>
        <w:t xml:space="preserve"> son imputables al Estado </w:t>
      </w:r>
      <w:r w:rsidR="00632C28">
        <w:rPr>
          <w:szCs w:val="20"/>
        </w:rPr>
        <w:t>[...]</w:t>
      </w:r>
      <w:r w:rsidRPr="003D49EB">
        <w:rPr>
          <w:szCs w:val="20"/>
        </w:rPr>
        <w:t xml:space="preserve">. En este sentido, las autoridades estatales le dieron un peso excesivo a la posibilidad de que la evidencia </w:t>
      </w:r>
      <w:proofErr w:type="spellStart"/>
      <w:r w:rsidRPr="003D49EB">
        <w:rPr>
          <w:szCs w:val="20"/>
        </w:rPr>
        <w:t>física</w:t>
      </w:r>
      <w:proofErr w:type="spellEnd"/>
      <w:r w:rsidRPr="003D49EB">
        <w:rPr>
          <w:szCs w:val="20"/>
        </w:rPr>
        <w:t xml:space="preserve"> no estuviese relacionada con la alegada </w:t>
      </w:r>
      <w:proofErr w:type="spellStart"/>
      <w:r w:rsidRPr="003D49EB">
        <w:rPr>
          <w:szCs w:val="20"/>
        </w:rPr>
        <w:t>violación</w:t>
      </w:r>
      <w:proofErr w:type="spellEnd"/>
      <w:r w:rsidRPr="003D49EB">
        <w:rPr>
          <w:szCs w:val="20"/>
        </w:rPr>
        <w:t xml:space="preserve"> sexual, lo cual resulta particularmente grave teniendo en cuenta que las lesiones encontradas en el examen </w:t>
      </w:r>
      <w:proofErr w:type="spellStart"/>
      <w:r w:rsidRPr="003D49EB">
        <w:rPr>
          <w:szCs w:val="20"/>
        </w:rPr>
        <w:t>médico</w:t>
      </w:r>
      <w:proofErr w:type="spellEnd"/>
      <w:r w:rsidRPr="003D49EB">
        <w:rPr>
          <w:szCs w:val="20"/>
        </w:rPr>
        <w:t xml:space="preserve">, la </w:t>
      </w:r>
      <w:proofErr w:type="spellStart"/>
      <w:r w:rsidRPr="003D49EB">
        <w:rPr>
          <w:szCs w:val="20"/>
        </w:rPr>
        <w:t>ratificación</w:t>
      </w:r>
      <w:proofErr w:type="spellEnd"/>
      <w:r w:rsidRPr="003D49EB">
        <w:rPr>
          <w:szCs w:val="20"/>
        </w:rPr>
        <w:t xml:space="preserve"> del mismo y las evidencias encontradas en la vestimenta de la presunta </w:t>
      </w:r>
      <w:proofErr w:type="spellStart"/>
      <w:r w:rsidRPr="003D49EB">
        <w:rPr>
          <w:szCs w:val="20"/>
        </w:rPr>
        <w:t>víctima</w:t>
      </w:r>
      <w:proofErr w:type="spellEnd"/>
      <w:r w:rsidRPr="003D49EB">
        <w:rPr>
          <w:szCs w:val="20"/>
        </w:rPr>
        <w:t xml:space="preserve"> son todas congruentes con la ocurrencia de la </w:t>
      </w:r>
      <w:proofErr w:type="spellStart"/>
      <w:r w:rsidRPr="003D49EB">
        <w:rPr>
          <w:szCs w:val="20"/>
        </w:rPr>
        <w:t>violación</w:t>
      </w:r>
      <w:proofErr w:type="spellEnd"/>
      <w:r w:rsidRPr="003D49EB">
        <w:rPr>
          <w:szCs w:val="20"/>
        </w:rPr>
        <w:t xml:space="preserve"> sexual de la </w:t>
      </w:r>
      <w:proofErr w:type="spellStart"/>
      <w:r w:rsidRPr="003D49EB">
        <w:rPr>
          <w:szCs w:val="20"/>
        </w:rPr>
        <w:t>señora</w:t>
      </w:r>
      <w:proofErr w:type="spellEnd"/>
      <w:r w:rsidRPr="003D49EB">
        <w:rPr>
          <w:szCs w:val="20"/>
        </w:rPr>
        <w:t xml:space="preserve"> Rojas </w:t>
      </w:r>
      <w:proofErr w:type="spellStart"/>
      <w:r w:rsidRPr="003D49EB">
        <w:rPr>
          <w:szCs w:val="20"/>
        </w:rPr>
        <w:t>Marín</w:t>
      </w:r>
      <w:proofErr w:type="spellEnd"/>
      <w:r w:rsidRPr="003D49EB">
        <w:rPr>
          <w:szCs w:val="20"/>
        </w:rPr>
        <w:t xml:space="preserve"> mediante una vara policial.</w:t>
      </w:r>
    </w:p>
    <w:p w14:paraId="7BB78DEF" w14:textId="77777777" w:rsidR="008E199E" w:rsidRPr="003D49EB" w:rsidRDefault="008E199E" w:rsidP="009A4683">
      <w:pPr>
        <w:rPr>
          <w:szCs w:val="20"/>
        </w:rPr>
      </w:pPr>
    </w:p>
    <w:p w14:paraId="3E577FDD" w14:textId="10A7D253" w:rsidR="002D2ADC" w:rsidRPr="003D49EB" w:rsidRDefault="00773AFF" w:rsidP="009A4683">
      <w:pPr>
        <w:rPr>
          <w:szCs w:val="20"/>
        </w:rPr>
      </w:pPr>
      <w:r w:rsidRPr="003D49EB">
        <w:rPr>
          <w:szCs w:val="20"/>
        </w:rPr>
        <w:t xml:space="preserve">218. En suma, las autoridades judiciales no tomaron en cuenta las particularidades de las investigaciones de tortura y </w:t>
      </w:r>
      <w:proofErr w:type="spellStart"/>
      <w:r w:rsidRPr="003D49EB">
        <w:rPr>
          <w:szCs w:val="20"/>
        </w:rPr>
        <w:t>violación</w:t>
      </w:r>
      <w:proofErr w:type="spellEnd"/>
      <w:r w:rsidRPr="003D49EB">
        <w:rPr>
          <w:szCs w:val="20"/>
        </w:rPr>
        <w:t xml:space="preserve"> sexual, desacreditando indebidamente las declaraciones de la presunta </w:t>
      </w:r>
      <w:proofErr w:type="spellStart"/>
      <w:r w:rsidRPr="003D49EB">
        <w:rPr>
          <w:szCs w:val="20"/>
        </w:rPr>
        <w:t>víctima</w:t>
      </w:r>
      <w:proofErr w:type="spellEnd"/>
      <w:r w:rsidRPr="003D49EB">
        <w:rPr>
          <w:szCs w:val="20"/>
        </w:rPr>
        <w:t xml:space="preserve">, no dando el valor necesario a las pericias realizadas y asumiendo que la presunta </w:t>
      </w:r>
      <w:proofErr w:type="spellStart"/>
      <w:r w:rsidRPr="003D49EB">
        <w:rPr>
          <w:szCs w:val="20"/>
        </w:rPr>
        <w:t>víctima</w:t>
      </w:r>
      <w:proofErr w:type="spellEnd"/>
      <w:r w:rsidRPr="003D49EB">
        <w:rPr>
          <w:szCs w:val="20"/>
        </w:rPr>
        <w:t xml:space="preserve"> se </w:t>
      </w:r>
      <w:proofErr w:type="spellStart"/>
      <w:r w:rsidRPr="003D49EB">
        <w:rPr>
          <w:szCs w:val="20"/>
        </w:rPr>
        <w:t>había</w:t>
      </w:r>
      <w:proofErr w:type="spellEnd"/>
      <w:r w:rsidRPr="003D49EB">
        <w:rPr>
          <w:szCs w:val="20"/>
        </w:rPr>
        <w:t xml:space="preserve"> autolesionado.</w:t>
      </w:r>
      <w:r w:rsidR="002D2ADC" w:rsidRPr="003D49EB">
        <w:rPr>
          <w:szCs w:val="20"/>
        </w:rPr>
        <w:br w:type="page"/>
      </w:r>
    </w:p>
    <w:p w14:paraId="3DD11787" w14:textId="77777777" w:rsidR="00C257FF" w:rsidRPr="003D49EB" w:rsidRDefault="00C257FF" w:rsidP="009A4683">
      <w:pPr>
        <w:pStyle w:val="Ttulo1"/>
      </w:pPr>
      <w:bookmarkStart w:id="33" w:name="_Toc530497980"/>
    </w:p>
    <w:p w14:paraId="19807282" w14:textId="77777777" w:rsidR="00B21408" w:rsidRPr="003D49EB" w:rsidRDefault="003B7C6D" w:rsidP="009A4683">
      <w:pPr>
        <w:pStyle w:val="Ttulo1"/>
      </w:pPr>
      <w:bookmarkStart w:id="34" w:name="_Toc88914980"/>
      <w:r w:rsidRPr="003D49EB">
        <w:t xml:space="preserve">4. </w:t>
      </w:r>
      <w:r w:rsidR="00375D83" w:rsidRPr="003D49EB">
        <w:t>Otras formas de afectación de la integridad personal</w:t>
      </w:r>
      <w:bookmarkEnd w:id="33"/>
      <w:bookmarkEnd w:id="34"/>
      <w:r w:rsidR="00375D83" w:rsidRPr="003D49EB">
        <w:t xml:space="preserve"> </w:t>
      </w:r>
    </w:p>
    <w:p w14:paraId="57C4BAEA" w14:textId="77777777" w:rsidR="006E5C73" w:rsidRDefault="006E5C73" w:rsidP="009A4683">
      <w:pPr>
        <w:spacing w:after="100" w:afterAutospacing="1"/>
        <w:rPr>
          <w:szCs w:val="20"/>
        </w:rPr>
      </w:pPr>
    </w:p>
    <w:p w14:paraId="6FB59E3F" w14:textId="3A4DDA84" w:rsidR="004E4AC6" w:rsidRPr="003D49EB" w:rsidRDefault="004E4AC6" w:rsidP="009A4683">
      <w:pPr>
        <w:spacing w:after="100" w:afterAutospacing="1"/>
        <w:rPr>
          <w:szCs w:val="20"/>
        </w:rPr>
      </w:pPr>
      <w:r w:rsidRPr="003D49EB">
        <w:rPr>
          <w:szCs w:val="20"/>
        </w:rPr>
        <w:t>La Corte IDH ha desarrollado ampliamente otros ámbitos</w:t>
      </w:r>
      <w:r w:rsidR="00305729" w:rsidRPr="003D49EB">
        <w:rPr>
          <w:szCs w:val="20"/>
        </w:rPr>
        <w:t>,</w:t>
      </w:r>
      <w:r w:rsidR="00ED5598" w:rsidRPr="003D49EB">
        <w:rPr>
          <w:szCs w:val="20"/>
        </w:rPr>
        <w:t xml:space="preserve"> </w:t>
      </w:r>
      <w:r w:rsidRPr="003D49EB">
        <w:rPr>
          <w:szCs w:val="20"/>
        </w:rPr>
        <w:t xml:space="preserve">fuera de la tortura, donde </w:t>
      </w:r>
      <w:r w:rsidR="00305729" w:rsidRPr="003D49EB">
        <w:rPr>
          <w:szCs w:val="20"/>
        </w:rPr>
        <w:t xml:space="preserve">ha encontrado una violación al </w:t>
      </w:r>
      <w:r w:rsidRPr="003D49EB">
        <w:rPr>
          <w:szCs w:val="20"/>
        </w:rPr>
        <w:t>derecho a la integridad personal</w:t>
      </w:r>
      <w:r w:rsidR="00305729" w:rsidRPr="003D49EB">
        <w:rPr>
          <w:szCs w:val="20"/>
        </w:rPr>
        <w:t xml:space="preserve">. En estos casos ha </w:t>
      </w:r>
      <w:r w:rsidRPr="003D49EB">
        <w:rPr>
          <w:szCs w:val="20"/>
        </w:rPr>
        <w:t xml:space="preserve">clarificado los factores que inciden en que la afectación de este derecho sea más intensa en algunos casos que en otros frente a circunstancias similares. </w:t>
      </w:r>
      <w:r w:rsidR="00305729" w:rsidRPr="003D49EB">
        <w:rPr>
          <w:szCs w:val="20"/>
        </w:rPr>
        <w:t>La Corte ha determinado</w:t>
      </w:r>
      <w:r w:rsidRPr="003D49EB">
        <w:rPr>
          <w:szCs w:val="20"/>
        </w:rPr>
        <w:t>, por ejemplo, que existe afectación del derecho a la integridad personal en casos de aislamiento e incomunicación, afectación a la integridad psíquica frente a amenazas reales e inminentes o frente a condiciones carcelarias que no cumplen con requisitos de higiene y salubridad, entre otras afectaciones.</w:t>
      </w:r>
    </w:p>
    <w:p w14:paraId="2471061F" w14:textId="2FCC1180" w:rsidR="009D500F" w:rsidRDefault="006E4926" w:rsidP="009A4683">
      <w:pPr>
        <w:pStyle w:val="Ttulo2"/>
      </w:pPr>
      <w:bookmarkStart w:id="35" w:name="_Toc530497981"/>
      <w:bookmarkStart w:id="36" w:name="_Toc88914981"/>
      <w:r w:rsidRPr="003D49EB">
        <w:t>Factores que determinan la afectación</w:t>
      </w:r>
      <w:bookmarkEnd w:id="35"/>
      <w:bookmarkEnd w:id="36"/>
    </w:p>
    <w:p w14:paraId="42C81DF6" w14:textId="77777777" w:rsidR="00AB7BFF" w:rsidRPr="00AB7BFF" w:rsidRDefault="00AB7BFF" w:rsidP="00AB7BFF">
      <w:pPr>
        <w:rPr>
          <w:lang w:val="es-CR"/>
        </w:rPr>
      </w:pPr>
    </w:p>
    <w:p w14:paraId="1F04A71C" w14:textId="0DF04B05" w:rsidR="006E4926" w:rsidRPr="003D49EB" w:rsidRDefault="006A660B" w:rsidP="009A4683">
      <w:pPr>
        <w:spacing w:after="100" w:afterAutospacing="1"/>
        <w:rPr>
          <w:b/>
          <w:szCs w:val="20"/>
        </w:rPr>
      </w:pPr>
      <w:r w:rsidRPr="006A660B">
        <w:rPr>
          <w:b/>
          <w:szCs w:val="20"/>
        </w:rPr>
        <w:t>Corte IDH. Caso Loayza Tamayo Vs. Perú. Fondo. Sentencia de 17 de septiembre de 1997. Serie C No. 33</w:t>
      </w:r>
      <w:r w:rsidR="006E4926" w:rsidRPr="003D49EB">
        <w:rPr>
          <w:b/>
          <w:szCs w:val="20"/>
        </w:rPr>
        <w:t xml:space="preserve">. </w:t>
      </w:r>
    </w:p>
    <w:p w14:paraId="108B9A77" w14:textId="77777777" w:rsidR="006E4926" w:rsidRPr="003D49EB" w:rsidRDefault="006E4926" w:rsidP="009A4683">
      <w:pPr>
        <w:spacing w:after="100" w:afterAutospacing="1"/>
        <w:ind w:left="-20" w:right="4"/>
        <w:rPr>
          <w:rFonts w:eastAsia="Calibri"/>
          <w:szCs w:val="20"/>
        </w:rPr>
      </w:pPr>
      <w:r w:rsidRPr="003D49EB">
        <w:rPr>
          <w:rFonts w:eastAsia="Calibri"/>
          <w:szCs w:val="20"/>
        </w:rPr>
        <w:t>57.</w:t>
      </w:r>
      <w:r w:rsidRPr="003D49EB">
        <w:rPr>
          <w:rFonts w:eastAsia="Calibri"/>
          <w:szCs w:val="20"/>
        </w:rPr>
        <w:tab/>
        <w:t>La infracción del derecho a la integridad física y psíquica de las personas es una clase de violación que tiene diversas connotaciones de grado y que abarca desde la tortura hasta otro tipo de vejámenes o tratos crueles, inhumanos o degradantes cuyas secuelas físicas y psíquicas varían de intensidad según los factores endógenos y exógenos que deberán ser demostrados en cada situación concreta.</w:t>
      </w:r>
      <w:r w:rsidR="008B18CE" w:rsidRPr="003D49EB">
        <w:rPr>
          <w:rFonts w:eastAsia="Calibri"/>
          <w:szCs w:val="20"/>
        </w:rPr>
        <w:t xml:space="preserve"> </w:t>
      </w:r>
      <w:r w:rsidRPr="003D49EB">
        <w:rPr>
          <w:rFonts w:eastAsia="Calibri"/>
          <w:szCs w:val="20"/>
        </w:rPr>
        <w:t>La Corte Europea de Derechos Humanos ha manifestado que, aún en la ausencia de lesiones, los sufrimientos en el plano físico y moral, acompañados de turbaciones psíquicas durante los interrogatorios, pueden ser considerados como tratos inhumanos.</w:t>
      </w:r>
      <w:r w:rsidR="008B18CE" w:rsidRPr="003D49EB">
        <w:rPr>
          <w:rFonts w:eastAsia="Calibri"/>
          <w:szCs w:val="20"/>
        </w:rPr>
        <w:t xml:space="preserve"> </w:t>
      </w:r>
      <w:r w:rsidRPr="003D49EB">
        <w:rPr>
          <w:rFonts w:eastAsia="Calibri"/>
          <w:szCs w:val="20"/>
        </w:rPr>
        <w:t xml:space="preserve">El carácter degradante se expresa en un sentimiento de miedo, ansia e inferioridad con el fin de humillar, degradar y de romper la resistencia física y moral de la víctima (cf. </w:t>
      </w:r>
      <w:r w:rsidRPr="003D49EB">
        <w:rPr>
          <w:rFonts w:eastAsia="Calibri"/>
          <w:i/>
          <w:szCs w:val="20"/>
        </w:rPr>
        <w:t xml:space="preserve">Case of </w:t>
      </w:r>
      <w:proofErr w:type="spellStart"/>
      <w:r w:rsidRPr="003D49EB">
        <w:rPr>
          <w:rFonts w:eastAsia="Calibri"/>
          <w:i/>
          <w:szCs w:val="20"/>
        </w:rPr>
        <w:t>Ireland</w:t>
      </w:r>
      <w:proofErr w:type="spellEnd"/>
      <w:r w:rsidRPr="003D49EB">
        <w:rPr>
          <w:rFonts w:eastAsia="Calibri"/>
          <w:i/>
          <w:szCs w:val="20"/>
        </w:rPr>
        <w:t xml:space="preserve"> v. the United Kingdom</w:t>
      </w:r>
      <w:r w:rsidRPr="003D49EB">
        <w:rPr>
          <w:rFonts w:eastAsia="Calibri"/>
          <w:szCs w:val="20"/>
        </w:rPr>
        <w:t xml:space="preserve">, </w:t>
      </w:r>
      <w:proofErr w:type="spellStart"/>
      <w:r w:rsidRPr="003D49EB">
        <w:rPr>
          <w:rFonts w:eastAsia="Calibri"/>
          <w:szCs w:val="20"/>
        </w:rPr>
        <w:t>Judgment</w:t>
      </w:r>
      <w:proofErr w:type="spellEnd"/>
      <w:r w:rsidRPr="003D49EB">
        <w:rPr>
          <w:rFonts w:eastAsia="Calibri"/>
          <w:szCs w:val="20"/>
        </w:rPr>
        <w:t xml:space="preserve"> of 18 January 1978, Series A no. 25. párr. 167).</w:t>
      </w:r>
      <w:r w:rsidR="008B18CE" w:rsidRPr="003D49EB">
        <w:rPr>
          <w:rFonts w:eastAsia="Calibri"/>
          <w:szCs w:val="20"/>
        </w:rPr>
        <w:t xml:space="preserve"> </w:t>
      </w:r>
      <w:r w:rsidRPr="003D49EB">
        <w:rPr>
          <w:rFonts w:eastAsia="Calibri"/>
          <w:szCs w:val="20"/>
        </w:rPr>
        <w:t xml:space="preserve">Dicha situación es agravada por la vulnerabilidad de una persona ilegalmente detenida (cf. </w:t>
      </w:r>
      <w:r w:rsidRPr="003D49EB">
        <w:rPr>
          <w:rFonts w:eastAsia="Calibri"/>
          <w:i/>
          <w:szCs w:val="20"/>
        </w:rPr>
        <w:t xml:space="preserve">Case </w:t>
      </w:r>
      <w:proofErr w:type="spellStart"/>
      <w:r w:rsidRPr="003D49EB">
        <w:rPr>
          <w:rFonts w:eastAsia="Calibri"/>
          <w:i/>
          <w:szCs w:val="20"/>
        </w:rPr>
        <w:t>Ribitsch</w:t>
      </w:r>
      <w:proofErr w:type="spellEnd"/>
      <w:r w:rsidRPr="003D49EB">
        <w:rPr>
          <w:rFonts w:eastAsia="Calibri"/>
          <w:i/>
          <w:szCs w:val="20"/>
        </w:rPr>
        <w:t xml:space="preserve"> v. Austria</w:t>
      </w:r>
      <w:r w:rsidRPr="003D49EB">
        <w:rPr>
          <w:rFonts w:eastAsia="Calibri"/>
          <w:szCs w:val="20"/>
        </w:rPr>
        <w:t xml:space="preserve">, </w:t>
      </w:r>
      <w:proofErr w:type="spellStart"/>
      <w:r w:rsidRPr="003D49EB">
        <w:rPr>
          <w:rFonts w:eastAsia="Calibri"/>
          <w:szCs w:val="20"/>
        </w:rPr>
        <w:t>Judgment</w:t>
      </w:r>
      <w:proofErr w:type="spellEnd"/>
      <w:r w:rsidRPr="003D49EB">
        <w:rPr>
          <w:rFonts w:eastAsia="Calibri"/>
          <w:szCs w:val="20"/>
        </w:rPr>
        <w:t xml:space="preserve"> of 4 </w:t>
      </w:r>
      <w:proofErr w:type="spellStart"/>
      <w:r w:rsidRPr="003D49EB">
        <w:rPr>
          <w:rFonts w:eastAsia="Calibri"/>
          <w:szCs w:val="20"/>
        </w:rPr>
        <w:t>December</w:t>
      </w:r>
      <w:proofErr w:type="spellEnd"/>
      <w:r w:rsidRPr="003D49EB">
        <w:rPr>
          <w:rFonts w:eastAsia="Calibri"/>
          <w:szCs w:val="20"/>
        </w:rPr>
        <w:t xml:space="preserve"> 1995, Series A no. 336, párr. 36).</w:t>
      </w:r>
      <w:r w:rsidR="008B18CE" w:rsidRPr="003D49EB">
        <w:rPr>
          <w:rFonts w:eastAsia="Calibri"/>
          <w:szCs w:val="20"/>
        </w:rPr>
        <w:t xml:space="preserve"> </w:t>
      </w:r>
      <w:r w:rsidRPr="003D49EB">
        <w:rPr>
          <w:rFonts w:eastAsia="Calibri"/>
          <w:szCs w:val="20"/>
        </w:rPr>
        <w:t xml:space="preserve">Todo uso de la fuerza que no sea estrictamente necesario por el propio comportamiento de la persona detenida constituye un atentado a la dignidad humana </w:t>
      </w:r>
      <w:r w:rsidR="007C1C5F" w:rsidRPr="003D49EB">
        <w:rPr>
          <w:rFonts w:eastAsia="Calibri"/>
          <w:szCs w:val="20"/>
        </w:rPr>
        <w:t>[…]</w:t>
      </w:r>
      <w:r w:rsidRPr="003D49EB">
        <w:rPr>
          <w:rFonts w:eastAsia="Calibri"/>
          <w:szCs w:val="20"/>
        </w:rPr>
        <w:t xml:space="preserve"> en violación del artículo 5 de la Convención Americana.</w:t>
      </w:r>
      <w:r w:rsidR="008B18CE" w:rsidRPr="003D49EB">
        <w:rPr>
          <w:rFonts w:eastAsia="Calibri"/>
          <w:szCs w:val="20"/>
        </w:rPr>
        <w:t xml:space="preserve"> </w:t>
      </w:r>
      <w:r w:rsidRPr="003D49EB">
        <w:rPr>
          <w:rFonts w:eastAsia="Calibri"/>
          <w:szCs w:val="20"/>
        </w:rPr>
        <w:t>Las necesidades de la investigación y las dificultades innegables del combate al terrorismo no deben acarrear restricciones a la protección de la integridad física de la persona.</w:t>
      </w:r>
    </w:p>
    <w:p w14:paraId="2FF5E34D" w14:textId="123244A1" w:rsidR="006E4926" w:rsidRDefault="005C32C2" w:rsidP="009A4683">
      <w:pPr>
        <w:pStyle w:val="Ttulo2"/>
      </w:pPr>
      <w:bookmarkStart w:id="37" w:name="_Toc530497982"/>
      <w:bookmarkStart w:id="38" w:name="_Toc88914982"/>
      <w:r w:rsidRPr="003D49EB">
        <w:t>Afectaciones graves del derecho a</w:t>
      </w:r>
      <w:r w:rsidR="006E4926" w:rsidRPr="003D49EB">
        <w:t xml:space="preserve"> la integridad personal</w:t>
      </w:r>
      <w:bookmarkEnd w:id="37"/>
      <w:bookmarkEnd w:id="38"/>
    </w:p>
    <w:p w14:paraId="2D7F9B4C" w14:textId="77777777" w:rsidR="00AB7BFF" w:rsidRPr="00AB7BFF" w:rsidRDefault="00AB7BFF" w:rsidP="00AB7BFF">
      <w:pPr>
        <w:rPr>
          <w:lang w:val="es-CR"/>
        </w:rPr>
      </w:pPr>
    </w:p>
    <w:p w14:paraId="071DC696" w14:textId="3D8913B9" w:rsidR="006E4926" w:rsidRPr="003D49EB" w:rsidRDefault="006A660B" w:rsidP="009A4683">
      <w:pPr>
        <w:spacing w:after="100" w:afterAutospacing="1"/>
        <w:rPr>
          <w:b/>
          <w:szCs w:val="20"/>
        </w:rPr>
      </w:pPr>
      <w:r w:rsidRPr="006A660B">
        <w:rPr>
          <w:b/>
          <w:szCs w:val="20"/>
        </w:rPr>
        <w:t>Corte IDH. Caso Castillo Páez Vs. Perú. Fondo. Sentencia de 3 de noviembre de 1997. Serie C No. 34</w:t>
      </w:r>
      <w:r w:rsidR="006E4926" w:rsidRPr="003D49EB">
        <w:rPr>
          <w:b/>
          <w:szCs w:val="20"/>
        </w:rPr>
        <w:t xml:space="preserve">. </w:t>
      </w:r>
    </w:p>
    <w:p w14:paraId="1C581228" w14:textId="77777777" w:rsidR="006E4926" w:rsidRPr="003D49EB" w:rsidRDefault="006E4926" w:rsidP="009A4683">
      <w:pPr>
        <w:spacing w:after="100" w:afterAutospacing="1"/>
        <w:rPr>
          <w:rFonts w:eastAsia="Calibri"/>
          <w:szCs w:val="20"/>
        </w:rPr>
      </w:pPr>
      <w:r w:rsidRPr="003D49EB">
        <w:rPr>
          <w:rFonts w:eastAsia="Calibri"/>
          <w:szCs w:val="20"/>
        </w:rPr>
        <w:t>66.</w:t>
      </w:r>
      <w:r w:rsidRPr="003D49EB">
        <w:rPr>
          <w:rFonts w:eastAsia="Calibri"/>
          <w:szCs w:val="20"/>
        </w:rPr>
        <w:tab/>
        <w:t xml:space="preserve">La Corte da por probado con las declaraciones de los testigos presenciales, que el señor Castillo Páez, después de ser detenido por agentes de la Policía fue introducido en la maletera del vehículo oficial </w:t>
      </w:r>
      <w:r w:rsidR="002E29B9" w:rsidRPr="003D49EB">
        <w:rPr>
          <w:rFonts w:eastAsia="Calibri"/>
          <w:szCs w:val="20"/>
        </w:rPr>
        <w:t>[...]</w:t>
      </w:r>
      <w:r w:rsidRPr="003D49EB">
        <w:rPr>
          <w:rFonts w:eastAsia="Calibri"/>
          <w:szCs w:val="20"/>
        </w:rPr>
        <w:t>.</w:t>
      </w:r>
      <w:r w:rsidR="008B18CE" w:rsidRPr="003D49EB">
        <w:rPr>
          <w:rFonts w:eastAsia="Calibri"/>
          <w:szCs w:val="20"/>
        </w:rPr>
        <w:t xml:space="preserve"> </w:t>
      </w:r>
      <w:r w:rsidRPr="003D49EB">
        <w:rPr>
          <w:rFonts w:eastAsia="Calibri"/>
          <w:szCs w:val="20"/>
        </w:rPr>
        <w:t>Lo anterior constituye una infracción al artículo 5 de la Convención que tutela la integridad personal, ya que, aún cuando no hubiesen existido otros maltratos físicos o de otra índole, esa acción por sí sola debe considerarse claramente contraria al respeto debido a la dignidad inherente al ser humano.</w:t>
      </w:r>
    </w:p>
    <w:p w14:paraId="79BD3BB4" w14:textId="21249668" w:rsidR="006E4926" w:rsidRPr="003D49EB" w:rsidRDefault="00FF6B9C" w:rsidP="009A4683">
      <w:pPr>
        <w:spacing w:after="100" w:afterAutospacing="1"/>
        <w:rPr>
          <w:b/>
          <w:szCs w:val="20"/>
        </w:rPr>
      </w:pPr>
      <w:r w:rsidRPr="003D49EB">
        <w:rPr>
          <w:b/>
          <w:szCs w:val="20"/>
        </w:rPr>
        <w:lastRenderedPageBreak/>
        <w:t>Corte IDH. Caso de los “Niños de la Calle” (Villagrán Morales y otros) Vs. Guatemala. Fondo. Sentencia de 19 de noviembre de 1999. Serie C No. 63.</w:t>
      </w:r>
      <w:r w:rsidRPr="003D49EB">
        <w:rPr>
          <w:rStyle w:val="Refdenotaalpie"/>
        </w:rPr>
        <w:footnoteReference w:id="40"/>
      </w:r>
    </w:p>
    <w:p w14:paraId="6BA86AEA" w14:textId="77777777" w:rsidR="006E4926" w:rsidRPr="003D49EB" w:rsidRDefault="006E4926" w:rsidP="009A4683">
      <w:pPr>
        <w:numPr>
          <w:ilvl w:val="12"/>
          <w:numId w:val="0"/>
        </w:numPr>
        <w:spacing w:after="100" w:afterAutospacing="1"/>
        <w:rPr>
          <w:rFonts w:eastAsia="Calibri"/>
          <w:szCs w:val="20"/>
          <w:lang w:val="es-ES_tradnl"/>
        </w:rPr>
      </w:pPr>
      <w:r w:rsidRPr="003D49EB">
        <w:rPr>
          <w:rFonts w:eastAsia="Calibri"/>
          <w:szCs w:val="20"/>
          <w:lang w:val="es-ES_tradnl"/>
        </w:rPr>
        <w:t>162.</w:t>
      </w:r>
      <w:r w:rsidRPr="003D49EB">
        <w:rPr>
          <w:rFonts w:eastAsia="Calibri"/>
          <w:szCs w:val="20"/>
          <w:lang w:val="es-ES_tradnl"/>
        </w:rPr>
        <w:tab/>
        <w:t>Debe tenerse presente que los jóvenes fueron retenidos clandestinamente por sus captores entre 10 y 21 horas.</w:t>
      </w:r>
      <w:r w:rsidR="008B18CE" w:rsidRPr="003D49EB">
        <w:rPr>
          <w:rFonts w:eastAsia="Calibri"/>
          <w:szCs w:val="20"/>
          <w:lang w:val="es-ES_tradnl"/>
        </w:rPr>
        <w:t xml:space="preserve"> </w:t>
      </w:r>
      <w:r w:rsidRPr="003D49EB">
        <w:rPr>
          <w:rFonts w:eastAsia="Calibri"/>
          <w:szCs w:val="20"/>
          <w:lang w:val="es-ES_tradnl"/>
        </w:rPr>
        <w:t>Este lapso medió entre dos circunstancias de extrema violencia: la aprehensión forzada y la muerte por impactos de arma de fuego en estado de indefensión, que el Tribunal ya ha declarado probadas […]</w:t>
      </w:r>
      <w:r w:rsidRPr="003D49EB">
        <w:rPr>
          <w:rFonts w:eastAsia="Calibri"/>
          <w:i/>
          <w:szCs w:val="20"/>
          <w:lang w:val="es-ES_tradnl"/>
        </w:rPr>
        <w:t>.</w:t>
      </w:r>
      <w:r w:rsidR="008B18CE" w:rsidRPr="003D49EB">
        <w:rPr>
          <w:rFonts w:eastAsia="Calibri"/>
          <w:szCs w:val="20"/>
          <w:lang w:val="es-ES_tradnl"/>
        </w:rPr>
        <w:t xml:space="preserve"> </w:t>
      </w:r>
      <w:r w:rsidRPr="003D49EB">
        <w:rPr>
          <w:rFonts w:eastAsia="Calibri"/>
          <w:szCs w:val="20"/>
          <w:lang w:val="es-ES_tradnl"/>
        </w:rPr>
        <w:t>Es razonable inferir, aunque no mediaran otras evidencias al respecto, que el trato que recibieron durante esas horas fue agresivo en extremo.</w:t>
      </w:r>
    </w:p>
    <w:p w14:paraId="371A7D08" w14:textId="464222E7" w:rsidR="006E4926" w:rsidRPr="003D49EB" w:rsidRDefault="0047135E" w:rsidP="00BA6752">
      <w:pPr>
        <w:pStyle w:val="Caso"/>
      </w:pPr>
      <w:r w:rsidRPr="003D49EB">
        <w:t>Corte IDH. Caso 19 Comerciantes Vs. Colombia. Fondo, Reparaciones y Costas. Sentencia de 5 de julio de 2004. Serie C No. 109.</w:t>
      </w:r>
      <w:r w:rsidR="00BF4ECD" w:rsidRPr="003D49EB">
        <w:rPr>
          <w:rStyle w:val="Refdenotaalpie"/>
        </w:rPr>
        <w:footnoteReference w:id="41"/>
      </w:r>
    </w:p>
    <w:p w14:paraId="3FBF92D5" w14:textId="77777777" w:rsidR="0047135E" w:rsidRPr="003D49EB" w:rsidRDefault="0047135E" w:rsidP="0047135E">
      <w:pPr>
        <w:rPr>
          <w:szCs w:val="20"/>
          <w:lang w:val="es-ES_tradnl"/>
        </w:rPr>
      </w:pPr>
    </w:p>
    <w:p w14:paraId="0E3B76A6" w14:textId="51AB9D54" w:rsidR="006E4926" w:rsidRPr="003D49EB" w:rsidRDefault="006E4926" w:rsidP="0047135E">
      <w:pPr>
        <w:rPr>
          <w:szCs w:val="20"/>
          <w:lang w:val="es-ES_tradnl"/>
        </w:rPr>
      </w:pPr>
      <w:r w:rsidRPr="003D49EB">
        <w:rPr>
          <w:szCs w:val="20"/>
          <w:lang w:val="es-ES_tradnl"/>
        </w:rPr>
        <w:t>150.</w:t>
      </w:r>
      <w:r w:rsidRPr="003D49EB">
        <w:rPr>
          <w:szCs w:val="20"/>
          <w:lang w:val="es-ES_tradnl"/>
        </w:rPr>
        <w:tab/>
        <w:t>En el presente caso ha quedado demostrado que se violó el derecho a la integridad personal de los 19 comerciantes, ya que es razonable inferir que el trato que recibieron las presuntas víctimas durante las horas anteriores a su muerte fue agresivo en extremo, máxime si se toma en consideración que los “paramilitares” consideraban que los comerciantes colaboraban con los grupos guerrilleros.</w:t>
      </w:r>
      <w:r w:rsidR="008B18CE" w:rsidRPr="003D49EB">
        <w:rPr>
          <w:szCs w:val="20"/>
          <w:lang w:val="es-ES_tradnl"/>
        </w:rPr>
        <w:t xml:space="preserve"> </w:t>
      </w:r>
      <w:r w:rsidRPr="003D49EB">
        <w:rPr>
          <w:szCs w:val="20"/>
          <w:lang w:val="es-ES_tradnl"/>
        </w:rPr>
        <w:t>La brutalidad con que fueron tratados los cuerpos de los comerciantes después de su ejecución, permite inferir que el trato que les dieron mientras estaban con vida también fue extremadamente violento, de forma tal que pudieron temer y prever que serían privados de su vida de manera arbitraria y violenta, lo cual constituyó un trato cruel, inhumano y degradante.</w:t>
      </w:r>
    </w:p>
    <w:p w14:paraId="0620C84F" w14:textId="77777777" w:rsidR="0047135E" w:rsidRPr="003D49EB" w:rsidRDefault="0047135E" w:rsidP="0047135E">
      <w:pPr>
        <w:rPr>
          <w:szCs w:val="20"/>
          <w:lang w:val="es-ES_tradnl"/>
        </w:rPr>
      </w:pPr>
    </w:p>
    <w:p w14:paraId="1A437082" w14:textId="77777777" w:rsidR="00665858" w:rsidRPr="003D49EB" w:rsidRDefault="006E4926" w:rsidP="009A4683">
      <w:pPr>
        <w:spacing w:after="100" w:afterAutospacing="1"/>
        <w:rPr>
          <w:szCs w:val="20"/>
        </w:rPr>
      </w:pPr>
      <w:r w:rsidRPr="003D49EB">
        <w:rPr>
          <w:szCs w:val="20"/>
        </w:rPr>
        <w:t>248.</w:t>
      </w:r>
      <w:r w:rsidRPr="003D49EB">
        <w:rPr>
          <w:szCs w:val="20"/>
        </w:rPr>
        <w:tab/>
        <w:t>Tal como lo ha señalado la Corte, el daño inmaterial infligido a las víctimas resulta evidente, pues es propio de la naturaleza humana que toda persona sometida a agresiones y vejámenes, como los que se cometieron contra los 19 comerciantes (detención ilegal, tratos crueles, inhumanos y degradantes y muerte) experimenta dolores corporales y un profundo sufrimiento y angustia moral, por lo que este daño no requiere pruebas</w:t>
      </w:r>
      <w:r w:rsidR="00B23BED" w:rsidRPr="003D49EB">
        <w:rPr>
          <w:szCs w:val="20"/>
        </w:rPr>
        <w:t>.</w:t>
      </w:r>
    </w:p>
    <w:p w14:paraId="283FF987" w14:textId="0E80FDDF" w:rsidR="00665858" w:rsidRPr="003D49EB" w:rsidRDefault="00BA6752" w:rsidP="009A4683">
      <w:pPr>
        <w:spacing w:after="100" w:afterAutospacing="1"/>
        <w:rPr>
          <w:b/>
          <w:szCs w:val="20"/>
        </w:rPr>
      </w:pPr>
      <w:r w:rsidRPr="003D49EB">
        <w:rPr>
          <w:b/>
          <w:szCs w:val="20"/>
        </w:rPr>
        <w:t xml:space="preserve">Corte IDH. Caso de las Masacres de </w:t>
      </w:r>
      <w:proofErr w:type="spellStart"/>
      <w:r w:rsidRPr="003D49EB">
        <w:rPr>
          <w:b/>
          <w:szCs w:val="20"/>
        </w:rPr>
        <w:t>Ituango</w:t>
      </w:r>
      <w:proofErr w:type="spellEnd"/>
      <w:r w:rsidRPr="003D49EB">
        <w:rPr>
          <w:b/>
          <w:szCs w:val="20"/>
        </w:rPr>
        <w:t xml:space="preserve"> Vs. Colombia. Sentencia de 1 de julio de 2006. Serie C No. 148.</w:t>
      </w:r>
      <w:r w:rsidRPr="003D49EB">
        <w:rPr>
          <w:rStyle w:val="Refdenotaalpie"/>
          <w:b/>
          <w:szCs w:val="20"/>
        </w:rPr>
        <w:footnoteReference w:id="42"/>
      </w:r>
      <w:r w:rsidR="00BF4ECD" w:rsidRPr="003D49EB">
        <w:rPr>
          <w:b/>
          <w:szCs w:val="20"/>
        </w:rPr>
        <w:t xml:space="preserve"> </w:t>
      </w:r>
    </w:p>
    <w:p w14:paraId="395482C4" w14:textId="77777777" w:rsidR="00665858" w:rsidRPr="003D49EB" w:rsidRDefault="00665858" w:rsidP="009A4683">
      <w:pPr>
        <w:spacing w:after="100" w:afterAutospacing="1"/>
        <w:rPr>
          <w:szCs w:val="20"/>
        </w:rPr>
      </w:pPr>
      <w:r w:rsidRPr="003D49EB">
        <w:rPr>
          <w:szCs w:val="20"/>
        </w:rPr>
        <w:lastRenderedPageBreak/>
        <w:t>256.</w:t>
      </w:r>
      <w:r w:rsidRPr="003D49EB">
        <w:rPr>
          <w:szCs w:val="20"/>
        </w:rPr>
        <w:tab/>
        <w:t xml:space="preserve">En el presente caso, ha quedado demostrado que se vulneró la integridad personal de las 19 personas que perdieron la vida en las masacres de </w:t>
      </w:r>
      <w:proofErr w:type="spellStart"/>
      <w:r w:rsidRPr="003D49EB">
        <w:rPr>
          <w:szCs w:val="20"/>
        </w:rPr>
        <w:t>Ituango</w:t>
      </w:r>
      <w:proofErr w:type="spellEnd"/>
      <w:r w:rsidRPr="003D49EB">
        <w:rPr>
          <w:szCs w:val="20"/>
        </w:rPr>
        <w:t>, ya que el trato que recibieron las horas anteriores a su muerte fue agresivo en extremo, máxime si se toma en consideración que los “paramilitares” consideraban que dichas personas colaboraban con los grupos guerrilleros, lo cual, dentro del contexto de violencia en la zona, se podía interpretar como una seria amenaza a la vida.</w:t>
      </w:r>
      <w:r w:rsidR="008B18CE" w:rsidRPr="003D49EB">
        <w:rPr>
          <w:szCs w:val="20"/>
        </w:rPr>
        <w:t xml:space="preserve"> </w:t>
      </w:r>
      <w:r w:rsidRPr="003D49EB">
        <w:rPr>
          <w:szCs w:val="20"/>
        </w:rPr>
        <w:t>La forma en que fueron llevadas a cabo las masacres permite además inferir que las presuntas víctimas pudieron temer y prever que serían privadas de su vida de manera arbitraria y violenta, lo cual consti</w:t>
      </w:r>
      <w:r w:rsidR="00B23BED" w:rsidRPr="003D49EB">
        <w:rPr>
          <w:szCs w:val="20"/>
        </w:rPr>
        <w:t>tuyó un trato cruel e inhumano.</w:t>
      </w:r>
    </w:p>
    <w:p w14:paraId="7A29610E" w14:textId="77777777" w:rsidR="002F43D4" w:rsidRPr="003D49EB" w:rsidRDefault="00665858" w:rsidP="009A4683">
      <w:pPr>
        <w:spacing w:after="100" w:afterAutospacing="1"/>
        <w:rPr>
          <w:szCs w:val="20"/>
        </w:rPr>
      </w:pPr>
      <w:r w:rsidRPr="003D49EB">
        <w:rPr>
          <w:szCs w:val="20"/>
        </w:rPr>
        <w:t>257.</w:t>
      </w:r>
      <w:r w:rsidRPr="003D49EB">
        <w:rPr>
          <w:szCs w:val="20"/>
        </w:rPr>
        <w:tab/>
        <w:t>Por lo anterior, este Tribunal considera que en el presente caso existen suficientes elementos de convicción para concluir que Colombia es responsable por la violación del derecho a la integridad personal en perjuicio de las 19 personas que fueron ejecutadas en las masacres de La Granja y El Aro, las cuales están señaladas en el Anexo I de la presente Sentencia.</w:t>
      </w:r>
    </w:p>
    <w:p w14:paraId="207D5DB5" w14:textId="77777777" w:rsidR="002F43D4" w:rsidRPr="003D49EB" w:rsidRDefault="002F43D4" w:rsidP="009A4683">
      <w:pPr>
        <w:spacing w:after="100" w:afterAutospacing="1"/>
        <w:rPr>
          <w:szCs w:val="20"/>
        </w:rPr>
      </w:pPr>
      <w:r w:rsidRPr="003D49EB">
        <w:rPr>
          <w:szCs w:val="20"/>
        </w:rPr>
        <w:t>269.</w:t>
      </w:r>
      <w:r w:rsidRPr="003D49EB">
        <w:rPr>
          <w:szCs w:val="20"/>
        </w:rPr>
        <w:tab/>
        <w:t>La Corte considera que las personas que fueron detenidas y obligadas a arrear ganado bajo amenaza de muerte – lo que ha sido analizado en el capítulo relativo a la violación de los artículos 6 y 7 de la Convención en la presente Sentencia […] - sufrieron temor y tratos degradantes.</w:t>
      </w:r>
      <w:r w:rsidR="008B18CE" w:rsidRPr="003D49EB">
        <w:rPr>
          <w:szCs w:val="20"/>
        </w:rPr>
        <w:t xml:space="preserve"> </w:t>
      </w:r>
      <w:r w:rsidRPr="003D49EB">
        <w:rPr>
          <w:szCs w:val="20"/>
        </w:rPr>
        <w:t>Por lo anterior, el Estado ha violado el artículo 5 de la Convención en perjuicio de dichas personas.</w:t>
      </w:r>
      <w:r w:rsidRPr="003D49EB">
        <w:rPr>
          <w:b/>
          <w:szCs w:val="20"/>
        </w:rPr>
        <w:t xml:space="preserve"> </w:t>
      </w:r>
      <w:r w:rsidRPr="003D49EB">
        <w:rPr>
          <w:szCs w:val="20"/>
        </w:rPr>
        <w:t>Con base en lo anterior, la Corte considera que las víctimas de la violación del artículo 5 de la Convención, en relación con los artículos 6 y 7 de la misma, son las personas señaladas en el Anexo II de la presente Sentencia y que se han identificado como víctimas de la violación de dicho artículo.</w:t>
      </w:r>
    </w:p>
    <w:p w14:paraId="0480B9E8" w14:textId="77777777" w:rsidR="002F43D4" w:rsidRPr="003D49EB" w:rsidRDefault="002F43D4" w:rsidP="009A4683">
      <w:pPr>
        <w:spacing w:after="100" w:afterAutospacing="1"/>
        <w:rPr>
          <w:szCs w:val="20"/>
        </w:rPr>
      </w:pPr>
      <w:r w:rsidRPr="003D49EB">
        <w:rPr>
          <w:szCs w:val="20"/>
        </w:rPr>
        <w:t>278.</w:t>
      </w:r>
      <w:r w:rsidRPr="003D49EB">
        <w:rPr>
          <w:szCs w:val="20"/>
        </w:rPr>
        <w:tab/>
        <w:t>En relación con el alegato sobre la presunta violación del artículo 5 de la Convención en perjuicio de la población general de El Aro y La Granja, esta Corte considera que, por la gravedad del sufrimiento causado por las masacres en dichos corregimientos y el temor generalizado que provocaron las incursiones paramilitares en este caso, lo cual se enmarca en un patrón de masacres semejantes,</w:t>
      </w:r>
      <w:r w:rsidRPr="003D49EB">
        <w:rPr>
          <w:b/>
          <w:szCs w:val="20"/>
        </w:rPr>
        <w:t xml:space="preserve"> </w:t>
      </w:r>
      <w:r w:rsidRPr="003D49EB">
        <w:rPr>
          <w:szCs w:val="20"/>
        </w:rPr>
        <w:t xml:space="preserve">los pobladores de La Granja y El Aro que no fueron señalados en los párrafos anteriores son víctimas de la violación a la integridad psíquica. </w:t>
      </w:r>
    </w:p>
    <w:p w14:paraId="5968A1E4" w14:textId="4B92E611" w:rsidR="00D61829" w:rsidRPr="003D49EB" w:rsidRDefault="00FE601E" w:rsidP="009A4683">
      <w:pPr>
        <w:spacing w:after="100" w:afterAutospacing="1"/>
        <w:rPr>
          <w:b/>
          <w:szCs w:val="20"/>
        </w:rPr>
      </w:pPr>
      <w:r w:rsidRPr="003D49EB">
        <w:rPr>
          <w:b/>
          <w:szCs w:val="20"/>
        </w:rPr>
        <w:t>Corte IDH. Caso de la Masacre de La Rochela Vs. Colombia. Fondo, Reparaciones y Costas. Sentencia de 11 de mayo de 2007. Serie C No. 163.</w:t>
      </w:r>
      <w:r w:rsidRPr="003D49EB">
        <w:rPr>
          <w:rStyle w:val="Refdenotaalpie"/>
          <w:b/>
          <w:szCs w:val="20"/>
        </w:rPr>
        <w:footnoteReference w:id="43"/>
      </w:r>
      <w:r w:rsidR="00D61829" w:rsidRPr="003D49EB">
        <w:rPr>
          <w:b/>
          <w:szCs w:val="20"/>
        </w:rPr>
        <w:t xml:space="preserve"> </w:t>
      </w:r>
    </w:p>
    <w:p w14:paraId="1E1792E7" w14:textId="77777777" w:rsidR="00D61829" w:rsidRPr="003D49EB" w:rsidRDefault="00D61829" w:rsidP="009A4683">
      <w:pPr>
        <w:spacing w:after="100" w:afterAutospacing="1"/>
        <w:rPr>
          <w:rFonts w:cs="Arial"/>
          <w:b/>
          <w:szCs w:val="20"/>
        </w:rPr>
      </w:pPr>
      <w:r w:rsidRPr="003D49EB">
        <w:rPr>
          <w:rFonts w:cs="Arial"/>
          <w:szCs w:val="20"/>
        </w:rPr>
        <w:t>134.</w:t>
      </w:r>
      <w:r w:rsidRPr="003D49EB">
        <w:rPr>
          <w:rFonts w:cs="Arial"/>
          <w:szCs w:val="20"/>
        </w:rPr>
        <w:tab/>
        <w:t xml:space="preserve">En cuanto a </w:t>
      </w:r>
      <w:r w:rsidRPr="003D49EB">
        <w:rPr>
          <w:szCs w:val="20"/>
        </w:rPr>
        <w:t>los tratamientos que recibieron los quince integrantes de la Comisión Judicial, la Corte resalta que la masacre no se produjo inmediatamente después de su detención, sino que transcurrieron aproximadamente tres horas durante las cuales dichas personas fueron intencionalmente sometidas a sufrimientos intensos al ser: amenazadas, intimidadas y engañadas por un grupo de</w:t>
      </w:r>
      <w:r w:rsidR="008B18CE" w:rsidRPr="003D49EB">
        <w:rPr>
          <w:szCs w:val="20"/>
        </w:rPr>
        <w:t xml:space="preserve"> </w:t>
      </w:r>
      <w:r w:rsidRPr="003D49EB">
        <w:rPr>
          <w:szCs w:val="20"/>
        </w:rPr>
        <w:t xml:space="preserve">paramilitares que les superaba numéricamente y en cuanto a la cantidad y alcance del armamento que portaban; obligadas a entregar las pocas armas que portaban; mantenidas encerradas y custodiadas durante horas y, en dichas circunstancias, interrogadas sobre las investigaciones judiciales que estaban realizando; atadas con las manos por atrás de la espalda; obligadas a subirse a los dos automóviles y llevadas sin saber su destino durante aproximadamente unos tres kilómetros[…]. </w:t>
      </w:r>
    </w:p>
    <w:p w14:paraId="096B710D" w14:textId="77777777" w:rsidR="00D61829" w:rsidRPr="003D49EB" w:rsidRDefault="00D61829" w:rsidP="009A4683">
      <w:pPr>
        <w:spacing w:after="100" w:afterAutospacing="1"/>
        <w:rPr>
          <w:b/>
          <w:szCs w:val="20"/>
        </w:rPr>
      </w:pPr>
      <w:r w:rsidRPr="003D49EB">
        <w:rPr>
          <w:rFonts w:cs="Arial"/>
          <w:szCs w:val="20"/>
        </w:rPr>
        <w:lastRenderedPageBreak/>
        <w:t>135.</w:t>
      </w:r>
      <w:r w:rsidRPr="003D49EB">
        <w:rPr>
          <w:rFonts w:cs="Arial"/>
          <w:szCs w:val="20"/>
        </w:rPr>
        <w:tab/>
        <w:t>Por otra parte, e</w:t>
      </w:r>
      <w:r w:rsidRPr="003D49EB">
        <w:rPr>
          <w:szCs w:val="20"/>
        </w:rPr>
        <w:t>n cuanto a lo padecido por</w:t>
      </w:r>
      <w:r w:rsidRPr="003D49EB">
        <w:rPr>
          <w:rFonts w:cs="Arial"/>
          <w:szCs w:val="20"/>
        </w:rPr>
        <w:t xml:space="preserve"> los tres sobrevivientes durante la masacre y después de ésta, la Corte hace notar que </w:t>
      </w:r>
      <w:r w:rsidRPr="003D49EB">
        <w:rPr>
          <w:szCs w:val="20"/>
        </w:rPr>
        <w:t xml:space="preserve">aquellos enfrentaron una situación adicional de intenso sufrimiento psicológico, así como lesiones físicas, al haber vivido el violento ataque con ráfagas de disparos y luego con “tiros de gracia”, presenciando el sufrimiento y la muerte de sus compañeros, sintiendo la posibilidad de morir también en esos minutos y hasta teniendo que aparentar estar muertos para lograr sobrevivir. Asimismo, después de la masacre, </w:t>
      </w:r>
      <w:r w:rsidRPr="003D49EB">
        <w:rPr>
          <w:rFonts w:cs="Arial"/>
          <w:szCs w:val="20"/>
        </w:rPr>
        <w:t>la víctima sobreviviente Arturo Salgado Garzón tuvo que enfrentar durante aproximadamente cinco horas un gran temor y angustia por encontrarse abandonado y pensar que en cualquier momento podrían volver los paramilitares y ejecutarlo, así como la falta de atención de las heridas causadas por impacto de bala y su imposibilidad de buscar ayuda, circunstancias que implicaron un sufrimiento psicológico y físico adicional al que ya había enfrentado durante las horas de detención y durante la masacre</w:t>
      </w:r>
      <w:r w:rsidRPr="003D49EB">
        <w:rPr>
          <w:szCs w:val="20"/>
        </w:rPr>
        <w:t>.</w:t>
      </w:r>
    </w:p>
    <w:p w14:paraId="79DCBDFC" w14:textId="77777777" w:rsidR="00D61829" w:rsidRPr="003D49EB" w:rsidRDefault="00D61829" w:rsidP="009A4683">
      <w:pPr>
        <w:spacing w:after="100" w:afterAutospacing="1"/>
        <w:rPr>
          <w:szCs w:val="20"/>
        </w:rPr>
      </w:pPr>
      <w:r w:rsidRPr="003D49EB">
        <w:rPr>
          <w:szCs w:val="20"/>
        </w:rPr>
        <w:t>136.</w:t>
      </w:r>
      <w:r w:rsidRPr="003D49EB">
        <w:rPr>
          <w:szCs w:val="20"/>
        </w:rPr>
        <w:tab/>
        <w:t>La Corte advierte que de los hechos del presente caso se desprende que ese conjunto de actos causó a los miembros de la Comisión Judicial sufrimientos de grave intensidad, dentro de la incertidumbre de lo que les podía suceder y el profundo temor de que podrían ser privados de su vida de manera arbitraria y violenta, como en efecto ocurrió con la mayoría de ellos. La Corte considera que tales actos implicaron una grave violación al derecho a la integridad personal consagrado en el artículo 5.1 y 5.2 de la Convención Americana.</w:t>
      </w:r>
    </w:p>
    <w:p w14:paraId="48821940" w14:textId="52AC6B9E" w:rsidR="000537E4" w:rsidRPr="003D49EB" w:rsidRDefault="00FE601E" w:rsidP="009A4683">
      <w:pPr>
        <w:spacing w:after="100" w:afterAutospacing="1"/>
        <w:rPr>
          <w:rFonts w:cs="Arial"/>
          <w:b/>
          <w:szCs w:val="20"/>
        </w:rPr>
      </w:pPr>
      <w:r w:rsidRPr="00FE601E">
        <w:rPr>
          <w:rFonts w:cs="Arial"/>
          <w:b/>
          <w:szCs w:val="20"/>
        </w:rPr>
        <w:t xml:space="preserve">Corte IDH. Caso Cantoral </w:t>
      </w:r>
      <w:proofErr w:type="spellStart"/>
      <w:r w:rsidRPr="00FE601E">
        <w:rPr>
          <w:rFonts w:cs="Arial"/>
          <w:b/>
          <w:szCs w:val="20"/>
        </w:rPr>
        <w:t>Huamaní</w:t>
      </w:r>
      <w:proofErr w:type="spellEnd"/>
      <w:r w:rsidRPr="00FE601E">
        <w:rPr>
          <w:rFonts w:cs="Arial"/>
          <w:b/>
          <w:szCs w:val="20"/>
        </w:rPr>
        <w:t xml:space="preserve"> y García Santa Cruz Vs. Perú. Excepción Preliminar, Fondo, Reparaciones y Costas. Sentencia de 10 de julio de 2007. Serie C No. 167</w:t>
      </w:r>
      <w:r w:rsidR="000537E4" w:rsidRPr="003D49EB">
        <w:rPr>
          <w:rFonts w:cs="Arial"/>
          <w:b/>
          <w:szCs w:val="20"/>
        </w:rPr>
        <w:t>.</w:t>
      </w:r>
      <w:r w:rsidRPr="003D49EB">
        <w:rPr>
          <w:rStyle w:val="Refdenotaalpie"/>
          <w:rFonts w:cs="Arial"/>
          <w:b/>
          <w:szCs w:val="20"/>
        </w:rPr>
        <w:footnoteReference w:id="44"/>
      </w:r>
    </w:p>
    <w:p w14:paraId="420F9227" w14:textId="77777777" w:rsidR="000537E4" w:rsidRPr="003D49EB" w:rsidRDefault="000537E4" w:rsidP="009A4683">
      <w:pPr>
        <w:spacing w:after="100" w:afterAutospacing="1"/>
        <w:rPr>
          <w:rFonts w:cs="Arial"/>
          <w:szCs w:val="20"/>
        </w:rPr>
      </w:pPr>
      <w:r w:rsidRPr="003D49EB">
        <w:rPr>
          <w:rFonts w:cs="Arial"/>
          <w:szCs w:val="20"/>
        </w:rPr>
        <w:t>99.</w:t>
      </w:r>
      <w:r w:rsidRPr="003D49EB">
        <w:rPr>
          <w:rFonts w:cs="Arial"/>
          <w:szCs w:val="20"/>
        </w:rPr>
        <w:tab/>
        <w:t xml:space="preserve">En relación a la controversia sobre la posible violación de la integridad personal de Saúl Cantoral </w:t>
      </w:r>
      <w:proofErr w:type="spellStart"/>
      <w:r w:rsidRPr="003D49EB">
        <w:rPr>
          <w:rFonts w:cs="Arial"/>
          <w:szCs w:val="20"/>
        </w:rPr>
        <w:t>Huamaní</w:t>
      </w:r>
      <w:proofErr w:type="spellEnd"/>
      <w:r w:rsidRPr="003D49EB">
        <w:rPr>
          <w:rFonts w:cs="Arial"/>
          <w:szCs w:val="20"/>
        </w:rPr>
        <w:t xml:space="preserve"> y Consuelo García Santa Cruz, la Corte estima que con independencia del debate probatorio sobre la existencia de lesiones físicas, ellos fueron interceptados y llevados contra su voluntad en horas de la noc</w:t>
      </w:r>
      <w:r w:rsidR="00B23BED" w:rsidRPr="003D49EB">
        <w:rPr>
          <w:rFonts w:cs="Arial"/>
          <w:szCs w:val="20"/>
        </w:rPr>
        <w:t>he y posteriormente ejecutados […]</w:t>
      </w:r>
      <w:r w:rsidRPr="003D49EB">
        <w:rPr>
          <w:rFonts w:cs="Arial"/>
          <w:szCs w:val="20"/>
        </w:rPr>
        <w:t xml:space="preserve">, por lo que es razonable presumir que, en los momentos previos a la privación de la vida, sufrieron un temor profundo ante el peligro real e inminente de que el hecho culminaría con su propia muerte, tal como efectivamente ocurrió. Ello lleva al Tribunal a concluir que el Estado incumplió con su obligación de respetar la integridad personal de Saúl Cantoral </w:t>
      </w:r>
      <w:proofErr w:type="spellStart"/>
      <w:r w:rsidRPr="003D49EB">
        <w:rPr>
          <w:rFonts w:cs="Arial"/>
          <w:szCs w:val="20"/>
        </w:rPr>
        <w:t>Huamaní</w:t>
      </w:r>
      <w:proofErr w:type="spellEnd"/>
      <w:r w:rsidRPr="003D49EB">
        <w:rPr>
          <w:rFonts w:cs="Arial"/>
          <w:szCs w:val="20"/>
        </w:rPr>
        <w:t xml:space="preserve"> y Consuelo García Santa Cruz, lo cual constituye una violación del artículo 5 en relación con el artículo 1.1 de la Convención Americana.</w:t>
      </w:r>
    </w:p>
    <w:p w14:paraId="6A66BD34" w14:textId="4D831059" w:rsidR="00432815" w:rsidRPr="003D49EB" w:rsidRDefault="00A056EF" w:rsidP="009A4683">
      <w:pPr>
        <w:spacing w:after="100" w:afterAutospacing="1"/>
        <w:rPr>
          <w:b/>
          <w:szCs w:val="20"/>
        </w:rPr>
      </w:pPr>
      <w:r w:rsidRPr="003D49EB">
        <w:rPr>
          <w:b/>
          <w:szCs w:val="20"/>
        </w:rPr>
        <w:t>Corte IDH. Caso Ríos y otros Vs. Venezuela. Excepciones Preliminares, Fondo, Reparaciones y Costas. Sentencia de 28 de enero de 2009. Serie C No. 194.</w:t>
      </w:r>
      <w:r w:rsidRPr="003D49EB">
        <w:rPr>
          <w:rStyle w:val="Refdenotaalpie"/>
          <w:b/>
          <w:szCs w:val="20"/>
        </w:rPr>
        <w:footnoteReference w:id="45"/>
      </w:r>
    </w:p>
    <w:p w14:paraId="02756855" w14:textId="77777777" w:rsidR="00432815" w:rsidRPr="003D49EB" w:rsidRDefault="00432815" w:rsidP="009A4683">
      <w:pPr>
        <w:autoSpaceDE w:val="0"/>
        <w:autoSpaceDN w:val="0"/>
        <w:adjustRightInd w:val="0"/>
        <w:spacing w:after="100" w:afterAutospacing="1"/>
        <w:rPr>
          <w:szCs w:val="20"/>
          <w:lang w:val="es-CR"/>
        </w:rPr>
      </w:pPr>
      <w:r w:rsidRPr="003D49EB">
        <w:rPr>
          <w:szCs w:val="20"/>
          <w:lang w:val="es-ES_tradnl"/>
        </w:rPr>
        <w:lastRenderedPageBreak/>
        <w:t>272.</w:t>
      </w:r>
      <w:r w:rsidRPr="003D49EB">
        <w:rPr>
          <w:szCs w:val="20"/>
          <w:lang w:val="es-ES_tradnl"/>
        </w:rPr>
        <w:tab/>
      </w:r>
      <w:r w:rsidRPr="003D49EB">
        <w:rPr>
          <w:szCs w:val="20"/>
          <w:lang w:val="es-CR"/>
        </w:rPr>
        <w:t>No obstante lo anterior, es claro para el Tribunal que las presuntas víctimas fueron objeto de amedrentamientos y obstaculizaciones, y en algunos casos de agresiones, amenazas y hostigamientos, en el ejercicio de su labor periodística en los hechos probados […]. Algunas de estas personas relataron en sus declaraciones que habían sido afectadas en su vida profesional y personal de distintas formas. Algunas manifestaron el temor que implicaba para ellas realizar su labor periodística en las calles y declararon que en el ejercicio de su profesión era necesario usar chaleco antibalas y máscara antigases. También fue informado que el servicio médico interno del canal recibió un alto número de personas con posterioridad a abril de 2002 por estrés, hipertensión y trastornos digestivos. Incluso, algunas de las presuntas víctimas declararon tener temor de ir a determinadas zonas o cubrir ciertos eventos. Asimismo, algunas personas tuvieron que mudarse de municipio o estado, otras prefirieron retirarse por un tiempo o definitivamente de sus labores, y otras dejaron de ejercer el periodismo en la calle. Además, relataron las diversas consecuencias negativas que trajeron a su vida familiar las agresiones, insultos y las amenazas de las que han sido objeto, así como en algunos casos afectaciones médicas concretas.</w:t>
      </w:r>
    </w:p>
    <w:p w14:paraId="77326DE9" w14:textId="112FA860" w:rsidR="00BD210B" w:rsidRPr="003D49EB" w:rsidRDefault="00BD210B" w:rsidP="00B6105B">
      <w:pPr>
        <w:pStyle w:val="Caso"/>
      </w:pPr>
      <w:r w:rsidRPr="003D49EB">
        <w:t xml:space="preserve">Corte IDH. Caso Fernández Ortega y otros Vs. México. Excepción Preliminar, Fondo, Reparaciones y Costas. Sentencia de 30 de agosto de 2010. Serie C No. 215. </w:t>
      </w:r>
    </w:p>
    <w:p w14:paraId="6C5B3055" w14:textId="77777777" w:rsidR="00B6105B" w:rsidRPr="003D49EB" w:rsidRDefault="00B6105B" w:rsidP="00B6105B">
      <w:pPr>
        <w:pStyle w:val="Caso"/>
      </w:pPr>
    </w:p>
    <w:p w14:paraId="6F7B7AE2" w14:textId="0091DF5C" w:rsidR="00432815" w:rsidRPr="003D49EB" w:rsidRDefault="00432815" w:rsidP="009A4683">
      <w:pPr>
        <w:tabs>
          <w:tab w:val="left" w:pos="720"/>
        </w:tabs>
        <w:spacing w:after="100" w:afterAutospacing="1"/>
        <w:rPr>
          <w:szCs w:val="20"/>
        </w:rPr>
      </w:pPr>
      <w:r w:rsidRPr="003D49EB">
        <w:rPr>
          <w:szCs w:val="20"/>
        </w:rPr>
        <w:t>137.</w:t>
      </w:r>
      <w:r w:rsidRPr="003D49EB">
        <w:rPr>
          <w:szCs w:val="20"/>
        </w:rPr>
        <w:tab/>
        <w:t xml:space="preserve">Asimismo, la Corte observa que del testimonio de la señora Fernández Ortega se desprenden afectaciones a su integridad personal relativas al trato que recibió al interponer su denuncia ante las autoridades, así como sentimientos de profundo temor por la presencia de militares e impotencia relacionados con la falta de justicia en su caso. </w:t>
      </w:r>
    </w:p>
    <w:p w14:paraId="6F26274F" w14:textId="77777777" w:rsidR="00432815" w:rsidRPr="003D49EB" w:rsidRDefault="00432815" w:rsidP="009A4683">
      <w:pPr>
        <w:tabs>
          <w:tab w:val="left" w:pos="720"/>
        </w:tabs>
        <w:spacing w:after="100" w:afterAutospacing="1"/>
        <w:rPr>
          <w:szCs w:val="20"/>
        </w:rPr>
      </w:pPr>
      <w:r w:rsidRPr="003D49EB">
        <w:rPr>
          <w:szCs w:val="20"/>
        </w:rPr>
        <w:t>138.</w:t>
      </w:r>
      <w:r w:rsidRPr="003D49EB">
        <w:rPr>
          <w:szCs w:val="20"/>
        </w:rPr>
        <w:tab/>
        <w:t>Teniendo en cuenta lo anterior y el reconocimiento de responsabilidad del Estado, la Corte declara que México violó el derecho a la integridad personal de la señora Fernández Ortega consagrado en el artículo 5.1 de la Convención Americana, en relación con el artículo 1.1 del mismo instrumento.</w:t>
      </w:r>
    </w:p>
    <w:p w14:paraId="25BF019B" w14:textId="7568E9A2" w:rsidR="00BF4ECD" w:rsidRPr="003D49EB" w:rsidRDefault="007C15D9" w:rsidP="009A4683">
      <w:pPr>
        <w:spacing w:after="100" w:afterAutospacing="1"/>
        <w:rPr>
          <w:rFonts w:cstheme="minorHAnsi"/>
          <w:b/>
          <w:szCs w:val="20"/>
        </w:rPr>
      </w:pPr>
      <w:r w:rsidRPr="007C15D9">
        <w:rPr>
          <w:rFonts w:cstheme="minorHAnsi"/>
          <w:b/>
          <w:szCs w:val="20"/>
        </w:rPr>
        <w:t>Corte IDH. Caso Familia Pacheco Tineo Vs. Bolivia. Excepciones Preliminares, Fondo, Reparaciones y Costas. Sentencia de 25 de noviembre de 2013. Serie C No. 272</w:t>
      </w:r>
      <w:r w:rsidRPr="003D49EB">
        <w:rPr>
          <w:rFonts w:cstheme="minorHAnsi"/>
          <w:b/>
          <w:szCs w:val="20"/>
        </w:rPr>
        <w:t>.</w:t>
      </w:r>
      <w:r w:rsidRPr="003D49EB">
        <w:rPr>
          <w:rStyle w:val="Refdenotaalpie"/>
          <w:rFonts w:cstheme="minorHAnsi"/>
          <w:b/>
          <w:szCs w:val="20"/>
        </w:rPr>
        <w:footnoteReference w:id="46"/>
      </w:r>
    </w:p>
    <w:p w14:paraId="2BAD4D2F" w14:textId="77777777" w:rsidR="0058317B" w:rsidRPr="003D49EB" w:rsidRDefault="0058317B" w:rsidP="009A4683">
      <w:pPr>
        <w:spacing w:before="240" w:after="100" w:afterAutospacing="1"/>
        <w:rPr>
          <w:rFonts w:cs="Tahoma"/>
          <w:szCs w:val="20"/>
          <w:lang w:val="es-CR"/>
        </w:rPr>
      </w:pPr>
      <w:r w:rsidRPr="003D49EB">
        <w:rPr>
          <w:rFonts w:cs="Tahoma"/>
          <w:szCs w:val="20"/>
          <w:lang w:val="es-CR"/>
        </w:rPr>
        <w:t>207.</w:t>
      </w:r>
      <w:r w:rsidRPr="003D49EB">
        <w:rPr>
          <w:rFonts w:cs="Tahoma"/>
          <w:szCs w:val="20"/>
          <w:lang w:val="es-CR"/>
        </w:rPr>
        <w:tab/>
        <w:t xml:space="preserve">Además, con pleno conocimiento de las autoridades migratorias bolivianas, el gobierno chileno había autorizado el ingreso de la familia Pacheco Tineo a Chile y les había facilitado la logística para asegurar su traslado hasta ese país, el cual tendría lugar la mañana del 24 de febrero de 2001. A pesar de ello, según fue establecido, esa misma mañana fue ejecutada una resolución de expulsión en su contra, emitida el día anterior y sin haber sido notificada, lo cual hizo ilusoria cualquier posibilidad de recurrir contra esos actos. Sorpresivamente la familia fue detenida y conducida hacia Perú, donde fue entregada a las autoridades migratorias y policiales de dicho país. Es decir, fueron expulsados en una situación de total incertidumbre sobre el resultado de su nueva solicitud de asilo, sin posibilidad de ejercer algún recurso judicial al respecto y habiendo perdido la oportunidad efectiva de regresar a Chile. Además, el señor Pacheco Osco y la señora Tineo Godos enfrentaron el temor por las </w:t>
      </w:r>
      <w:r w:rsidRPr="003D49EB">
        <w:rPr>
          <w:rFonts w:cs="Tahoma"/>
          <w:szCs w:val="20"/>
          <w:lang w:val="es-CR"/>
        </w:rPr>
        <w:lastRenderedPageBreak/>
        <w:t xml:space="preserve">potenciales consecuencias que la entrega a autoridades peruanas tendría para ellos y para sus hijos, quienes, por su parte, declararon sobre los efectos que los hechos tuvieron. En consecuencia, la Corte considera que la zozobra, el temor y la desprotección provocada por los hechos descritos constituyeron una violación a la integridad psíquica y moral de los miembros de la familia Pacheco Tineo. </w:t>
      </w:r>
    </w:p>
    <w:p w14:paraId="3276CE8E" w14:textId="2084D48E" w:rsidR="00304500" w:rsidRPr="003D49EB" w:rsidRDefault="005821EA" w:rsidP="00183533">
      <w:pPr>
        <w:pStyle w:val="Caso"/>
        <w:rPr>
          <w:shd w:val="clear" w:color="auto" w:fill="FFFFFF"/>
        </w:rPr>
      </w:pPr>
      <w:r w:rsidRPr="003D49EB">
        <w:rPr>
          <w:shd w:val="clear" w:color="auto" w:fill="FFFFFF"/>
        </w:rPr>
        <w:t>Corte IDH. Caso Espinoza Gonzáles Vs. Perú. Excepciones Preliminares, Fondo, Reparaciones y Costas. Sentencia de 20 de noviembre de 2014. Serie C No. 289.</w:t>
      </w:r>
      <w:r w:rsidR="00304500" w:rsidRPr="003D49EB">
        <w:rPr>
          <w:shd w:val="clear" w:color="auto" w:fill="FFFFFF"/>
        </w:rPr>
        <w:t xml:space="preserve"> </w:t>
      </w:r>
    </w:p>
    <w:p w14:paraId="22DB0462" w14:textId="77777777" w:rsidR="00183533" w:rsidRPr="003D49EB" w:rsidRDefault="00183533" w:rsidP="00183533">
      <w:pPr>
        <w:pStyle w:val="Caso"/>
        <w:rPr>
          <w:shd w:val="clear" w:color="auto" w:fill="FFFFFF"/>
        </w:rPr>
      </w:pPr>
    </w:p>
    <w:p w14:paraId="034A7396" w14:textId="4743F14D" w:rsidR="00447AD8" w:rsidRPr="003D49EB" w:rsidRDefault="00304500" w:rsidP="00183533">
      <w:pPr>
        <w:rPr>
          <w:i/>
          <w:szCs w:val="20"/>
        </w:rPr>
      </w:pPr>
      <w:r w:rsidRPr="003D49EB">
        <w:rPr>
          <w:szCs w:val="20"/>
        </w:rPr>
        <w:t>188.</w:t>
      </w:r>
      <w:r w:rsidRPr="003D49EB">
        <w:rPr>
          <w:szCs w:val="20"/>
        </w:rPr>
        <w:tab/>
        <w:t xml:space="preserve">En primer lugar, la Corte ha indicado que todo uso de la fuerza que no sea estrictamente necesario por el propio comportamiento de la persona detenida constituye un atentado a la dignidad humana, en violación del artículo 5 de la Convención Americana. En el presente caso, el Estado no ha </w:t>
      </w:r>
      <w:r w:rsidRPr="003D49EB">
        <w:rPr>
          <w:rFonts w:eastAsia="Calibri"/>
          <w:szCs w:val="20"/>
        </w:rPr>
        <w:t>demostrado</w:t>
      </w:r>
      <w:r w:rsidRPr="003D49EB">
        <w:rPr>
          <w:szCs w:val="20"/>
        </w:rPr>
        <w:t xml:space="preserve"> que la fuerza utilizada al momento de la detención de la señora Espinoza Gonzáles fue necesaria, </w:t>
      </w:r>
      <w:r w:rsidRPr="003D49EB">
        <w:rPr>
          <w:i/>
          <w:szCs w:val="20"/>
        </w:rPr>
        <w:t>por lo que el Tribunal considera que se violó su derecho a la integridad personal reconocido en el artículo 5.1 de la Convención Americana, en relación con el artículo 1.1 de la misma.</w:t>
      </w:r>
    </w:p>
    <w:p w14:paraId="148CFEAD" w14:textId="77777777" w:rsidR="00183533" w:rsidRPr="003D49EB" w:rsidRDefault="00183533" w:rsidP="00183533">
      <w:pPr>
        <w:rPr>
          <w:i/>
          <w:szCs w:val="20"/>
        </w:rPr>
      </w:pPr>
    </w:p>
    <w:p w14:paraId="073F5413" w14:textId="4AE1FD19" w:rsidR="00447AD8" w:rsidRPr="003D49EB" w:rsidRDefault="00447AD8" w:rsidP="00447AD8">
      <w:pPr>
        <w:pStyle w:val="Caso"/>
      </w:pPr>
      <w:r w:rsidRPr="003D49EB">
        <w:t>Corte IDH. Caso Bedoya Lima y otra Vs. Colombia. Fondo, Reparaciones y Costas. Sentencia de 26 de agosto de 2021. Serie C No. 431.</w:t>
      </w:r>
    </w:p>
    <w:p w14:paraId="7259B5F5" w14:textId="77777777" w:rsidR="00183533" w:rsidRPr="003D49EB" w:rsidRDefault="00183533" w:rsidP="00447AD8"/>
    <w:p w14:paraId="74FFAE10" w14:textId="76A6652C" w:rsidR="00447AD8" w:rsidRPr="003D49EB" w:rsidRDefault="00447AD8" w:rsidP="00B33530">
      <w:pPr>
        <w:rPr>
          <w:szCs w:val="20"/>
        </w:rPr>
      </w:pPr>
      <w:r w:rsidRPr="003D49EB">
        <w:rPr>
          <w:szCs w:val="20"/>
        </w:rPr>
        <w:t xml:space="preserve">137. El Tribunal observa que la referida </w:t>
      </w:r>
      <w:proofErr w:type="spellStart"/>
      <w:r w:rsidRPr="003D49EB">
        <w:rPr>
          <w:szCs w:val="20"/>
        </w:rPr>
        <w:t>declaración</w:t>
      </w:r>
      <w:proofErr w:type="spellEnd"/>
      <w:r w:rsidRPr="003D49EB">
        <w:rPr>
          <w:szCs w:val="20"/>
        </w:rPr>
        <w:t xml:space="preserve"> </w:t>
      </w:r>
      <w:proofErr w:type="spellStart"/>
      <w:r w:rsidRPr="003D49EB">
        <w:rPr>
          <w:szCs w:val="20"/>
        </w:rPr>
        <w:t>incumplio</w:t>
      </w:r>
      <w:proofErr w:type="spellEnd"/>
      <w:r w:rsidRPr="003D49EB">
        <w:rPr>
          <w:szCs w:val="20"/>
        </w:rPr>
        <w:t>́ el deber del Estado referido a que la misma se realizara en un ambiente “</w:t>
      </w:r>
      <w:proofErr w:type="spellStart"/>
      <w:r w:rsidRPr="003D49EB">
        <w:rPr>
          <w:szCs w:val="20"/>
        </w:rPr>
        <w:t>cómodo</w:t>
      </w:r>
      <w:proofErr w:type="spellEnd"/>
      <w:r w:rsidRPr="003D49EB">
        <w:rPr>
          <w:szCs w:val="20"/>
        </w:rPr>
        <w:t xml:space="preserve"> y seguro” y, </w:t>
      </w:r>
      <w:proofErr w:type="spellStart"/>
      <w:r w:rsidRPr="003D49EB">
        <w:rPr>
          <w:szCs w:val="20"/>
        </w:rPr>
        <w:t>además</w:t>
      </w:r>
      <w:proofErr w:type="spellEnd"/>
      <w:r w:rsidRPr="003D49EB">
        <w:rPr>
          <w:szCs w:val="20"/>
        </w:rPr>
        <w:t xml:space="preserve">, contribuyó a que la </w:t>
      </w:r>
      <w:proofErr w:type="spellStart"/>
      <w:r w:rsidRPr="003D49EB">
        <w:rPr>
          <w:szCs w:val="20"/>
        </w:rPr>
        <w:t>señora</w:t>
      </w:r>
      <w:proofErr w:type="spellEnd"/>
      <w:r w:rsidRPr="003D49EB">
        <w:rPr>
          <w:szCs w:val="20"/>
        </w:rPr>
        <w:t xml:space="preserve"> Bedoya no pudiera aportar en esos primeros momentos toda la </w:t>
      </w:r>
      <w:proofErr w:type="spellStart"/>
      <w:r w:rsidRPr="003D49EB">
        <w:rPr>
          <w:szCs w:val="20"/>
        </w:rPr>
        <w:t>información</w:t>
      </w:r>
      <w:proofErr w:type="spellEnd"/>
      <w:r w:rsidRPr="003D49EB">
        <w:rPr>
          <w:szCs w:val="20"/>
        </w:rPr>
        <w:t xml:space="preserve"> sobre lo sucedido, en claro detrimento de la </w:t>
      </w:r>
      <w:proofErr w:type="spellStart"/>
      <w:r w:rsidRPr="003D49EB">
        <w:rPr>
          <w:szCs w:val="20"/>
        </w:rPr>
        <w:t>investigación</w:t>
      </w:r>
      <w:proofErr w:type="spellEnd"/>
      <w:r w:rsidRPr="003D49EB">
        <w:rPr>
          <w:szCs w:val="20"/>
        </w:rPr>
        <w:t xml:space="preserve"> penal de los hechos. Por otro lado, la Corte advierte con </w:t>
      </w:r>
      <w:proofErr w:type="spellStart"/>
      <w:r w:rsidRPr="003D49EB">
        <w:rPr>
          <w:szCs w:val="20"/>
        </w:rPr>
        <w:t>preocupación</w:t>
      </w:r>
      <w:proofErr w:type="spellEnd"/>
      <w:r w:rsidRPr="003D49EB">
        <w:rPr>
          <w:szCs w:val="20"/>
        </w:rPr>
        <w:t xml:space="preserve"> lo </w:t>
      </w:r>
      <w:proofErr w:type="spellStart"/>
      <w:r w:rsidRPr="003D49EB">
        <w:rPr>
          <w:szCs w:val="20"/>
        </w:rPr>
        <w:t>señalado</w:t>
      </w:r>
      <w:proofErr w:type="spellEnd"/>
      <w:r w:rsidRPr="003D49EB">
        <w:rPr>
          <w:szCs w:val="20"/>
        </w:rPr>
        <w:t xml:space="preserve"> por la </w:t>
      </w:r>
      <w:proofErr w:type="spellStart"/>
      <w:r w:rsidRPr="003D49EB">
        <w:rPr>
          <w:szCs w:val="20"/>
        </w:rPr>
        <w:t>señora</w:t>
      </w:r>
      <w:proofErr w:type="spellEnd"/>
      <w:r w:rsidRPr="003D49EB">
        <w:rPr>
          <w:szCs w:val="20"/>
        </w:rPr>
        <w:t xml:space="preserve"> Bedoya al relatar que el fiscal no consideraba que la </w:t>
      </w:r>
      <w:proofErr w:type="spellStart"/>
      <w:r w:rsidRPr="003D49EB">
        <w:rPr>
          <w:szCs w:val="20"/>
        </w:rPr>
        <w:t>investigación</w:t>
      </w:r>
      <w:proofErr w:type="spellEnd"/>
      <w:r w:rsidRPr="003D49EB">
        <w:rPr>
          <w:szCs w:val="20"/>
        </w:rPr>
        <w:t xml:space="preserve"> sobre la </w:t>
      </w:r>
      <w:proofErr w:type="spellStart"/>
      <w:r w:rsidRPr="003D49EB">
        <w:rPr>
          <w:szCs w:val="20"/>
        </w:rPr>
        <w:t>violación</w:t>
      </w:r>
      <w:proofErr w:type="spellEnd"/>
      <w:r w:rsidRPr="003D49EB">
        <w:rPr>
          <w:szCs w:val="20"/>
        </w:rPr>
        <w:t xml:space="preserve"> sexual fuera prioritaria. Este acto de indiferencia constituyó en sí mismo un acto discriminatorio por razones de </w:t>
      </w:r>
      <w:proofErr w:type="spellStart"/>
      <w:r w:rsidRPr="003D49EB">
        <w:rPr>
          <w:szCs w:val="20"/>
        </w:rPr>
        <w:t>género</w:t>
      </w:r>
      <w:proofErr w:type="spellEnd"/>
      <w:r w:rsidRPr="003D49EB">
        <w:rPr>
          <w:szCs w:val="20"/>
        </w:rPr>
        <w:t xml:space="preserve"> que afectó el derecho de la </w:t>
      </w:r>
      <w:proofErr w:type="spellStart"/>
      <w:r w:rsidRPr="003D49EB">
        <w:rPr>
          <w:szCs w:val="20"/>
        </w:rPr>
        <w:t>señora</w:t>
      </w:r>
      <w:proofErr w:type="spellEnd"/>
      <w:r w:rsidRPr="003D49EB">
        <w:rPr>
          <w:szCs w:val="20"/>
        </w:rPr>
        <w:t xml:space="preserve"> Bedoya al acceso a la justicia.</w:t>
      </w:r>
    </w:p>
    <w:p w14:paraId="6884497C" w14:textId="77777777" w:rsidR="00183533" w:rsidRPr="003D49EB" w:rsidRDefault="00183533" w:rsidP="00B33530">
      <w:pPr>
        <w:rPr>
          <w:szCs w:val="20"/>
        </w:rPr>
      </w:pPr>
    </w:p>
    <w:p w14:paraId="5AB7958D" w14:textId="360407AB" w:rsidR="00447AD8" w:rsidRPr="003D49EB" w:rsidRDefault="00447AD8" w:rsidP="00B33530">
      <w:pPr>
        <w:rPr>
          <w:iCs/>
          <w:spacing w:val="-2"/>
          <w:szCs w:val="20"/>
        </w:rPr>
      </w:pPr>
      <w:r w:rsidRPr="003D49EB">
        <w:rPr>
          <w:iCs/>
          <w:spacing w:val="-2"/>
          <w:szCs w:val="20"/>
        </w:rPr>
        <w:t xml:space="preserve">138. Asimismo, en el marco de dichas investigaciones, se hicieron indagaciones con respecto a la alegada existencia de relaciones amorosas entre la </w:t>
      </w:r>
      <w:proofErr w:type="spellStart"/>
      <w:r w:rsidRPr="003D49EB">
        <w:rPr>
          <w:iCs/>
          <w:spacing w:val="-2"/>
          <w:szCs w:val="20"/>
        </w:rPr>
        <w:t>señora</w:t>
      </w:r>
      <w:proofErr w:type="spellEnd"/>
      <w:r w:rsidRPr="003D49EB">
        <w:rPr>
          <w:iCs/>
          <w:spacing w:val="-2"/>
          <w:szCs w:val="20"/>
        </w:rPr>
        <w:t xml:space="preserve"> Bedoya con un guerrillero, lo cual se enmarca en una serie de concepciones sexistas y estereotipos discriminatorios contra la mujer que se tradujeron en un </w:t>
      </w:r>
      <w:proofErr w:type="spellStart"/>
      <w:r w:rsidRPr="003D49EB">
        <w:rPr>
          <w:iCs/>
          <w:spacing w:val="-2"/>
          <w:szCs w:val="20"/>
        </w:rPr>
        <w:t>obstáculo</w:t>
      </w:r>
      <w:proofErr w:type="spellEnd"/>
      <w:r w:rsidRPr="003D49EB">
        <w:rPr>
          <w:iCs/>
          <w:spacing w:val="-2"/>
          <w:szCs w:val="20"/>
        </w:rPr>
        <w:t xml:space="preserve"> </w:t>
      </w:r>
      <w:proofErr w:type="spellStart"/>
      <w:r w:rsidRPr="003D49EB">
        <w:rPr>
          <w:iCs/>
          <w:spacing w:val="-2"/>
          <w:szCs w:val="20"/>
        </w:rPr>
        <w:t>más</w:t>
      </w:r>
      <w:proofErr w:type="spellEnd"/>
      <w:r w:rsidRPr="003D49EB">
        <w:rPr>
          <w:iCs/>
          <w:spacing w:val="-2"/>
          <w:szCs w:val="20"/>
        </w:rPr>
        <w:t xml:space="preserve"> a la hora de determinar las diferentes </w:t>
      </w:r>
      <w:proofErr w:type="spellStart"/>
      <w:r w:rsidRPr="003D49EB">
        <w:rPr>
          <w:iCs/>
          <w:spacing w:val="-2"/>
          <w:szCs w:val="20"/>
        </w:rPr>
        <w:t>líneas</w:t>
      </w:r>
      <w:proofErr w:type="spellEnd"/>
      <w:r w:rsidRPr="003D49EB">
        <w:rPr>
          <w:iCs/>
          <w:spacing w:val="-2"/>
          <w:szCs w:val="20"/>
        </w:rPr>
        <w:t xml:space="preserve"> de </w:t>
      </w:r>
      <w:proofErr w:type="spellStart"/>
      <w:r w:rsidRPr="003D49EB">
        <w:rPr>
          <w:iCs/>
          <w:spacing w:val="-2"/>
          <w:szCs w:val="20"/>
        </w:rPr>
        <w:t>investigación</w:t>
      </w:r>
      <w:proofErr w:type="spellEnd"/>
      <w:r w:rsidRPr="003D49EB">
        <w:rPr>
          <w:iCs/>
          <w:spacing w:val="-2"/>
          <w:szCs w:val="20"/>
        </w:rPr>
        <w:t xml:space="preserve"> respecto de los hechos.</w:t>
      </w:r>
    </w:p>
    <w:p w14:paraId="53A6FAFE" w14:textId="77777777" w:rsidR="00183533" w:rsidRPr="003D49EB" w:rsidRDefault="00183533" w:rsidP="00B33530">
      <w:pPr>
        <w:rPr>
          <w:iCs/>
          <w:spacing w:val="-2"/>
          <w:szCs w:val="20"/>
        </w:rPr>
      </w:pPr>
    </w:p>
    <w:p w14:paraId="2568A402" w14:textId="2306A8D1" w:rsidR="00447AD8" w:rsidRPr="003D49EB" w:rsidRDefault="00447AD8" w:rsidP="00B33530">
      <w:pPr>
        <w:rPr>
          <w:szCs w:val="20"/>
        </w:rPr>
      </w:pPr>
      <w:r w:rsidRPr="003D49EB">
        <w:rPr>
          <w:szCs w:val="20"/>
        </w:rPr>
        <w:t xml:space="preserve">139. A lo anterior se une el excesivo </w:t>
      </w:r>
      <w:proofErr w:type="spellStart"/>
      <w:r w:rsidRPr="003D49EB">
        <w:rPr>
          <w:szCs w:val="20"/>
        </w:rPr>
        <w:t>número</w:t>
      </w:r>
      <w:proofErr w:type="spellEnd"/>
      <w:r w:rsidRPr="003D49EB">
        <w:rPr>
          <w:szCs w:val="20"/>
        </w:rPr>
        <w:t xml:space="preserve"> de ocasiones en las que tuvo que declarar la </w:t>
      </w:r>
      <w:proofErr w:type="spellStart"/>
      <w:r w:rsidRPr="003D49EB">
        <w:rPr>
          <w:szCs w:val="20"/>
        </w:rPr>
        <w:t>señora</w:t>
      </w:r>
      <w:proofErr w:type="spellEnd"/>
      <w:r w:rsidRPr="003D49EB">
        <w:rPr>
          <w:szCs w:val="20"/>
        </w:rPr>
        <w:t xml:space="preserve"> Bedoya -hasta en 12 ocasiones-, tal y como ha sido reconocido por el Estado. En casos de violencia sexual, la Corte ha destacado que la </w:t>
      </w:r>
      <w:proofErr w:type="spellStart"/>
      <w:r w:rsidRPr="003D49EB">
        <w:rPr>
          <w:szCs w:val="20"/>
        </w:rPr>
        <w:t>investigación</w:t>
      </w:r>
      <w:proofErr w:type="spellEnd"/>
      <w:r w:rsidRPr="003D49EB">
        <w:rPr>
          <w:szCs w:val="20"/>
        </w:rPr>
        <w:t xml:space="preserve"> debe intentar evitar en lo posible la </w:t>
      </w:r>
      <w:proofErr w:type="spellStart"/>
      <w:r w:rsidRPr="003D49EB">
        <w:rPr>
          <w:szCs w:val="20"/>
        </w:rPr>
        <w:t>revictimización</w:t>
      </w:r>
      <w:proofErr w:type="spellEnd"/>
      <w:r w:rsidRPr="003D49EB">
        <w:rPr>
          <w:szCs w:val="20"/>
        </w:rPr>
        <w:t xml:space="preserve"> o </w:t>
      </w:r>
      <w:proofErr w:type="spellStart"/>
      <w:r w:rsidRPr="003D49EB">
        <w:rPr>
          <w:szCs w:val="20"/>
        </w:rPr>
        <w:t>re-experimentación</w:t>
      </w:r>
      <w:proofErr w:type="spellEnd"/>
      <w:r w:rsidRPr="003D49EB">
        <w:rPr>
          <w:szCs w:val="20"/>
        </w:rPr>
        <w:t xml:space="preserve"> de la profunda experiencia </w:t>
      </w:r>
      <w:proofErr w:type="spellStart"/>
      <w:r w:rsidRPr="003D49EB">
        <w:rPr>
          <w:szCs w:val="20"/>
        </w:rPr>
        <w:t>traumática</w:t>
      </w:r>
      <w:proofErr w:type="spellEnd"/>
      <w:r w:rsidRPr="003D49EB">
        <w:rPr>
          <w:szCs w:val="20"/>
        </w:rPr>
        <w:t xml:space="preserve"> a la </w:t>
      </w:r>
      <w:proofErr w:type="spellStart"/>
      <w:r w:rsidRPr="003D49EB">
        <w:rPr>
          <w:szCs w:val="20"/>
        </w:rPr>
        <w:t>víctima</w:t>
      </w:r>
      <w:proofErr w:type="spellEnd"/>
      <w:r w:rsidRPr="003D49EB">
        <w:rPr>
          <w:szCs w:val="20"/>
        </w:rPr>
        <w:t xml:space="preserve">. Al respecto, el perito Jairo Enrique </w:t>
      </w:r>
      <w:proofErr w:type="spellStart"/>
      <w:r w:rsidRPr="003D49EB">
        <w:rPr>
          <w:szCs w:val="20"/>
        </w:rPr>
        <w:t>Cortés</w:t>
      </w:r>
      <w:proofErr w:type="spellEnd"/>
      <w:r w:rsidRPr="003D49EB">
        <w:rPr>
          <w:szCs w:val="20"/>
        </w:rPr>
        <w:t xml:space="preserve"> </w:t>
      </w:r>
      <w:proofErr w:type="spellStart"/>
      <w:r w:rsidRPr="003D49EB">
        <w:rPr>
          <w:szCs w:val="20"/>
        </w:rPr>
        <w:t>Pinzón</w:t>
      </w:r>
      <w:proofErr w:type="spellEnd"/>
      <w:r w:rsidRPr="003D49EB">
        <w:rPr>
          <w:szCs w:val="20"/>
        </w:rPr>
        <w:t xml:space="preserve"> declaró que, cada vez que la </w:t>
      </w:r>
      <w:proofErr w:type="spellStart"/>
      <w:r w:rsidRPr="003D49EB">
        <w:rPr>
          <w:szCs w:val="20"/>
        </w:rPr>
        <w:t>señora</w:t>
      </w:r>
      <w:proofErr w:type="spellEnd"/>
      <w:r w:rsidRPr="003D49EB">
        <w:rPr>
          <w:szCs w:val="20"/>
        </w:rPr>
        <w:t xml:space="preserve"> Bedoya </w:t>
      </w:r>
      <w:proofErr w:type="spellStart"/>
      <w:r w:rsidRPr="003D49EB">
        <w:rPr>
          <w:szCs w:val="20"/>
        </w:rPr>
        <w:t>había</w:t>
      </w:r>
      <w:proofErr w:type="spellEnd"/>
      <w:r w:rsidRPr="003D49EB">
        <w:rPr>
          <w:szCs w:val="20"/>
        </w:rPr>
        <w:t xml:space="preserve"> sido requerida por la justicia para un procedimiento asociado a su caso, presentó “una </w:t>
      </w:r>
      <w:proofErr w:type="spellStart"/>
      <w:r w:rsidRPr="003D49EB">
        <w:rPr>
          <w:szCs w:val="20"/>
        </w:rPr>
        <w:t>recaída</w:t>
      </w:r>
      <w:proofErr w:type="spellEnd"/>
      <w:r w:rsidRPr="003D49EB">
        <w:rPr>
          <w:szCs w:val="20"/>
        </w:rPr>
        <w:t xml:space="preserve"> importante en su estado de salud” la cual se puede mantener durante meses, debido a su trastorno de </w:t>
      </w:r>
      <w:proofErr w:type="spellStart"/>
      <w:r w:rsidRPr="003D49EB">
        <w:rPr>
          <w:szCs w:val="20"/>
        </w:rPr>
        <w:t>estrés</w:t>
      </w:r>
      <w:proofErr w:type="spellEnd"/>
      <w:r w:rsidRPr="003D49EB">
        <w:rPr>
          <w:szCs w:val="20"/>
        </w:rPr>
        <w:t xml:space="preserve"> </w:t>
      </w:r>
      <w:proofErr w:type="spellStart"/>
      <w:r w:rsidRPr="003D49EB">
        <w:rPr>
          <w:szCs w:val="20"/>
        </w:rPr>
        <w:t>postraumático</w:t>
      </w:r>
      <w:proofErr w:type="spellEnd"/>
      <w:r w:rsidRPr="003D49EB">
        <w:rPr>
          <w:szCs w:val="20"/>
        </w:rPr>
        <w:t>, lo que a su vez implica “un tratamiento constante con seguimiento y apoyo emocional”.</w:t>
      </w:r>
    </w:p>
    <w:p w14:paraId="51871006" w14:textId="77777777" w:rsidR="00B33530" w:rsidRPr="003D49EB" w:rsidRDefault="00B33530" w:rsidP="00B33530">
      <w:pPr>
        <w:rPr>
          <w:szCs w:val="20"/>
        </w:rPr>
      </w:pPr>
    </w:p>
    <w:p w14:paraId="7CCF89DB" w14:textId="3A68B792" w:rsidR="00447AD8" w:rsidRPr="003D49EB" w:rsidRDefault="00447AD8" w:rsidP="00B33530">
      <w:pPr>
        <w:rPr>
          <w:szCs w:val="20"/>
        </w:rPr>
      </w:pPr>
      <w:r w:rsidRPr="003D49EB">
        <w:rPr>
          <w:szCs w:val="20"/>
        </w:rPr>
        <w:t xml:space="preserve">140. A la vista de todo lo anterior, el Tribunal concluye que la </w:t>
      </w:r>
      <w:proofErr w:type="spellStart"/>
      <w:r w:rsidRPr="003D49EB">
        <w:rPr>
          <w:szCs w:val="20"/>
        </w:rPr>
        <w:t>investigación</w:t>
      </w:r>
      <w:proofErr w:type="spellEnd"/>
      <w:r w:rsidRPr="003D49EB">
        <w:rPr>
          <w:szCs w:val="20"/>
        </w:rPr>
        <w:t xml:space="preserve"> penal por los hechos ocurridos el 25 de mayo de 2000 tuvo un </w:t>
      </w:r>
      <w:proofErr w:type="spellStart"/>
      <w:r w:rsidRPr="003D49EB">
        <w:rPr>
          <w:szCs w:val="20"/>
        </w:rPr>
        <w:t>carácter</w:t>
      </w:r>
      <w:proofErr w:type="spellEnd"/>
      <w:r w:rsidRPr="003D49EB">
        <w:rPr>
          <w:szCs w:val="20"/>
        </w:rPr>
        <w:t xml:space="preserve"> discriminatorio por </w:t>
      </w:r>
      <w:proofErr w:type="spellStart"/>
      <w:r w:rsidRPr="003D49EB">
        <w:rPr>
          <w:szCs w:val="20"/>
        </w:rPr>
        <w:t>razón</w:t>
      </w:r>
      <w:proofErr w:type="spellEnd"/>
      <w:r w:rsidRPr="003D49EB">
        <w:rPr>
          <w:szCs w:val="20"/>
        </w:rPr>
        <w:t xml:space="preserve"> de </w:t>
      </w:r>
      <w:proofErr w:type="spellStart"/>
      <w:r w:rsidRPr="003D49EB">
        <w:rPr>
          <w:szCs w:val="20"/>
        </w:rPr>
        <w:t>género</w:t>
      </w:r>
      <w:proofErr w:type="spellEnd"/>
      <w:r w:rsidRPr="003D49EB">
        <w:rPr>
          <w:szCs w:val="20"/>
        </w:rPr>
        <w:t>.</w:t>
      </w:r>
    </w:p>
    <w:p w14:paraId="7A1C2A17" w14:textId="36B600F2" w:rsidR="006E4926" w:rsidRDefault="006E4926" w:rsidP="009A4683">
      <w:pPr>
        <w:pStyle w:val="Ttulo2"/>
        <w:rPr>
          <w:rFonts w:eastAsia="Calibri"/>
        </w:rPr>
      </w:pPr>
      <w:bookmarkStart w:id="39" w:name="_Toc530497983"/>
      <w:bookmarkStart w:id="40" w:name="_Toc88914983"/>
      <w:r w:rsidRPr="003D49EB">
        <w:rPr>
          <w:rFonts w:eastAsia="Calibri"/>
        </w:rPr>
        <w:t>Aislamiento e incomunicación</w:t>
      </w:r>
      <w:r w:rsidR="00DE07E4" w:rsidRPr="003D49EB">
        <w:rPr>
          <w:rFonts w:eastAsia="Calibri"/>
        </w:rPr>
        <w:t xml:space="preserve"> como trato cruel e inhumano</w:t>
      </w:r>
      <w:bookmarkEnd w:id="39"/>
      <w:bookmarkEnd w:id="40"/>
    </w:p>
    <w:p w14:paraId="7F4F0A31" w14:textId="77777777" w:rsidR="003D49EB" w:rsidRPr="003D49EB" w:rsidRDefault="003D49EB" w:rsidP="003D49EB">
      <w:pPr>
        <w:rPr>
          <w:rFonts w:eastAsia="Calibri"/>
          <w:lang w:val="es-CR"/>
        </w:rPr>
      </w:pPr>
    </w:p>
    <w:p w14:paraId="2587AAF8" w14:textId="6D2D0C5D" w:rsidR="006B74E6" w:rsidRPr="003D49EB" w:rsidRDefault="00AE1DC9" w:rsidP="009A4683">
      <w:pPr>
        <w:spacing w:after="100" w:afterAutospacing="1"/>
        <w:rPr>
          <w:b/>
          <w:szCs w:val="20"/>
        </w:rPr>
      </w:pPr>
      <w:r w:rsidRPr="003D49EB">
        <w:rPr>
          <w:b/>
          <w:szCs w:val="20"/>
        </w:rPr>
        <w:lastRenderedPageBreak/>
        <w:t>Corte IDH. Caso Velásquez Rodríguez Vs. Honduras. Fondo. Sentencia de 29 de julio de 1988. Serie C No. 4.</w:t>
      </w:r>
      <w:r w:rsidRPr="003D49EB">
        <w:rPr>
          <w:rStyle w:val="Refdenotaalpie"/>
          <w:b/>
          <w:szCs w:val="20"/>
        </w:rPr>
        <w:footnoteReference w:id="47"/>
      </w:r>
      <w:r w:rsidR="006B74E6" w:rsidRPr="003D49EB">
        <w:rPr>
          <w:b/>
          <w:szCs w:val="20"/>
        </w:rPr>
        <w:t xml:space="preserve"> </w:t>
      </w:r>
    </w:p>
    <w:p w14:paraId="60B6B43F" w14:textId="2526D849" w:rsidR="006B74E6" w:rsidRPr="003D49EB" w:rsidRDefault="006B74E6" w:rsidP="009A4683">
      <w:pPr>
        <w:spacing w:after="100" w:afterAutospacing="1"/>
        <w:ind w:right="11"/>
        <w:rPr>
          <w:b/>
          <w:szCs w:val="20"/>
        </w:rPr>
      </w:pPr>
      <w:r w:rsidRPr="003D49EB">
        <w:rPr>
          <w:rFonts w:eastAsia="Calibri"/>
          <w:szCs w:val="20"/>
        </w:rPr>
        <w:t>156.</w:t>
      </w:r>
      <w:r w:rsidRPr="003D49EB">
        <w:rPr>
          <w:rFonts w:eastAsia="Calibri"/>
          <w:szCs w:val="20"/>
        </w:rPr>
        <w:tab/>
        <w:t xml:space="preserve">Además, el aislamiento prolongado y la incomunicación coactiva a los que se ve sometida la víctima representan, por sí mismos, formas de tratamiento cruel e inhumano, lesivas de la libertad psíquica y moral de la persona y del derecho de todo detenido al respeto debido a la dignidad inherente al ser humano, lo que constituye, por su lado, la violación de las disposiciones del artículo 5 de la Convención que reconocen el derecho a la </w:t>
      </w:r>
      <w:r w:rsidRPr="003D49EB">
        <w:rPr>
          <w:szCs w:val="20"/>
        </w:rPr>
        <w:t>integridad personal […]</w:t>
      </w:r>
      <w:r w:rsidR="002F43D4" w:rsidRPr="003D49EB">
        <w:rPr>
          <w:szCs w:val="20"/>
        </w:rPr>
        <w:t xml:space="preserve"> </w:t>
      </w:r>
      <w:r w:rsidR="006E5C73">
        <w:rPr>
          <w:rStyle w:val="EnelmismoCar"/>
        </w:rPr>
        <w:t>En similar sentido, ver entre otros</w:t>
      </w:r>
      <w:r w:rsidR="002F43D4" w:rsidRPr="003D49EB">
        <w:rPr>
          <w:rStyle w:val="EnelmismoCar"/>
        </w:rPr>
        <w:t xml:space="preserve">: Caso </w:t>
      </w:r>
      <w:proofErr w:type="spellStart"/>
      <w:r w:rsidR="002F43D4" w:rsidRPr="003D49EB">
        <w:rPr>
          <w:rStyle w:val="EnelmismoCar"/>
        </w:rPr>
        <w:t>Lori</w:t>
      </w:r>
      <w:proofErr w:type="spellEnd"/>
      <w:r w:rsidR="002F43D4" w:rsidRPr="003D49EB">
        <w:rPr>
          <w:rStyle w:val="EnelmismoCar"/>
        </w:rPr>
        <w:t xml:space="preserve"> </w:t>
      </w:r>
      <w:proofErr w:type="spellStart"/>
      <w:r w:rsidR="002F43D4" w:rsidRPr="003D49EB">
        <w:rPr>
          <w:rStyle w:val="EnelmismoCar"/>
        </w:rPr>
        <w:t>Berenson</w:t>
      </w:r>
      <w:proofErr w:type="spellEnd"/>
      <w:r w:rsidR="002F43D4" w:rsidRPr="003D49EB">
        <w:rPr>
          <w:rStyle w:val="EnelmismoCar"/>
        </w:rPr>
        <w:t xml:space="preserve"> Mejía vs. Perú. Sentencia de 25 de noviembre de 2004, párr. 103</w:t>
      </w:r>
      <w:r w:rsidR="002F43D4" w:rsidRPr="003D49EB">
        <w:rPr>
          <w:b/>
          <w:i/>
          <w:szCs w:val="20"/>
        </w:rPr>
        <w:t>.</w:t>
      </w:r>
    </w:p>
    <w:p w14:paraId="5C2DD204" w14:textId="1BF8B18D" w:rsidR="00BF4ECD" w:rsidRPr="003D49EB" w:rsidRDefault="00FE3840" w:rsidP="009A4683">
      <w:pPr>
        <w:spacing w:after="100" w:afterAutospacing="1"/>
        <w:rPr>
          <w:rStyle w:val="Textoennegrita"/>
          <w:color w:val="auto"/>
          <w:szCs w:val="20"/>
        </w:rPr>
      </w:pPr>
      <w:r w:rsidRPr="003D49EB">
        <w:rPr>
          <w:rStyle w:val="Textoennegrita"/>
          <w:color w:val="auto"/>
          <w:szCs w:val="20"/>
          <w:shd w:val="clear" w:color="auto" w:fill="FFFFFF"/>
        </w:rPr>
        <w:t>Corte IDH. Caso Suárez Rosero Vs. Ecuador. Fondo. Sentencia de 12 de noviembre de 1997. Serie C No. 35.</w:t>
      </w:r>
      <w:r w:rsidRPr="003D49EB">
        <w:rPr>
          <w:rStyle w:val="Refdenotaalpie"/>
          <w:b/>
          <w:bCs/>
          <w:spacing w:val="5"/>
          <w:szCs w:val="20"/>
          <w:shd w:val="clear" w:color="auto" w:fill="FFFFFF"/>
        </w:rPr>
        <w:footnoteReference w:id="48"/>
      </w:r>
    </w:p>
    <w:p w14:paraId="64DECA54" w14:textId="77854533" w:rsidR="006B74E6" w:rsidRPr="003D49EB" w:rsidRDefault="006B74E6" w:rsidP="009A4683">
      <w:pPr>
        <w:spacing w:after="100" w:afterAutospacing="1"/>
        <w:rPr>
          <w:rStyle w:val="EnelmismoCar"/>
          <w:rFonts w:eastAsia="Calibri"/>
        </w:rPr>
      </w:pPr>
      <w:r w:rsidRPr="003D49EB">
        <w:rPr>
          <w:rFonts w:eastAsia="Calibri"/>
          <w:szCs w:val="20"/>
        </w:rPr>
        <w:t>90.</w:t>
      </w:r>
      <w:r w:rsidRPr="003D49EB">
        <w:rPr>
          <w:rFonts w:eastAsia="Calibri"/>
          <w:szCs w:val="20"/>
        </w:rPr>
        <w:tab/>
        <w:t>Una de las razones por las cuales la incomunicación es concebida como un instrumento excepcional es por los graves efectos que tiene sobre el detenido.</w:t>
      </w:r>
      <w:r w:rsidR="008B18CE" w:rsidRPr="003D49EB">
        <w:rPr>
          <w:rFonts w:eastAsia="Calibri"/>
          <w:szCs w:val="20"/>
        </w:rPr>
        <w:t xml:space="preserve"> </w:t>
      </w:r>
      <w:r w:rsidRPr="003D49EB">
        <w:rPr>
          <w:rFonts w:eastAsia="Calibri"/>
          <w:szCs w:val="20"/>
        </w:rPr>
        <w:t>En efecto, el aislamiento del mundo exterior produce en cualquier persona sufrimientos morales y perturbaciones psíquicas, la coloca en una situación de particular vulnerabilidad y acrecienta el riesgo de agresión y arbitrariedad en las cárceles.</w:t>
      </w:r>
      <w:r w:rsidR="002F43D4" w:rsidRPr="003D49EB">
        <w:rPr>
          <w:rFonts w:eastAsia="Calibri"/>
          <w:szCs w:val="20"/>
        </w:rPr>
        <w:t xml:space="preserve"> </w:t>
      </w:r>
      <w:r w:rsidR="006E5C73">
        <w:rPr>
          <w:rStyle w:val="EnelmismoCar"/>
          <w:rFonts w:eastAsia="Calibri"/>
        </w:rPr>
        <w:t>En similar sentido, ver entre otros</w:t>
      </w:r>
      <w:r w:rsidR="002F43D4" w:rsidRPr="003D49EB">
        <w:rPr>
          <w:rStyle w:val="EnelmismoCar"/>
          <w:rFonts w:eastAsia="Calibri"/>
        </w:rPr>
        <w:t xml:space="preserve">: Caso </w:t>
      </w:r>
      <w:proofErr w:type="spellStart"/>
      <w:r w:rsidR="002F43D4" w:rsidRPr="003D49EB">
        <w:rPr>
          <w:rStyle w:val="EnelmismoCar"/>
          <w:rFonts w:eastAsia="Calibri"/>
        </w:rPr>
        <w:t>Lori</w:t>
      </w:r>
      <w:proofErr w:type="spellEnd"/>
      <w:r w:rsidR="002F43D4" w:rsidRPr="003D49EB">
        <w:rPr>
          <w:rStyle w:val="EnelmismoCar"/>
          <w:rFonts w:eastAsia="Calibri"/>
        </w:rPr>
        <w:t xml:space="preserve"> </w:t>
      </w:r>
      <w:proofErr w:type="spellStart"/>
      <w:r w:rsidR="002F43D4" w:rsidRPr="003D49EB">
        <w:rPr>
          <w:rStyle w:val="EnelmismoCar"/>
          <w:rFonts w:eastAsia="Calibri"/>
        </w:rPr>
        <w:t>Berenson</w:t>
      </w:r>
      <w:proofErr w:type="spellEnd"/>
      <w:r w:rsidR="002F43D4" w:rsidRPr="003D49EB">
        <w:rPr>
          <w:rStyle w:val="EnelmismoCar"/>
          <w:rFonts w:eastAsia="Calibri"/>
        </w:rPr>
        <w:t xml:space="preserve"> Mejía vs. Perú. Sentencia de 25 de noviembre de 2004, párr. 104.</w:t>
      </w:r>
    </w:p>
    <w:p w14:paraId="5204E16A" w14:textId="77777777" w:rsidR="006B74E6" w:rsidRPr="003D49EB" w:rsidRDefault="006B74E6" w:rsidP="009A4683">
      <w:pPr>
        <w:spacing w:after="100" w:afterAutospacing="1"/>
        <w:rPr>
          <w:rFonts w:eastAsia="Calibri"/>
          <w:szCs w:val="20"/>
        </w:rPr>
      </w:pPr>
      <w:r w:rsidRPr="003D49EB">
        <w:rPr>
          <w:rFonts w:eastAsia="Calibri"/>
          <w:szCs w:val="20"/>
        </w:rPr>
        <w:t>91.</w:t>
      </w:r>
      <w:r w:rsidRPr="003D49EB">
        <w:rPr>
          <w:rFonts w:eastAsia="Calibri"/>
          <w:szCs w:val="20"/>
        </w:rPr>
        <w:tab/>
        <w:t>La sola constatación de que la víctima fue privada durante 36 días de toda comunicación con el mundo exterior y particularmente con su familia, le permite a la Corte concluir que el señor Suárez Rosero fue sometido a tratos crueles, inhumanos y degradantes, más aún cuando ha quedado demostrado que esta incomunicación fue arbitraria y realizada en contravención de la normativa interna del Ecuador.</w:t>
      </w:r>
      <w:r w:rsidR="008B18CE" w:rsidRPr="003D49EB">
        <w:rPr>
          <w:rFonts w:eastAsia="Calibri"/>
          <w:szCs w:val="20"/>
        </w:rPr>
        <w:t xml:space="preserve"> </w:t>
      </w:r>
      <w:r w:rsidRPr="003D49EB">
        <w:rPr>
          <w:rFonts w:eastAsia="Calibri"/>
          <w:szCs w:val="20"/>
        </w:rPr>
        <w:t>La víctima señaló ante la Corte los sufrimientos que le produjo verse impedido de la posibilidad de buscar un abogado y no poder ver o comunicarse con su familia.</w:t>
      </w:r>
      <w:r w:rsidR="008B18CE" w:rsidRPr="003D49EB">
        <w:rPr>
          <w:rFonts w:eastAsia="Calibri"/>
          <w:szCs w:val="20"/>
        </w:rPr>
        <w:t xml:space="preserve"> </w:t>
      </w:r>
      <w:r w:rsidRPr="003D49EB">
        <w:rPr>
          <w:rFonts w:eastAsia="Calibri"/>
          <w:szCs w:val="20"/>
        </w:rPr>
        <w:t>Agregó que, durante su incomunicación, fue mantenido en una celda húmeda y subterránea de aproximadamente 15 metros cuadrados con otros 16 reclusos, sin condiciones necesarias de higiene y se vio obligado a dormir sobre hojas de periódico y los golpes y amenazas a los que fue sometido durante su detención.</w:t>
      </w:r>
      <w:r w:rsidR="008B18CE" w:rsidRPr="003D49EB">
        <w:rPr>
          <w:rFonts w:eastAsia="Calibri"/>
          <w:szCs w:val="20"/>
        </w:rPr>
        <w:t xml:space="preserve"> </w:t>
      </w:r>
      <w:r w:rsidRPr="003D49EB">
        <w:rPr>
          <w:rFonts w:eastAsia="Calibri"/>
          <w:szCs w:val="20"/>
        </w:rPr>
        <w:t>Todos estos hechos confieren al tratamiento a que fue sometido el señor Suárez Rosero la característica de cruel, inhumano y degradante.</w:t>
      </w:r>
    </w:p>
    <w:p w14:paraId="204884BD" w14:textId="7A193C43" w:rsidR="006B74E6" w:rsidRPr="003D49EB" w:rsidRDefault="00FF6B9C" w:rsidP="009A4683">
      <w:pPr>
        <w:spacing w:after="100" w:afterAutospacing="1"/>
        <w:rPr>
          <w:b/>
          <w:szCs w:val="20"/>
        </w:rPr>
      </w:pPr>
      <w:r w:rsidRPr="003D49EB">
        <w:rPr>
          <w:b/>
          <w:szCs w:val="20"/>
        </w:rPr>
        <w:t>Corte IDH. Caso de los “Niños de la Calle” (Villagrán Morales y otros) Vs. Guatemala. Fondo. Sentencia de 19 de noviembre de 1999. Serie C No. 63</w:t>
      </w:r>
      <w:r w:rsidR="006F7697" w:rsidRPr="003D49EB">
        <w:rPr>
          <w:b/>
          <w:szCs w:val="20"/>
        </w:rPr>
        <w:t>.</w:t>
      </w:r>
    </w:p>
    <w:p w14:paraId="19190959" w14:textId="77777777" w:rsidR="00143090" w:rsidRPr="003D49EB" w:rsidRDefault="00143090" w:rsidP="009A4683">
      <w:pPr>
        <w:numPr>
          <w:ilvl w:val="12"/>
          <w:numId w:val="0"/>
        </w:numPr>
        <w:spacing w:after="100" w:afterAutospacing="1"/>
        <w:rPr>
          <w:rFonts w:eastAsia="Calibri"/>
          <w:szCs w:val="20"/>
          <w:lang w:val="es-ES_tradnl"/>
        </w:rPr>
      </w:pPr>
      <w:r w:rsidRPr="003D49EB">
        <w:rPr>
          <w:rFonts w:eastAsia="Calibri"/>
          <w:szCs w:val="20"/>
          <w:lang w:val="es-ES_tradnl"/>
        </w:rPr>
        <w:t>163.</w:t>
      </w:r>
      <w:r w:rsidRPr="003D49EB">
        <w:rPr>
          <w:rFonts w:eastAsia="Calibri"/>
          <w:szCs w:val="20"/>
          <w:lang w:val="es-ES_tradnl"/>
        </w:rPr>
        <w:tab/>
        <w:t>Durante el tiempo de su retención los cuatro jóvenes permanecieron aislados del mundo exterior y seguramente estaban conscientes de que sus vidas corrían grave peligro.</w:t>
      </w:r>
      <w:r w:rsidR="008B18CE" w:rsidRPr="003D49EB">
        <w:rPr>
          <w:rFonts w:eastAsia="Calibri"/>
          <w:szCs w:val="20"/>
          <w:lang w:val="es-ES_tradnl"/>
        </w:rPr>
        <w:t xml:space="preserve"> </w:t>
      </w:r>
      <w:r w:rsidRPr="003D49EB">
        <w:rPr>
          <w:rFonts w:eastAsia="Calibri"/>
          <w:szCs w:val="20"/>
          <w:lang w:val="es-ES_tradnl"/>
        </w:rPr>
        <w:t xml:space="preserve">Es razonable inferir que durante esas horas pasaron, por esa sola circunstancia, por una situación de extremo sufrimiento psicológico y moral. </w:t>
      </w:r>
    </w:p>
    <w:p w14:paraId="70886822" w14:textId="6D699EDA" w:rsidR="006E4926" w:rsidRPr="003D49EB" w:rsidRDefault="009B0099" w:rsidP="009A4683">
      <w:pPr>
        <w:spacing w:after="100" w:afterAutospacing="1"/>
        <w:rPr>
          <w:b/>
          <w:szCs w:val="20"/>
        </w:rPr>
      </w:pPr>
      <w:r w:rsidRPr="003D49EB">
        <w:rPr>
          <w:b/>
          <w:szCs w:val="20"/>
        </w:rPr>
        <w:lastRenderedPageBreak/>
        <w:t xml:space="preserve">Corte IDH. Caso </w:t>
      </w:r>
      <w:proofErr w:type="spellStart"/>
      <w:r w:rsidRPr="003D49EB">
        <w:rPr>
          <w:b/>
          <w:szCs w:val="20"/>
        </w:rPr>
        <w:t>Bámaca</w:t>
      </w:r>
      <w:proofErr w:type="spellEnd"/>
      <w:r w:rsidRPr="003D49EB">
        <w:rPr>
          <w:b/>
          <w:szCs w:val="20"/>
        </w:rPr>
        <w:t xml:space="preserve"> Velásquez Vs. Guatemala. Fondo. Sentencia de 25 de noviembre de 2000. Serie C No. 70.</w:t>
      </w:r>
      <w:r w:rsidR="006E4926" w:rsidRPr="003D49EB">
        <w:rPr>
          <w:b/>
          <w:szCs w:val="20"/>
        </w:rPr>
        <w:t xml:space="preserve"> </w:t>
      </w:r>
    </w:p>
    <w:p w14:paraId="3C0FC129" w14:textId="74162A55" w:rsidR="006E4926" w:rsidRPr="003D49EB" w:rsidRDefault="006E4926" w:rsidP="009A4683">
      <w:pPr>
        <w:tabs>
          <w:tab w:val="left" w:pos="0"/>
        </w:tabs>
        <w:spacing w:after="100" w:afterAutospacing="1"/>
        <w:rPr>
          <w:szCs w:val="20"/>
          <w:lang w:val="es-ES_tradnl"/>
        </w:rPr>
      </w:pPr>
      <w:r w:rsidRPr="003D49EB">
        <w:rPr>
          <w:szCs w:val="20"/>
          <w:lang w:val="es-ES_tradnl"/>
        </w:rPr>
        <w:t>150.</w:t>
      </w:r>
      <w:r w:rsidRPr="003D49EB">
        <w:rPr>
          <w:szCs w:val="20"/>
          <w:lang w:val="es-ES_tradnl"/>
        </w:rPr>
        <w:tab/>
        <w:t>Como ya lo ha establecido este Tribunal, una “persona ilegalmente detenida se encuentra en una situación agravada de vulnerabilidad, de la cual surge un riesgo cierto de que se le vulneren otros derechos, como el derecho a la integridad física y a ser tratada con dignidad”. A lo anterior habría que agregar que “el aislamiento prolongado y la incomunicación coactiva a los que se ve sometida la víctima representan, por sí mismos, formas de tratamiento cruel e inhumano, lesivas de la integridad psíquica y moral de la persona y del derecho de todo detenido al respeto debido a la dignidad inherente al ser humano”. Esta incomunicación produce en el detenido sufrimientos morales y perturbaciones psíquicas, lo coloca en una situación de particular vulnerabilidad y acrecienta el riesgo de agresión y arbitrariedad en los</w:t>
      </w:r>
      <w:r w:rsidR="008B18CE" w:rsidRPr="003D49EB">
        <w:rPr>
          <w:szCs w:val="20"/>
          <w:lang w:val="es-ES_tradnl"/>
        </w:rPr>
        <w:t xml:space="preserve"> </w:t>
      </w:r>
      <w:r w:rsidRPr="003D49EB">
        <w:rPr>
          <w:szCs w:val="20"/>
          <w:lang w:val="es-ES_tradnl"/>
        </w:rPr>
        <w:t>centros de detención.</w:t>
      </w:r>
      <w:r w:rsidR="008B18CE" w:rsidRPr="003D49EB">
        <w:rPr>
          <w:szCs w:val="20"/>
          <w:lang w:val="es-ES_tradnl"/>
        </w:rPr>
        <w:t xml:space="preserve"> </w:t>
      </w:r>
      <w:r w:rsidRPr="003D49EB">
        <w:rPr>
          <w:szCs w:val="20"/>
          <w:lang w:val="es-ES_tradnl"/>
        </w:rPr>
        <w:t>Por todo ello, la Corte ha afirmado que, “en el Derecho Internacional de los Derechos Humanos [...] la incomunicación debe ser excepcional y [...] su uso durante la detención puede constituir un acto contrario a la dignidad humana”.</w:t>
      </w:r>
    </w:p>
    <w:p w14:paraId="09C7622F" w14:textId="41B79BE9" w:rsidR="00665858" w:rsidRPr="003D49EB" w:rsidRDefault="00FE3840" w:rsidP="009A4683">
      <w:pPr>
        <w:spacing w:after="100" w:afterAutospacing="1"/>
        <w:rPr>
          <w:b/>
          <w:szCs w:val="20"/>
        </w:rPr>
      </w:pPr>
      <w:r w:rsidRPr="00FE3840">
        <w:rPr>
          <w:b/>
          <w:szCs w:val="20"/>
        </w:rPr>
        <w:t xml:space="preserve">Corte IDH. Caso García </w:t>
      </w:r>
      <w:proofErr w:type="spellStart"/>
      <w:r w:rsidRPr="00FE3840">
        <w:rPr>
          <w:b/>
          <w:szCs w:val="20"/>
        </w:rPr>
        <w:t>Asto</w:t>
      </w:r>
      <w:proofErr w:type="spellEnd"/>
      <w:r w:rsidRPr="00FE3840">
        <w:rPr>
          <w:b/>
          <w:szCs w:val="20"/>
        </w:rPr>
        <w:t xml:space="preserve"> y Ramírez Rojas Vs. Perú. Sentencia de 25 de noviembre de 2005. Serie C No. 137</w:t>
      </w:r>
      <w:r w:rsidR="00665858" w:rsidRPr="003D49EB">
        <w:rPr>
          <w:b/>
          <w:szCs w:val="20"/>
        </w:rPr>
        <w:t>.</w:t>
      </w:r>
      <w:r w:rsidRPr="003D49EB">
        <w:rPr>
          <w:rStyle w:val="Refdenotaalpie"/>
          <w:b/>
          <w:szCs w:val="20"/>
        </w:rPr>
        <w:footnoteReference w:id="49"/>
      </w:r>
      <w:r w:rsidR="00665858" w:rsidRPr="003D49EB">
        <w:rPr>
          <w:b/>
          <w:szCs w:val="20"/>
        </w:rPr>
        <w:t xml:space="preserve"> </w:t>
      </w:r>
    </w:p>
    <w:p w14:paraId="410E496A" w14:textId="77777777" w:rsidR="00665858" w:rsidRPr="003D49EB" w:rsidRDefault="00665858" w:rsidP="009A4683">
      <w:pPr>
        <w:spacing w:after="100" w:afterAutospacing="1"/>
        <w:rPr>
          <w:szCs w:val="20"/>
        </w:rPr>
      </w:pPr>
      <w:r w:rsidRPr="003D49EB">
        <w:rPr>
          <w:szCs w:val="20"/>
        </w:rPr>
        <w:t>229.</w:t>
      </w:r>
      <w:r w:rsidRPr="003D49EB">
        <w:rPr>
          <w:szCs w:val="20"/>
        </w:rPr>
        <w:tab/>
        <w:t xml:space="preserve">Además de ello, la Corte concluye que las condiciones de detención impuestas al señor Wilson García </w:t>
      </w:r>
      <w:proofErr w:type="spellStart"/>
      <w:r w:rsidRPr="003D49EB">
        <w:rPr>
          <w:szCs w:val="20"/>
        </w:rPr>
        <w:t>Asto</w:t>
      </w:r>
      <w:proofErr w:type="spellEnd"/>
      <w:r w:rsidRPr="003D49EB">
        <w:rPr>
          <w:szCs w:val="20"/>
        </w:rPr>
        <w:t>, así como la incomunicación, el régimen de aislamiento celular y la restricción de visitas de sus familiares constituyeron tratos crueles, inhumanos y degradantes que resultaron en la vulneración de su integridad física, psíquica y moral.</w:t>
      </w:r>
      <w:r w:rsidR="008B18CE" w:rsidRPr="003D49EB">
        <w:rPr>
          <w:szCs w:val="20"/>
        </w:rPr>
        <w:t xml:space="preserve"> </w:t>
      </w:r>
      <w:r w:rsidRPr="003D49EB">
        <w:rPr>
          <w:szCs w:val="20"/>
        </w:rPr>
        <w:t xml:space="preserve">En consecuencia, y tomando en consideración el reconocimiento de hechos anteriores a septiembre de 2000 por parte del Estado </w:t>
      </w:r>
      <w:r w:rsidR="00D94D43" w:rsidRPr="003D49EB">
        <w:rPr>
          <w:szCs w:val="20"/>
        </w:rPr>
        <w:t>[...]</w:t>
      </w:r>
      <w:r w:rsidRPr="003D49EB">
        <w:rPr>
          <w:szCs w:val="20"/>
        </w:rPr>
        <w:t xml:space="preserve">, la Corte considera que el Estado es responsable por la violación del artículo 5.1 y 5.2 de la Convención, en conexión con el artículo 1.1 de la misma, en perjuicio del señor Wilson García </w:t>
      </w:r>
      <w:proofErr w:type="spellStart"/>
      <w:r w:rsidRPr="003D49EB">
        <w:rPr>
          <w:szCs w:val="20"/>
        </w:rPr>
        <w:t>Asto</w:t>
      </w:r>
      <w:proofErr w:type="spellEnd"/>
      <w:r w:rsidRPr="003D49EB">
        <w:rPr>
          <w:szCs w:val="20"/>
        </w:rPr>
        <w:t>.</w:t>
      </w:r>
    </w:p>
    <w:p w14:paraId="5C234504" w14:textId="397634A5" w:rsidR="00A64924" w:rsidRPr="003D49EB" w:rsidRDefault="005821EA" w:rsidP="00FE3840">
      <w:pPr>
        <w:pStyle w:val="Caso"/>
      </w:pPr>
      <w:r w:rsidRPr="003D49EB">
        <w:t>Corte IDH. Caso Espinoza Gonzáles Vs. Perú. Excepciones Preliminares, Fondo, Reparaciones y Costas. Sentencia de 20 de noviembre de 2014. Serie C No. 289.</w:t>
      </w:r>
    </w:p>
    <w:p w14:paraId="06CE6401" w14:textId="77777777" w:rsidR="00FE3840" w:rsidRPr="003D49EB" w:rsidRDefault="00FE3840" w:rsidP="00FE3840">
      <w:pPr>
        <w:pStyle w:val="Caso"/>
      </w:pPr>
    </w:p>
    <w:p w14:paraId="501B9EAB" w14:textId="77777777" w:rsidR="00A64924" w:rsidRPr="003D49EB" w:rsidRDefault="00A64924" w:rsidP="009A4683">
      <w:pPr>
        <w:spacing w:after="100" w:afterAutospacing="1"/>
        <w:rPr>
          <w:szCs w:val="20"/>
        </w:rPr>
      </w:pPr>
      <w:r w:rsidRPr="003D49EB">
        <w:rPr>
          <w:szCs w:val="20"/>
        </w:rPr>
        <w:t>186.</w:t>
      </w:r>
      <w:r w:rsidRPr="003D49EB">
        <w:rPr>
          <w:szCs w:val="20"/>
        </w:rPr>
        <w:tab/>
        <w:t xml:space="preserve">En tercer lugar, en cuanto a los hechos ocurridos en instalaciones de la DIVISE y la DINCOTE, en el Derecho Internacional de los Derechos Humanos se ha establecido que la incomunicación debe ser excepcional y que su uso durante la detención puede constituir un acto contrario a la dignidad humana, dado que puede generar una situación de extremo sufrimiento psicológico y moral para el detenido. En el mismo sentido, desde sus primeras sentencias la Corte Interamericana ha considerado que el aislamiento y la incomunicación prolongados representan, por sí mismos, formas de trato cruel e inhumano, lesivos de la integridad psíquica y moral de la persona y del derecho de todo detenido al respeto debido a la dignidad inherente al ser humano. Los Estados además deben garantizar que las personas privadas de la libertad puedan contactar a sus familiares. La Corte recuerda que la incomunicación es una medida excepcional para asegurar los resultados de una </w:t>
      </w:r>
      <w:r w:rsidRPr="003D49EB">
        <w:rPr>
          <w:szCs w:val="20"/>
        </w:rPr>
        <w:lastRenderedPageBreak/>
        <w:t>investigación y que solo puede aplicarse si es decretada de acuerdo con las condiciones establecidas de antemano por la ley.</w:t>
      </w:r>
    </w:p>
    <w:p w14:paraId="4EA2D565" w14:textId="77777777" w:rsidR="00A64924" w:rsidRPr="003D49EB" w:rsidRDefault="00A64924" w:rsidP="009A4683">
      <w:pPr>
        <w:spacing w:after="100" w:afterAutospacing="1"/>
        <w:rPr>
          <w:szCs w:val="20"/>
        </w:rPr>
      </w:pPr>
      <w:r w:rsidRPr="003D49EB">
        <w:rPr>
          <w:szCs w:val="20"/>
        </w:rPr>
        <w:t>187.</w:t>
      </w:r>
      <w:r w:rsidRPr="003D49EB">
        <w:rPr>
          <w:szCs w:val="20"/>
        </w:rPr>
        <w:tab/>
        <w:t>La Corte considera que el plazo de aproximadamente tres semanas sin que la señora Espinoza tuviera acceso a su familia constituyó un período prolongado de incomunicación. Por otro lado, la Corte ya estableció que la detención de la señora Espinoza Gonzáles fue ilegal […]. Al respecto, la Corte ha señalado que basta con que una detención ilegal haya durado breve tiempo para que se configure, dentro de los estándares del derecho internacional de los derechos humanos, una conculcación a la integridad psíquica y moral, y que cuando se presentan dichas circunstancias es posible inferir, aun cuando no mediaran otras evidencias al respecto, que el trato que la víctima recibió durante su incomunicación fue inhumano y degradante. Por tanto, dicho período de incomunicación constituyó una violación de los artículos 5.2 y 5.1 de la Convención Americana, en relación con el artículo 1.1 de la misma, en perjuicio de Gladys Espinoza.</w:t>
      </w:r>
    </w:p>
    <w:p w14:paraId="57E16446" w14:textId="3E1F7105" w:rsidR="00A64924" w:rsidRPr="003D49EB" w:rsidRDefault="00157701" w:rsidP="009A4683">
      <w:pPr>
        <w:spacing w:after="100" w:afterAutospacing="1"/>
        <w:rPr>
          <w:b/>
          <w:szCs w:val="20"/>
        </w:rPr>
      </w:pPr>
      <w:r w:rsidRPr="003D49EB">
        <w:rPr>
          <w:b/>
          <w:szCs w:val="20"/>
        </w:rPr>
        <w:t>Corte IDH. Caso Galindo Cárdenas y otros Vs. Perú. Excepciones Preliminares, Fondo, Reparaciones y Costas. Sentencia de 2 de octubre de 2015. Serie C No. 301</w:t>
      </w:r>
      <w:r w:rsidR="00A64924" w:rsidRPr="003D49EB">
        <w:rPr>
          <w:b/>
          <w:szCs w:val="20"/>
        </w:rPr>
        <w:t>.</w:t>
      </w:r>
      <w:r w:rsidRPr="003D49EB">
        <w:rPr>
          <w:rStyle w:val="Refdenotaalpie"/>
          <w:b/>
          <w:szCs w:val="20"/>
        </w:rPr>
        <w:footnoteReference w:id="50"/>
      </w:r>
      <w:r w:rsidR="00A64924" w:rsidRPr="003D49EB">
        <w:rPr>
          <w:b/>
          <w:szCs w:val="20"/>
        </w:rPr>
        <w:t xml:space="preserve"> </w:t>
      </w:r>
    </w:p>
    <w:p w14:paraId="7CD0B06F" w14:textId="77777777" w:rsidR="00754B67" w:rsidRPr="003D49EB" w:rsidRDefault="00754B67" w:rsidP="009A4683">
      <w:pPr>
        <w:spacing w:after="100" w:afterAutospacing="1"/>
        <w:rPr>
          <w:szCs w:val="20"/>
        </w:rPr>
      </w:pPr>
      <w:r w:rsidRPr="003D49EB">
        <w:rPr>
          <w:szCs w:val="20"/>
        </w:rPr>
        <w:t>242.</w:t>
      </w:r>
      <w:r w:rsidRPr="003D49EB">
        <w:rPr>
          <w:szCs w:val="20"/>
        </w:rPr>
        <w:tab/>
        <w:t>La Corte ha determinado en varios casos que la incomunicación puede generar una situación de extremo sufrimiento psicológico y moral para el detenido. No obstante, de acuerdo a los hechos del presente caso, no hay evidencia de que la incomunicación inicial que habría sufrido el señor Galindo generase tal tipo de sufrimiento. Luego del referido período inicial las señoras Irma Díaz de Galindo y María Luisa Galindo, pudieron visitarlo todos los días y suministrarle los alimentos y las prendas de vestir necesarias durante su permanencia en dicho lugar, lo cual fue confirmado por el propio señor Galindo durante su declaración rendida ante la Corte.</w:t>
      </w:r>
    </w:p>
    <w:p w14:paraId="6D0D9ED0" w14:textId="77777777" w:rsidR="00305729" w:rsidRPr="003D49EB" w:rsidRDefault="00754B67" w:rsidP="009A4683">
      <w:pPr>
        <w:spacing w:after="100" w:afterAutospacing="1"/>
        <w:rPr>
          <w:szCs w:val="20"/>
        </w:rPr>
      </w:pPr>
      <w:r w:rsidRPr="003D49EB">
        <w:rPr>
          <w:szCs w:val="20"/>
        </w:rPr>
        <w:t>243.</w:t>
      </w:r>
      <w:r w:rsidRPr="003D49EB">
        <w:rPr>
          <w:szCs w:val="20"/>
        </w:rPr>
        <w:tab/>
        <w:t>En la audiencia pública el señor Galindo manifestó que el espacio que ocupó durante su permanencia en la JECOTE “probablemente tendría unos tres por cuatro metros, doce metros”, en el cual había "un ropero de madera viejo y un mueble viejo de escritorio y una cama de metal”. Agregó que en “el ambiente [en que se encontraba] tenía un baño y contiguo [a este] había otro ambiente [y había] una puerta que [permanecía] cerrada[, p]</w:t>
      </w:r>
      <w:proofErr w:type="spellStart"/>
      <w:r w:rsidRPr="003D49EB">
        <w:rPr>
          <w:szCs w:val="20"/>
        </w:rPr>
        <w:t>orque</w:t>
      </w:r>
      <w:proofErr w:type="spellEnd"/>
      <w:r w:rsidRPr="003D49EB">
        <w:rPr>
          <w:szCs w:val="20"/>
        </w:rPr>
        <w:t xml:space="preserve"> la policía por razones de seguridad [los] mantenía incomunicados”. En consecuencia, de acuerdo a las circunstancias del presente caso, este Tribunal considera que el señor Galindo no se vio afectado en su </w:t>
      </w:r>
      <w:r w:rsidRPr="003D49EB">
        <w:rPr>
          <w:szCs w:val="20"/>
        </w:rPr>
        <w:lastRenderedPageBreak/>
        <w:t xml:space="preserve">integridad personal por las condiciones en que permaneció alojado en las instalaciones del cuartel militar de </w:t>
      </w:r>
      <w:proofErr w:type="spellStart"/>
      <w:r w:rsidRPr="003D49EB">
        <w:rPr>
          <w:szCs w:val="20"/>
        </w:rPr>
        <w:t>Yanac</w:t>
      </w:r>
      <w:proofErr w:type="spellEnd"/>
      <w:r w:rsidRPr="003D49EB">
        <w:rPr>
          <w:szCs w:val="20"/>
        </w:rPr>
        <w:t>.</w:t>
      </w:r>
    </w:p>
    <w:p w14:paraId="365C3B41" w14:textId="0DFE849A" w:rsidR="00C257FF" w:rsidRPr="003D49EB" w:rsidRDefault="00FE18EB" w:rsidP="009A4683">
      <w:pPr>
        <w:tabs>
          <w:tab w:val="left" w:pos="0"/>
        </w:tabs>
        <w:spacing w:after="100" w:afterAutospacing="1"/>
        <w:rPr>
          <w:b/>
          <w:bCs/>
          <w:sz w:val="18"/>
          <w:szCs w:val="18"/>
          <w:lang w:val="es-ES_tradnl"/>
        </w:rPr>
      </w:pPr>
      <w:r w:rsidRPr="003D49EB">
        <w:rPr>
          <w:b/>
          <w:bCs/>
          <w:sz w:val="18"/>
          <w:szCs w:val="18"/>
          <w:lang w:val="es-ES_tradnl"/>
        </w:rPr>
        <w:t xml:space="preserve">N. del E.: </w:t>
      </w:r>
      <w:r w:rsidR="00B23BED" w:rsidRPr="003D49EB">
        <w:rPr>
          <w:b/>
          <w:bCs/>
          <w:sz w:val="18"/>
          <w:szCs w:val="18"/>
          <w:lang w:val="es-ES_tradnl"/>
        </w:rPr>
        <w:t xml:space="preserve">Para ver </w:t>
      </w:r>
      <w:r w:rsidR="00305729" w:rsidRPr="003D49EB">
        <w:rPr>
          <w:b/>
          <w:bCs/>
          <w:sz w:val="18"/>
          <w:szCs w:val="18"/>
          <w:lang w:val="es-ES_tradnl"/>
        </w:rPr>
        <w:t>con mayor detalle los estándares establecidos por el Tribunal en materia de</w:t>
      </w:r>
      <w:r w:rsidR="00ED5598" w:rsidRPr="003D49EB">
        <w:rPr>
          <w:b/>
          <w:bCs/>
          <w:sz w:val="18"/>
          <w:szCs w:val="18"/>
          <w:lang w:val="es-ES_tradnl"/>
        </w:rPr>
        <w:t xml:space="preserve"> </w:t>
      </w:r>
      <w:r w:rsidR="00B23BED" w:rsidRPr="003D49EB">
        <w:rPr>
          <w:b/>
          <w:bCs/>
          <w:sz w:val="18"/>
          <w:szCs w:val="18"/>
          <w:lang w:val="es-ES_tradnl"/>
        </w:rPr>
        <w:t xml:space="preserve">aislamiento y la comunicación en personas privadas de libertad, </w:t>
      </w:r>
      <w:r w:rsidR="00305729" w:rsidRPr="003D49EB">
        <w:rPr>
          <w:b/>
          <w:bCs/>
          <w:sz w:val="18"/>
          <w:szCs w:val="18"/>
          <w:lang w:val="es-ES_tradnl"/>
        </w:rPr>
        <w:t xml:space="preserve">puede remitirse </w:t>
      </w:r>
      <w:r w:rsidR="00B23BED" w:rsidRPr="003D49EB">
        <w:rPr>
          <w:b/>
          <w:bCs/>
          <w:sz w:val="18"/>
          <w:szCs w:val="18"/>
          <w:lang w:val="es-ES_tradnl"/>
        </w:rPr>
        <w:t xml:space="preserve">al punto 4.2. del Cuadernillo de Jurisprudencia N°9 de la Corte IDH, sobre Incomunicación y medidas de aislamiento que afectan a personas privadas de libertad. </w:t>
      </w:r>
    </w:p>
    <w:p w14:paraId="3A91A1C9" w14:textId="1D97609A" w:rsidR="00EF65CE" w:rsidRDefault="006E4926" w:rsidP="00AB7BFF">
      <w:pPr>
        <w:pStyle w:val="Ttulo2"/>
        <w:rPr>
          <w:rFonts w:eastAsia="Calibri"/>
        </w:rPr>
      </w:pPr>
      <w:bookmarkStart w:id="41" w:name="_Toc530497984"/>
      <w:bookmarkStart w:id="42" w:name="_Toc88914984"/>
      <w:r w:rsidRPr="003D49EB">
        <w:rPr>
          <w:rFonts w:eastAsia="Calibri"/>
        </w:rPr>
        <w:t>Amenazas</w:t>
      </w:r>
      <w:r w:rsidR="002F43D4" w:rsidRPr="003D49EB">
        <w:rPr>
          <w:rFonts w:eastAsia="Calibri"/>
        </w:rPr>
        <w:t xml:space="preserve"> reales e inminentes</w:t>
      </w:r>
      <w:r w:rsidR="00DE07E4" w:rsidRPr="003D49EB">
        <w:rPr>
          <w:rFonts w:eastAsia="Calibri"/>
        </w:rPr>
        <w:t xml:space="preserve"> como una afectación del derecho a la integridad personal</w:t>
      </w:r>
      <w:bookmarkEnd w:id="41"/>
      <w:bookmarkEnd w:id="42"/>
    </w:p>
    <w:p w14:paraId="5361AFBD" w14:textId="77777777" w:rsidR="00AB7BFF" w:rsidRPr="00AB7BFF" w:rsidRDefault="00AB7BFF" w:rsidP="00AB7BFF">
      <w:pPr>
        <w:rPr>
          <w:lang w:val="es-CR"/>
        </w:rPr>
      </w:pPr>
    </w:p>
    <w:p w14:paraId="33F10995" w14:textId="77777777" w:rsidR="00033680" w:rsidRPr="00033680" w:rsidRDefault="00033680" w:rsidP="00033680">
      <w:pPr>
        <w:spacing w:after="100" w:afterAutospacing="1"/>
        <w:rPr>
          <w:b/>
          <w:sz w:val="15"/>
          <w:szCs w:val="15"/>
        </w:rPr>
      </w:pPr>
      <w:r w:rsidRPr="00033680">
        <w:rPr>
          <w:b/>
          <w:szCs w:val="15"/>
        </w:rPr>
        <w:t>Corte IDH. Caso "Instituto de Reeducación del Menor" Vs. Paraguay. Excepciones Preliminares, Fondo, Reparaciones y Costas. Sentencia de 2 de septiembre de 2004. Serie C No. 112.</w:t>
      </w:r>
      <w:r w:rsidRPr="00033680">
        <w:rPr>
          <w:b/>
          <w:sz w:val="15"/>
          <w:szCs w:val="15"/>
        </w:rPr>
        <w:t xml:space="preserve"> </w:t>
      </w:r>
    </w:p>
    <w:p w14:paraId="410962DC" w14:textId="77777777" w:rsidR="00033680" w:rsidRPr="003D49EB" w:rsidRDefault="00033680" w:rsidP="00033680">
      <w:pPr>
        <w:pStyle w:val="Textoindependiente21"/>
        <w:widowControl w:val="0"/>
        <w:spacing w:after="100" w:afterAutospacing="1" w:line="240" w:lineRule="auto"/>
      </w:pPr>
      <w:r w:rsidRPr="003D49EB">
        <w:t>167.</w:t>
      </w:r>
      <w:r w:rsidRPr="003D49EB">
        <w:tab/>
        <w:t xml:space="preserve">Asimismo, en el Instituto se utilizaba como método de castigo el aislamiento, los maltratos y las incomunicaciones, con el propósito de imponer disciplina sobre la población de internos […], método disciplinario prohibido por la Convención Americana. Si bien no ha quedado demostrado que todos los internos del Instituto lo sufrieron, esta Corte ha sostenido que la mera amenaza de una conducta prohibida por el artículo 5 de la Convención Americana, cuando sea suficientemente real e inminente, puede en sí misma estar en conflicto con la norma de que se trata. En otras palabras, crear una situación amenazadora o amenazar a un individuo con torturarlo puede constituir, al menos en algunas circunstancias, un tratamiento inhumano. En el caso </w:t>
      </w:r>
      <w:r w:rsidRPr="003D49EB">
        <w:rPr>
          <w:i/>
        </w:rPr>
        <w:t>sub judice</w:t>
      </w:r>
      <w:r w:rsidRPr="003D49EB">
        <w:t>, la amenaza de dichos castigos era real e inminente, creando un clima de permanente tensión y violencia que afectó el derecho a una vida digna de los internos.</w:t>
      </w:r>
    </w:p>
    <w:p w14:paraId="14B9C437" w14:textId="07796A98" w:rsidR="006E4926" w:rsidRPr="003D49EB" w:rsidRDefault="003D49EB" w:rsidP="009A4683">
      <w:pPr>
        <w:spacing w:after="100" w:afterAutospacing="1"/>
        <w:rPr>
          <w:b/>
          <w:szCs w:val="20"/>
        </w:rPr>
      </w:pPr>
      <w:r w:rsidRPr="003D49EB">
        <w:rPr>
          <w:b/>
          <w:szCs w:val="20"/>
        </w:rPr>
        <w:t>Corte IDH. Caso Valle Jaramillo y otros Vs. Colombia. Fondo, Reparaciones y Costas. Sentencia de 27 de noviembre de 2008. Serie C No. 192.</w:t>
      </w:r>
      <w:r>
        <w:rPr>
          <w:rStyle w:val="Refdenotaalpie"/>
          <w:b/>
          <w:szCs w:val="20"/>
        </w:rPr>
        <w:footnoteReference w:id="51"/>
      </w:r>
    </w:p>
    <w:p w14:paraId="35A93B09" w14:textId="3849DC0B" w:rsidR="00143090" w:rsidRPr="003D49EB" w:rsidRDefault="00ED5598" w:rsidP="009A4683">
      <w:pPr>
        <w:spacing w:after="100" w:afterAutospacing="1"/>
        <w:rPr>
          <w:b/>
          <w:i/>
          <w:szCs w:val="20"/>
        </w:rPr>
      </w:pPr>
      <w:r w:rsidRPr="003D49EB">
        <w:rPr>
          <w:rFonts w:eastAsia="Calibri"/>
          <w:szCs w:val="20"/>
          <w:lang w:val="es-ES_tradnl"/>
        </w:rPr>
        <w:t xml:space="preserve">108. </w:t>
      </w:r>
      <w:r w:rsidRPr="003D49EB">
        <w:rPr>
          <w:rFonts w:eastAsia="Calibri"/>
          <w:szCs w:val="20"/>
          <w:lang w:val="es-ES_tradnl"/>
        </w:rPr>
        <w:tab/>
        <w:t>[…] la Corte ha sostenido que la mera amenaza de que ocurra una conducta prohibida por el artículo 5 de la Convención, cuando sea suficientemente real e inminente, puede en sí misma estar en conflicto con el derecho a la integridad personal. En otras palabras, crear una situación amenazante o amenazar a un individuo con quitarle la vida puede constituir, en algunas circunstancias, al menos, tratamiento inhumano.</w:t>
      </w:r>
      <w:r w:rsidR="006E4926" w:rsidRPr="003D49EB">
        <w:rPr>
          <w:rFonts w:eastAsia="Calibri"/>
          <w:szCs w:val="20"/>
          <w:lang w:val="es-ES_tradnl"/>
        </w:rPr>
        <w:t xml:space="preserve"> </w:t>
      </w:r>
      <w:r w:rsidR="006E5C73">
        <w:rPr>
          <w:rStyle w:val="EnelmismoCar"/>
          <w:rFonts w:eastAsia="Calibri"/>
        </w:rPr>
        <w:t>En similar sentido, ver entre otros</w:t>
      </w:r>
      <w:r w:rsidR="006E4926" w:rsidRPr="003D49EB">
        <w:rPr>
          <w:rStyle w:val="EnelmismoCar"/>
          <w:rFonts w:eastAsia="Calibri"/>
        </w:rPr>
        <w:t xml:space="preserve">: </w:t>
      </w:r>
      <w:r w:rsidRPr="003D49EB">
        <w:rPr>
          <w:rStyle w:val="EnelmismoCar"/>
        </w:rPr>
        <w:t xml:space="preserve">Caso “Niños de la Calle” (Villagrán Morales y otros) vs. Guatemala. Sentencia de 19 de Noviembre de 1999, párr. 165. </w:t>
      </w:r>
      <w:r w:rsidR="006E4926" w:rsidRPr="003D49EB">
        <w:rPr>
          <w:rStyle w:val="EnelmismoCar"/>
        </w:rPr>
        <w:t xml:space="preserve">Caso 19 comerciantes vs. Colombia. Sentencia de 5 de </w:t>
      </w:r>
      <w:r w:rsidR="006F7697" w:rsidRPr="003D49EB">
        <w:rPr>
          <w:rStyle w:val="EnelmismoCar"/>
        </w:rPr>
        <w:t>julio de 2004</w:t>
      </w:r>
      <w:r w:rsidR="006E4926" w:rsidRPr="003D49EB">
        <w:rPr>
          <w:rStyle w:val="EnelmismoCar"/>
        </w:rPr>
        <w:t>, párr. 149.</w:t>
      </w:r>
      <w:r w:rsidR="002F43D4" w:rsidRPr="003D49EB">
        <w:rPr>
          <w:rStyle w:val="EnelmismoCar"/>
        </w:rPr>
        <w:t xml:space="preserve"> </w:t>
      </w:r>
    </w:p>
    <w:p w14:paraId="5390407D" w14:textId="77777777" w:rsidR="00D61829" w:rsidRPr="003D49EB" w:rsidRDefault="00D61829" w:rsidP="009A4683">
      <w:pPr>
        <w:widowControl w:val="0"/>
        <w:autoSpaceDE w:val="0"/>
        <w:autoSpaceDN w:val="0"/>
        <w:adjustRightInd w:val="0"/>
        <w:spacing w:after="100" w:afterAutospacing="1"/>
        <w:rPr>
          <w:szCs w:val="20"/>
        </w:rPr>
      </w:pPr>
      <w:r w:rsidRPr="003D49EB">
        <w:rPr>
          <w:szCs w:val="20"/>
        </w:rPr>
        <w:t>109.</w:t>
      </w:r>
      <w:r w:rsidRPr="003D49EB">
        <w:rPr>
          <w:szCs w:val="20"/>
        </w:rPr>
        <w:tab/>
        <w:t xml:space="preserve">La amenaza en perjuicio de la señora Valle Jaramillo y del señor Jaramillo Correa es evidente en el presente caso y se manifiesta en su forma más extrema, al ser ésta una amenaza directa de muerte. Tanto Nelly Valle como Carlos Fernando Jaramillo fueron amarrados y expuestos a una situación agonizante y amenazante, que en efecto culminó con la muerte de la tercera persona que se encontraba </w:t>
      </w:r>
      <w:r w:rsidRPr="003D49EB">
        <w:rPr>
          <w:szCs w:val="20"/>
        </w:rPr>
        <w:lastRenderedPageBreak/>
        <w:t>igualmente retenida junto a ellos. El trato que recibieron ambos fue agresivo y violento.</w:t>
      </w:r>
      <w:r w:rsidR="008B18CE" w:rsidRPr="003D49EB">
        <w:rPr>
          <w:szCs w:val="20"/>
        </w:rPr>
        <w:t xml:space="preserve"> </w:t>
      </w:r>
      <w:r w:rsidRPr="003D49EB">
        <w:rPr>
          <w:szCs w:val="20"/>
        </w:rPr>
        <w:t>Además, la ejecución extrajudicial del señor Valle Jaramillo permite inferir que la señora Valle Jaramillo y el señor Jaramillo Correa pudieron temer y prever que serían privados de su vida de manera arbitraria y violenta, lo cual constituyó una violación de su integridad personal.</w:t>
      </w:r>
    </w:p>
    <w:p w14:paraId="6006D360" w14:textId="47199C9F" w:rsidR="00432815" w:rsidRPr="00033680" w:rsidRDefault="00667E3D" w:rsidP="009A4683">
      <w:pPr>
        <w:spacing w:after="100" w:afterAutospacing="1"/>
        <w:rPr>
          <w:b/>
          <w:szCs w:val="20"/>
        </w:rPr>
      </w:pPr>
      <w:r w:rsidRPr="00033680">
        <w:rPr>
          <w:b/>
          <w:szCs w:val="20"/>
        </w:rPr>
        <w:t>Corte IDH. Caso Familia Barrios Vs. Venezuela. Fondo, Reparaciones y Costas. Sentencia de 24 de noviembre de 2011. Serie C No. 237.</w:t>
      </w:r>
      <w:r w:rsidR="00432815" w:rsidRPr="00033680">
        <w:rPr>
          <w:b/>
          <w:szCs w:val="20"/>
        </w:rPr>
        <w:t xml:space="preserve"> </w:t>
      </w:r>
    </w:p>
    <w:p w14:paraId="00E7ED29" w14:textId="3C9A47B2" w:rsidR="00432815" w:rsidRPr="00033680" w:rsidRDefault="00432815" w:rsidP="00033680">
      <w:pPr>
        <w:rPr>
          <w:szCs w:val="20"/>
        </w:rPr>
      </w:pPr>
      <w:r w:rsidRPr="00033680">
        <w:rPr>
          <w:szCs w:val="20"/>
        </w:rPr>
        <w:t>82.</w:t>
      </w:r>
      <w:r w:rsidRPr="00033680">
        <w:rPr>
          <w:szCs w:val="20"/>
        </w:rPr>
        <w:tab/>
        <w:t>La Corte ha sostenido que la mera amenaza de que ocurra una conducta prohibida por el artículo 5 de la Convención, cuando sea suficientemente real e inminente, puede en sí misma estar en conflicto con el derecho a la integridad personal. Asimismo,</w:t>
      </w:r>
      <w:r w:rsidRPr="00033680">
        <w:rPr>
          <w:b/>
          <w:szCs w:val="20"/>
        </w:rPr>
        <w:t xml:space="preserve"> </w:t>
      </w:r>
      <w:r w:rsidRPr="00033680">
        <w:rPr>
          <w:szCs w:val="20"/>
        </w:rPr>
        <w:t>crear una situación amenazante o amenazar a un individuo con quitarle la vida puede constituir, en algunas circunstancias, al menos, tratamiento inhumano.</w:t>
      </w:r>
      <w:r w:rsidRPr="00033680">
        <w:rPr>
          <w:b/>
          <w:szCs w:val="20"/>
        </w:rPr>
        <w:t xml:space="preserve"> </w:t>
      </w:r>
      <w:r w:rsidRPr="00033680">
        <w:rPr>
          <w:szCs w:val="20"/>
        </w:rPr>
        <w:t>En el presente caso, al momento de la ocurrencia de estos hechos, dos integrantes de la familia Barrios ya habían sido privados de la vida por funcionarios policiales […], de manera que las amenazas con armas de fuego contra la vida de los niños y las agresiones mientras estaban privados de libertad necesariamente les provocó sentimientos profundos de angustia y vulnerabilidad, lo cual constituyó una violación a la integridad personal</w:t>
      </w:r>
      <w:r w:rsidR="00C33713" w:rsidRPr="00033680">
        <w:rPr>
          <w:szCs w:val="20"/>
        </w:rPr>
        <w:t xml:space="preserve">. </w:t>
      </w:r>
    </w:p>
    <w:p w14:paraId="05BD3988" w14:textId="77777777" w:rsidR="00667E3D" w:rsidRPr="003D49EB" w:rsidRDefault="00667E3D" w:rsidP="00667E3D"/>
    <w:p w14:paraId="18E06B26" w14:textId="3B4189F0" w:rsidR="00667E3D" w:rsidRPr="00033680" w:rsidRDefault="00432815" w:rsidP="00033680">
      <w:pPr>
        <w:rPr>
          <w:spacing w:val="-2"/>
          <w:szCs w:val="20"/>
        </w:rPr>
      </w:pPr>
      <w:r w:rsidRPr="00033680">
        <w:rPr>
          <w:szCs w:val="20"/>
        </w:rPr>
        <w:t>83.</w:t>
      </w:r>
      <w:r w:rsidRPr="00033680">
        <w:rPr>
          <w:szCs w:val="20"/>
        </w:rPr>
        <w:tab/>
        <w:t xml:space="preserve">Por otra parte, el Tribunal observa que el 19 de junio de 2004 los funcionarios policiales no solamente agredieron a los señores Ravelo y a la señora Luisa del Carmen Barrios, sino que además los amenazaron con otras agresiones y uno de ellos disparó su arma cerca de los mismos […]. Dichas agresiones y amenazas representan conductas que afectan el derecho a la integridad personal y que son prohibidas por el artículo 5 de la Convención. […] </w:t>
      </w:r>
      <w:r w:rsidRPr="00033680">
        <w:rPr>
          <w:spacing w:val="-2"/>
          <w:szCs w:val="20"/>
        </w:rPr>
        <w:t xml:space="preserve">De la información disponible, el Tribunal concluye que la amenaza con arma de fuego y las agresiones mientras estaban detenidos, necesariamente provocaron sentimientos de angustia y vulnerabilidad a los señores Ravelo y a las señoras Luisa del Carmen Barrios y </w:t>
      </w:r>
      <w:proofErr w:type="spellStart"/>
      <w:r w:rsidRPr="00033680">
        <w:rPr>
          <w:spacing w:val="-2"/>
          <w:szCs w:val="20"/>
        </w:rPr>
        <w:t>Elbira</w:t>
      </w:r>
      <w:proofErr w:type="spellEnd"/>
      <w:r w:rsidRPr="00033680">
        <w:rPr>
          <w:spacing w:val="-2"/>
          <w:szCs w:val="20"/>
        </w:rPr>
        <w:t xml:space="preserve"> Barrios, lo cual constituye una violación al der</w:t>
      </w:r>
      <w:r w:rsidR="00C33713" w:rsidRPr="00033680">
        <w:rPr>
          <w:spacing w:val="-2"/>
          <w:szCs w:val="20"/>
        </w:rPr>
        <w:t xml:space="preserve">echo a su integridad personal. </w:t>
      </w:r>
    </w:p>
    <w:p w14:paraId="5C558371" w14:textId="77777777" w:rsidR="00667E3D" w:rsidRPr="003D49EB" w:rsidRDefault="00667E3D" w:rsidP="00667E3D">
      <w:pPr>
        <w:rPr>
          <w:spacing w:val="-2"/>
        </w:rPr>
      </w:pPr>
    </w:p>
    <w:p w14:paraId="7E3590C7" w14:textId="4FA05167" w:rsidR="00864652" w:rsidRPr="003D49EB" w:rsidRDefault="00781ACD" w:rsidP="009A4683">
      <w:pPr>
        <w:pStyle w:val="Textonotaalfinal"/>
        <w:widowControl w:val="0"/>
        <w:tabs>
          <w:tab w:val="left" w:pos="810"/>
          <w:tab w:val="left" w:pos="1440"/>
          <w:tab w:val="left" w:pos="2160"/>
          <w:tab w:val="left" w:pos="2880"/>
          <w:tab w:val="left" w:pos="3600"/>
          <w:tab w:val="left" w:pos="4320"/>
          <w:tab w:val="left" w:pos="5760"/>
          <w:tab w:val="left" w:pos="6480"/>
          <w:tab w:val="left" w:pos="7200"/>
          <w:tab w:val="left" w:pos="7920"/>
        </w:tabs>
        <w:spacing w:after="100" w:afterAutospacing="1"/>
        <w:rPr>
          <w:rFonts w:eastAsiaTheme="minorHAnsi" w:cstheme="minorBidi"/>
          <w:b/>
          <w:bCs/>
          <w:shd w:val="clear" w:color="auto" w:fill="FFFFFF"/>
          <w:lang w:val="es-CL"/>
        </w:rPr>
      </w:pPr>
      <w:r w:rsidRPr="003D49EB">
        <w:rPr>
          <w:rFonts w:eastAsiaTheme="minorHAnsi" w:cstheme="minorBidi"/>
          <w:b/>
          <w:bCs/>
          <w:shd w:val="clear" w:color="auto" w:fill="FFFFFF"/>
          <w:lang w:val="es-CL"/>
        </w:rPr>
        <w:t>Corte IDH. Caso Vélez Restrepo y familiares Vs. Colombia. Excepción Preliminar, Fondo, Reparaciones y Costas. Sentencia de 3 de septiembre de 2012. Serie C No. 248</w:t>
      </w:r>
      <w:r w:rsidR="006F7697" w:rsidRPr="003D49EB">
        <w:rPr>
          <w:rFonts w:eastAsiaTheme="minorHAnsi" w:cstheme="minorBidi"/>
          <w:b/>
          <w:bCs/>
          <w:shd w:val="clear" w:color="auto" w:fill="FFFFFF"/>
          <w:lang w:val="es-CL"/>
        </w:rPr>
        <w:t>.</w:t>
      </w:r>
    </w:p>
    <w:p w14:paraId="68002B2F" w14:textId="77777777" w:rsidR="00864652" w:rsidRPr="003D49EB" w:rsidRDefault="00864652" w:rsidP="009A4683">
      <w:pPr>
        <w:pStyle w:val="Prrafodelista2"/>
        <w:tabs>
          <w:tab w:val="left" w:pos="720"/>
          <w:tab w:val="num" w:pos="1427"/>
        </w:tabs>
        <w:spacing w:after="100" w:afterAutospacing="1"/>
        <w:ind w:left="0"/>
        <w:contextualSpacing/>
        <w:rPr>
          <w:lang w:val="es-CR"/>
        </w:rPr>
      </w:pPr>
      <w:r w:rsidRPr="003D49EB">
        <w:rPr>
          <w:lang w:val="es-CR"/>
        </w:rPr>
        <w:t>178.</w:t>
      </w:r>
      <w:r w:rsidRPr="003D49EB">
        <w:rPr>
          <w:lang w:val="es-CR"/>
        </w:rPr>
        <w:tab/>
        <w:t xml:space="preserve">De acuerdo con las declaraciones del señor Vélez Restrepo y la señora Román </w:t>
      </w:r>
      <w:proofErr w:type="spellStart"/>
      <w:r w:rsidRPr="003D49EB">
        <w:rPr>
          <w:lang w:val="es-CR"/>
        </w:rPr>
        <w:t>Amariles</w:t>
      </w:r>
      <w:proofErr w:type="spellEnd"/>
      <w:r w:rsidRPr="003D49EB">
        <w:rPr>
          <w:lang w:val="es-CR"/>
        </w:rPr>
        <w:t xml:space="preserve"> y el peritaje de la psiquiatra </w:t>
      </w:r>
      <w:proofErr w:type="spellStart"/>
      <w:r w:rsidRPr="003D49EB">
        <w:rPr>
          <w:lang w:val="es-CR"/>
        </w:rPr>
        <w:t>Kessler</w:t>
      </w:r>
      <w:proofErr w:type="spellEnd"/>
      <w:r w:rsidRPr="003D49EB">
        <w:rPr>
          <w:lang w:val="es-CR"/>
        </w:rPr>
        <w:t xml:space="preserve"> rendidos ante esta Corte, ha sido probado que los referidos hechos de amenazas y hostigamientos ocurridos entre septiembre de 1996 y febrero de 1997 y reiterados en septiembre y principios de octubre de 1997, así como el intento de privación a la libertad ocurrido el 6 de octubre de 1997, produjeron temor y tensión constante y una “angustia agobiante” en los miembros de la familia Vélez Román en detrimento de su integridad psíquica. </w:t>
      </w:r>
      <w:r w:rsidRPr="003D49EB">
        <w:t xml:space="preserve">Es preciso resaltar que aunque la mayor parte de las amenazas iban dirigidas al señor Vélez Restrepo, la señora Román </w:t>
      </w:r>
      <w:proofErr w:type="spellStart"/>
      <w:r w:rsidRPr="003D49EB">
        <w:t>Amariles</w:t>
      </w:r>
      <w:proofErr w:type="spellEnd"/>
      <w:r w:rsidRPr="003D49EB">
        <w:t xml:space="preserve"> fue quien tuvo que enfrentar la difícil situación de atender múltiples llamadas telefónicas amenazantes hacia su esposo, en algunas de las cuales también se referían a su hijo Mateo o a toda la familia. </w:t>
      </w:r>
      <w:r w:rsidRPr="003D49EB">
        <w:rPr>
          <w:lang w:val="es-CR"/>
        </w:rPr>
        <w:t xml:space="preserve">De acuerdo a las declaraciones del señor Vélez Restrepo y de la señora Román </w:t>
      </w:r>
      <w:proofErr w:type="spellStart"/>
      <w:r w:rsidRPr="003D49EB">
        <w:rPr>
          <w:lang w:val="es-CR"/>
        </w:rPr>
        <w:t>Amariles</w:t>
      </w:r>
      <w:proofErr w:type="spellEnd"/>
      <w:r w:rsidRPr="003D49EB">
        <w:rPr>
          <w:lang w:val="es-CR"/>
        </w:rPr>
        <w:t xml:space="preserve">, así como al peritaje de la psiquiatra </w:t>
      </w:r>
      <w:proofErr w:type="spellStart"/>
      <w:r w:rsidRPr="003D49EB">
        <w:rPr>
          <w:lang w:val="es-CR"/>
        </w:rPr>
        <w:t>Kessler</w:t>
      </w:r>
      <w:proofErr w:type="spellEnd"/>
      <w:r w:rsidRPr="003D49EB">
        <w:rPr>
          <w:lang w:val="es-CR"/>
        </w:rPr>
        <w:t>, durante los períodos de amenazas constantes esta última y sus hijos Mateo y Juliana tuvieron que vivir “</w:t>
      </w:r>
      <w:r w:rsidRPr="003D49EB">
        <w:t xml:space="preserve">encerrados en la casa” y Mateo sentía el miedo constante con que vivía su madre. Además, el señor Vélez Restrepo y la señora Román </w:t>
      </w:r>
      <w:proofErr w:type="spellStart"/>
      <w:r w:rsidRPr="003D49EB">
        <w:t>Amariles</w:t>
      </w:r>
      <w:proofErr w:type="spellEnd"/>
      <w:r w:rsidRPr="003D49EB">
        <w:t xml:space="preserve"> tuvieron que tomar medidas de autoprotección, como lo fue cambiarse de casa y cambiar a su hijo Mateo del centro educativo al cual asistía, con todas las consecuencias emocionales que ello implica. Aunado a ello, </w:t>
      </w:r>
      <w:r w:rsidRPr="003D49EB">
        <w:rPr>
          <w:lang w:val="es-CR"/>
        </w:rPr>
        <w:t>e</w:t>
      </w:r>
      <w:r w:rsidRPr="003D49EB">
        <w:t>l señor Vélez Restrepo presentaba problemas para dormir y tenía pesadillas, lo cual consecuentemente afectaba a su cónyuge. L</w:t>
      </w:r>
      <w:r w:rsidRPr="003D49EB">
        <w:rPr>
          <w:lang w:val="es-CR"/>
        </w:rPr>
        <w:t xml:space="preserve">a señora Román </w:t>
      </w:r>
      <w:proofErr w:type="spellStart"/>
      <w:r w:rsidRPr="003D49EB">
        <w:rPr>
          <w:lang w:val="es-CR"/>
        </w:rPr>
        <w:lastRenderedPageBreak/>
        <w:t>Amariles</w:t>
      </w:r>
      <w:proofErr w:type="spellEnd"/>
      <w:r w:rsidRPr="003D49EB">
        <w:t xml:space="preserve"> expresó ante la Corte que toda esta situación afectó también su “vida de pareja”, y que la familia tuvo que buscar ayuda psicológica. El señor Vélez Restrepo, la señora Román </w:t>
      </w:r>
      <w:proofErr w:type="spellStart"/>
      <w:r w:rsidRPr="003D49EB">
        <w:t>Amariles</w:t>
      </w:r>
      <w:proofErr w:type="spellEnd"/>
      <w:r w:rsidRPr="003D49EB">
        <w:t xml:space="preserve"> y su hijo Mateo recibieron tratamiento psicológico durante ocho meses a partir del 10 de septiembre de 1996. </w:t>
      </w:r>
    </w:p>
    <w:p w14:paraId="6985A4E1" w14:textId="77777777" w:rsidR="00864652" w:rsidRPr="003D49EB" w:rsidRDefault="00864652" w:rsidP="009A4683">
      <w:pPr>
        <w:pStyle w:val="Prrafodelista2"/>
        <w:tabs>
          <w:tab w:val="left" w:pos="720"/>
        </w:tabs>
        <w:spacing w:after="100" w:afterAutospacing="1"/>
        <w:ind w:left="0"/>
        <w:contextualSpacing/>
        <w:rPr>
          <w:lang w:val="es-CR"/>
        </w:rPr>
      </w:pPr>
    </w:p>
    <w:p w14:paraId="471340C7" w14:textId="77777777" w:rsidR="00B21408" w:rsidRPr="003D49EB" w:rsidRDefault="00864652" w:rsidP="009A4683">
      <w:pPr>
        <w:pStyle w:val="Prrafodelista2"/>
        <w:tabs>
          <w:tab w:val="left" w:pos="720"/>
          <w:tab w:val="num" w:pos="1427"/>
        </w:tabs>
        <w:spacing w:after="100" w:afterAutospacing="1"/>
        <w:ind w:left="0"/>
        <w:contextualSpacing/>
      </w:pPr>
      <w:r w:rsidRPr="003D49EB">
        <w:rPr>
          <w:lang w:val="es-CR"/>
        </w:rPr>
        <w:t>179.</w:t>
      </w:r>
      <w:r w:rsidRPr="003D49EB">
        <w:rPr>
          <w:lang w:val="es-CR"/>
        </w:rPr>
        <w:tab/>
        <w:t xml:space="preserve">Asimismo, en sus declaraciones rendidas ante esta Corte, el señor Vélez Restrepo y la señora Román </w:t>
      </w:r>
      <w:proofErr w:type="spellStart"/>
      <w:r w:rsidRPr="003D49EB">
        <w:rPr>
          <w:lang w:val="es-CR"/>
        </w:rPr>
        <w:t>Amariles</w:t>
      </w:r>
      <w:proofErr w:type="spellEnd"/>
      <w:r w:rsidRPr="003D49EB">
        <w:rPr>
          <w:lang w:val="es-CR"/>
        </w:rPr>
        <w:t xml:space="preserve"> expresaron el gran temor, angustia y conmoción familiar que significó para ellos y para sus hijos Mateo y Juliana los hechos del 6 de octubre de 1997, cuando el señor Vélez Restrepo logró escapar de las personas que trataron de privarlo de su libertad y llegó gritando a su casa que lo querían matar. Explicaron que por la gravedad de la situación tuvieron que dejar la casa en que vivían y sus pertenencias y </w:t>
      </w:r>
      <w:r w:rsidRPr="003D49EB">
        <w:t xml:space="preserve">durante los tres días siguientes tuvieron que quedarse en diferentes lugares. </w:t>
      </w:r>
    </w:p>
    <w:p w14:paraId="48A8E17E" w14:textId="77777777" w:rsidR="00864652" w:rsidRPr="003D49EB" w:rsidRDefault="00864652" w:rsidP="009A4683">
      <w:pPr>
        <w:pStyle w:val="Prrafodelista2"/>
        <w:tabs>
          <w:tab w:val="left" w:pos="720"/>
          <w:tab w:val="num" w:pos="1427"/>
        </w:tabs>
        <w:spacing w:after="100" w:afterAutospacing="1"/>
        <w:ind w:left="0"/>
        <w:contextualSpacing/>
      </w:pPr>
    </w:p>
    <w:p w14:paraId="11DF7864" w14:textId="77777777" w:rsidR="00864652" w:rsidRPr="003D49EB" w:rsidRDefault="00864652" w:rsidP="009A4683">
      <w:pPr>
        <w:pStyle w:val="Prrafodelista2"/>
        <w:tabs>
          <w:tab w:val="left" w:pos="720"/>
          <w:tab w:val="num" w:pos="1427"/>
        </w:tabs>
        <w:spacing w:after="100" w:afterAutospacing="1"/>
        <w:ind w:left="0"/>
        <w:contextualSpacing/>
      </w:pPr>
      <w:r w:rsidRPr="003D49EB">
        <w:rPr>
          <w:rFonts w:eastAsia="Calibri"/>
          <w:lang w:val="es-AR"/>
        </w:rPr>
        <w:t>180.</w:t>
      </w:r>
      <w:r w:rsidRPr="003D49EB">
        <w:rPr>
          <w:rFonts w:eastAsia="Calibri"/>
          <w:lang w:val="es-AR"/>
        </w:rPr>
        <w:tab/>
        <w:t xml:space="preserve">Para pronunciarse sobre la violación a la integridad personal, la Corte valora que el peritaje de la psiquíatra </w:t>
      </w:r>
      <w:proofErr w:type="spellStart"/>
      <w:r w:rsidRPr="003D49EB">
        <w:rPr>
          <w:rFonts w:eastAsia="Calibri"/>
          <w:lang w:val="es-AR"/>
        </w:rPr>
        <w:t>Kessler</w:t>
      </w:r>
      <w:proofErr w:type="spellEnd"/>
      <w:r w:rsidRPr="003D49EB">
        <w:rPr>
          <w:rFonts w:eastAsia="Calibri"/>
          <w:lang w:val="es-AR"/>
        </w:rPr>
        <w:t xml:space="preserve"> </w:t>
      </w:r>
      <w:r w:rsidRPr="003D49EB">
        <w:t xml:space="preserve">efectuado entre noviembre de 2011 y enero de 2012 </w:t>
      </w:r>
      <w:r w:rsidRPr="003D49EB">
        <w:rPr>
          <w:rFonts w:eastAsia="Calibri"/>
          <w:lang w:val="es-AR"/>
        </w:rPr>
        <w:t xml:space="preserve">diagnosticó que el señor Vélez Restrepo, la señora Román </w:t>
      </w:r>
      <w:proofErr w:type="spellStart"/>
      <w:r w:rsidRPr="003D49EB">
        <w:rPr>
          <w:rFonts w:eastAsia="Calibri"/>
          <w:lang w:val="es-AR"/>
        </w:rPr>
        <w:t>Amariles</w:t>
      </w:r>
      <w:proofErr w:type="spellEnd"/>
      <w:r w:rsidRPr="003D49EB">
        <w:rPr>
          <w:rFonts w:eastAsia="Calibri"/>
          <w:lang w:val="es-AR"/>
        </w:rPr>
        <w:t xml:space="preserve"> y su hijo Mateo Vélez Román sufren </w:t>
      </w:r>
      <w:r w:rsidRPr="003D49EB">
        <w:t xml:space="preserve">de trastorno crónico por estrés postraumático y depresión mayor y que Juliana sufre de depresión crónica leve, lo cual se debe tanto a los hechos de agresión contra el señor Vélez el 29 de agosto de 1996, a las amenazas, intimidaciones e intento de privación de libertad, pero también se relaciona en gran medida con las consecuencias de haber tenido que salir de Colombia a vivir a los Estados Unidos de América en condición de asilados. </w:t>
      </w:r>
    </w:p>
    <w:p w14:paraId="451A5118" w14:textId="77777777" w:rsidR="002E5869" w:rsidRPr="003D49EB" w:rsidRDefault="002E5869" w:rsidP="009A4683">
      <w:pPr>
        <w:pStyle w:val="Prrafodelista2"/>
        <w:tabs>
          <w:tab w:val="left" w:pos="720"/>
          <w:tab w:val="num" w:pos="1427"/>
        </w:tabs>
        <w:spacing w:after="100" w:afterAutospacing="1"/>
        <w:ind w:left="0"/>
        <w:contextualSpacing/>
      </w:pPr>
    </w:p>
    <w:p w14:paraId="01474E10" w14:textId="2F940ACE" w:rsidR="002E5869" w:rsidRPr="003D49EB" w:rsidRDefault="0044235D" w:rsidP="003A3C4C">
      <w:pPr>
        <w:pStyle w:val="Prrafodelista2"/>
        <w:tabs>
          <w:tab w:val="left" w:pos="720"/>
          <w:tab w:val="num" w:pos="1427"/>
        </w:tabs>
        <w:spacing w:after="100" w:afterAutospacing="1"/>
        <w:ind w:left="0"/>
        <w:contextualSpacing/>
        <w:rPr>
          <w:b/>
          <w:lang w:val="es-CR"/>
        </w:rPr>
      </w:pPr>
      <w:r w:rsidRPr="003D49EB">
        <w:rPr>
          <w:b/>
          <w:lang w:val="es-CR"/>
        </w:rPr>
        <w:t xml:space="preserve">Corte IDH. Caso Pueblo Indígena </w:t>
      </w:r>
      <w:proofErr w:type="spellStart"/>
      <w:r w:rsidRPr="003D49EB">
        <w:rPr>
          <w:b/>
          <w:lang w:val="es-CR"/>
        </w:rPr>
        <w:t>Xucuru</w:t>
      </w:r>
      <w:proofErr w:type="spellEnd"/>
      <w:r w:rsidRPr="003D49EB">
        <w:rPr>
          <w:b/>
          <w:lang w:val="es-CR"/>
        </w:rPr>
        <w:t xml:space="preserve"> y sus miembros Vs. Brasil. Excepciones Preliminares, Fondo, Reparaciones y Costas. Sentencia de 5 de febrero de 2018. Serie C No. 346.</w:t>
      </w:r>
    </w:p>
    <w:p w14:paraId="5D6F3DE7" w14:textId="77777777" w:rsidR="0044235D" w:rsidRPr="003D49EB" w:rsidRDefault="0044235D" w:rsidP="009A4683">
      <w:pPr>
        <w:pStyle w:val="Prrafodelista2"/>
        <w:tabs>
          <w:tab w:val="left" w:pos="720"/>
          <w:tab w:val="num" w:pos="1427"/>
        </w:tabs>
        <w:spacing w:after="100" w:afterAutospacing="1"/>
        <w:ind w:left="0"/>
        <w:contextualSpacing/>
        <w:rPr>
          <w:lang w:val="es-CR"/>
        </w:rPr>
      </w:pPr>
    </w:p>
    <w:p w14:paraId="278A6BC5" w14:textId="1614DB59" w:rsidR="002E5869" w:rsidRPr="003D49EB" w:rsidRDefault="002E5869" w:rsidP="009A4683">
      <w:pPr>
        <w:pStyle w:val="Prrafodelista2"/>
        <w:tabs>
          <w:tab w:val="left" w:pos="720"/>
          <w:tab w:val="num" w:pos="1427"/>
        </w:tabs>
        <w:spacing w:after="100" w:afterAutospacing="1"/>
        <w:ind w:left="0"/>
        <w:contextualSpacing/>
        <w:rPr>
          <w:lang w:val="es-CR"/>
        </w:rPr>
      </w:pPr>
      <w:r w:rsidRPr="003D49EB">
        <w:rPr>
          <w:lang w:val="es-CR"/>
        </w:rPr>
        <w:t>175.</w:t>
      </w:r>
      <w:r w:rsidRPr="003D49EB">
        <w:rPr>
          <w:lang w:val="es-CR"/>
        </w:rPr>
        <w:tab/>
        <w:t>La Corte reitera que la defensa de los derechos humanos sólo puede ejercerse libremente cuando las personas que la realizan no son víctimas de amenazas ni de cualquier tipo de agresiones físicas, psíquicas o morales u otros actos de hostigamiento</w:t>
      </w:r>
      <w:r w:rsidR="006A660B" w:rsidRPr="003D49EB">
        <w:rPr>
          <w:lang w:val="es-CR"/>
        </w:rPr>
        <w:t>.</w:t>
      </w:r>
      <w:r w:rsidRPr="003D49EB">
        <w:rPr>
          <w:lang w:val="es-CR"/>
        </w:rPr>
        <w:t xml:space="preserve"> Para tales efectos, es deber del Estado no sólo crear las condiciones legales y formales, sino también garantizar las condiciones fácticas en las cuales los defensores de derechos humanos puedan desarrollar libremente su función</w:t>
      </w:r>
      <w:r w:rsidR="006A660B" w:rsidRPr="003D49EB">
        <w:rPr>
          <w:lang w:val="es-CR"/>
        </w:rPr>
        <w:t>.</w:t>
      </w:r>
      <w:r w:rsidRPr="003D49EB">
        <w:rPr>
          <w:lang w:val="es-CR"/>
        </w:rPr>
        <w:t xml:space="preserve"> A su vez, los Estados deben facilitar los medios necesarios para que las personas defensoras de derechos humanos o que cumplan una función pública respecto de la cual se encuentren amenazados o en situación de riesgo o denuncien violaciones a derechos humanos, puedan realizar libremente sus actividades; protegerlos cuando son objeto de amenazas para evitar los atentados a su vida e integridad; generar las condiciones para la erradicación de violaciones por parte de agentes estatales o de particulares; abstenerse de imponer obstáculos que dificulten la realización de su labor, e investigar seria y eficazmente las violaciones cometidas en su contra, combatiendo la impunidad</w:t>
      </w:r>
      <w:r w:rsidR="006A660B" w:rsidRPr="003D49EB">
        <w:rPr>
          <w:lang w:val="es-CR"/>
        </w:rPr>
        <w:t>.</w:t>
      </w:r>
      <w:r w:rsidRPr="003D49EB">
        <w:rPr>
          <w:lang w:val="es-CR"/>
        </w:rPr>
        <w:t xml:space="preserve"> En definitiva, la obligación del Estado de garantizar los derechos a la vida e integridad personal de las personas se ve reforzada cuando se trata de un defensor o defensora de derechos humanos.</w:t>
      </w:r>
    </w:p>
    <w:p w14:paraId="045521A3" w14:textId="77777777" w:rsidR="002E5869" w:rsidRPr="003D49EB" w:rsidRDefault="002E5869" w:rsidP="009A4683">
      <w:pPr>
        <w:pStyle w:val="Prrafodelista2"/>
        <w:tabs>
          <w:tab w:val="left" w:pos="720"/>
          <w:tab w:val="num" w:pos="1427"/>
        </w:tabs>
        <w:spacing w:after="100" w:afterAutospacing="1"/>
        <w:ind w:left="0"/>
        <w:contextualSpacing/>
        <w:rPr>
          <w:lang w:val="es-CR"/>
        </w:rPr>
      </w:pPr>
    </w:p>
    <w:p w14:paraId="50F82A9D" w14:textId="77777777" w:rsidR="002E5869" w:rsidRPr="003D49EB" w:rsidRDefault="002E5869" w:rsidP="009A4683">
      <w:pPr>
        <w:pStyle w:val="Prrafodelista2"/>
        <w:tabs>
          <w:tab w:val="left" w:pos="720"/>
          <w:tab w:val="num" w:pos="1427"/>
        </w:tabs>
        <w:spacing w:after="100" w:afterAutospacing="1"/>
        <w:ind w:left="0"/>
        <w:contextualSpacing/>
        <w:rPr>
          <w:lang w:val="es-CR"/>
        </w:rPr>
      </w:pPr>
      <w:r w:rsidRPr="003D49EB">
        <w:rPr>
          <w:lang w:val="es-CR"/>
        </w:rPr>
        <w:t>176.</w:t>
      </w:r>
      <w:r w:rsidRPr="003D49EB">
        <w:rPr>
          <w:lang w:val="es-CR"/>
        </w:rPr>
        <w:tab/>
        <w:t xml:space="preserve">En el presente caso la controversia propuesta se refiere a la obligación del Estado de garantizar el derecho a la integridad personal del pueblo indígena </w:t>
      </w:r>
      <w:proofErr w:type="spellStart"/>
      <w:r w:rsidRPr="003D49EB">
        <w:rPr>
          <w:lang w:val="es-CR"/>
        </w:rPr>
        <w:t>Xucuru</w:t>
      </w:r>
      <w:proofErr w:type="spellEnd"/>
      <w:r w:rsidRPr="003D49EB">
        <w:rPr>
          <w:lang w:val="es-CR"/>
        </w:rPr>
        <w:t xml:space="preserve"> y sus miembros. Sin perjuicio de lo anterior, la Corte nota que en su Informe de Fondo la Comisión realizó un alegato sobre la violación del artículo 5 de la Convención, sin especificar a qué hecho dicha violación se refiere y quienes serían las víctimas de lo anterior. Para la Comisión la demora en el proceso de titulación, demarcación y saneamiento, sumada a la falta de protección estatal del territorio, generó inseguridad y violencia. Lo anterior violaría el derecho a la integridad psíquica y moral de los miembros del pueblo </w:t>
      </w:r>
      <w:proofErr w:type="spellStart"/>
      <w:r w:rsidRPr="003D49EB">
        <w:rPr>
          <w:lang w:val="es-CR"/>
        </w:rPr>
        <w:t>Xucuru</w:t>
      </w:r>
      <w:proofErr w:type="spellEnd"/>
      <w:r w:rsidRPr="003D49EB">
        <w:rPr>
          <w:lang w:val="es-CR"/>
        </w:rPr>
        <w:t xml:space="preserve">. Esa conclusión fue tomada con base en el principio de </w:t>
      </w:r>
      <w:proofErr w:type="spellStart"/>
      <w:r w:rsidRPr="003D49EB">
        <w:rPr>
          <w:lang w:val="es-CR"/>
        </w:rPr>
        <w:t>iura</w:t>
      </w:r>
      <w:proofErr w:type="spellEnd"/>
      <w:r w:rsidRPr="003D49EB">
        <w:rPr>
          <w:lang w:val="es-CR"/>
        </w:rPr>
        <w:t xml:space="preserve"> </w:t>
      </w:r>
      <w:proofErr w:type="spellStart"/>
      <w:r w:rsidRPr="003D49EB">
        <w:rPr>
          <w:lang w:val="es-CR"/>
        </w:rPr>
        <w:t>novit</w:t>
      </w:r>
      <w:proofErr w:type="spellEnd"/>
      <w:r w:rsidRPr="003D49EB">
        <w:rPr>
          <w:lang w:val="es-CR"/>
        </w:rPr>
        <w:t xml:space="preserve"> curia, una vez que los representantes no habían presentado dicho alegato durante el trámite del caso ante la Comisión. </w:t>
      </w:r>
    </w:p>
    <w:p w14:paraId="5B87BAAA" w14:textId="77777777" w:rsidR="002E5869" w:rsidRPr="003D49EB" w:rsidRDefault="002E5869" w:rsidP="009A4683">
      <w:pPr>
        <w:pStyle w:val="Prrafodelista2"/>
        <w:tabs>
          <w:tab w:val="left" w:pos="720"/>
          <w:tab w:val="num" w:pos="1427"/>
        </w:tabs>
        <w:spacing w:after="100" w:afterAutospacing="1"/>
        <w:ind w:left="0"/>
        <w:contextualSpacing/>
        <w:rPr>
          <w:lang w:val="es-CR"/>
        </w:rPr>
      </w:pPr>
    </w:p>
    <w:p w14:paraId="0110E407" w14:textId="7624FF68" w:rsidR="002E5869" w:rsidRPr="003D49EB" w:rsidRDefault="002E5869" w:rsidP="009A4683">
      <w:pPr>
        <w:pStyle w:val="Prrafodelista2"/>
        <w:tabs>
          <w:tab w:val="left" w:pos="720"/>
          <w:tab w:val="num" w:pos="1427"/>
        </w:tabs>
        <w:spacing w:after="100" w:afterAutospacing="1"/>
        <w:ind w:left="0"/>
        <w:contextualSpacing/>
        <w:rPr>
          <w:lang w:val="es-CR"/>
        </w:rPr>
      </w:pPr>
      <w:r w:rsidRPr="003D49EB">
        <w:rPr>
          <w:lang w:val="es-CR"/>
        </w:rPr>
        <w:t>177.</w:t>
      </w:r>
      <w:r w:rsidRPr="003D49EB">
        <w:rPr>
          <w:lang w:val="es-CR"/>
        </w:rPr>
        <w:tab/>
        <w:t xml:space="preserve">Por otra parte, a pesar de que la Comisión no indicó los hechos concretos que resultarían en la violación del derecho a la integridad personal del pueblo </w:t>
      </w:r>
      <w:proofErr w:type="spellStart"/>
      <w:r w:rsidRPr="003D49EB">
        <w:rPr>
          <w:lang w:val="es-CR"/>
        </w:rPr>
        <w:t>Xucuru</w:t>
      </w:r>
      <w:proofErr w:type="spellEnd"/>
      <w:r w:rsidRPr="003D49EB">
        <w:rPr>
          <w:lang w:val="es-CR"/>
        </w:rPr>
        <w:t xml:space="preserve">, la Corte constata que el marco fáctico presentado en el Informe de Fondo se refiere a tres muertes de líderes indígenas </w:t>
      </w:r>
      <w:proofErr w:type="spellStart"/>
      <w:r w:rsidRPr="003D49EB">
        <w:rPr>
          <w:lang w:val="es-CR"/>
        </w:rPr>
        <w:t>Xucuru</w:t>
      </w:r>
      <w:proofErr w:type="spellEnd"/>
      <w:r w:rsidRPr="003D49EB">
        <w:rPr>
          <w:lang w:val="es-CR"/>
        </w:rPr>
        <w:t xml:space="preserve">, ocurridas en septiembre de 1992 (José </w:t>
      </w:r>
      <w:proofErr w:type="spellStart"/>
      <w:r w:rsidRPr="003D49EB">
        <w:rPr>
          <w:lang w:val="es-CR"/>
        </w:rPr>
        <w:t>Everaldo</w:t>
      </w:r>
      <w:proofErr w:type="spellEnd"/>
      <w:r w:rsidRPr="003D49EB">
        <w:rPr>
          <w:lang w:val="es-CR"/>
        </w:rPr>
        <w:t xml:space="preserve"> </w:t>
      </w:r>
      <w:proofErr w:type="spellStart"/>
      <w:r w:rsidRPr="003D49EB">
        <w:rPr>
          <w:lang w:val="es-CR"/>
        </w:rPr>
        <w:t>Rodrigues</w:t>
      </w:r>
      <w:proofErr w:type="spellEnd"/>
      <w:r w:rsidRPr="003D49EB">
        <w:rPr>
          <w:lang w:val="es-CR"/>
        </w:rPr>
        <w:t xml:space="preserve"> Bispo) y mayo de 1998 (Cacique </w:t>
      </w:r>
      <w:proofErr w:type="spellStart"/>
      <w:r w:rsidRPr="003D49EB">
        <w:rPr>
          <w:lang w:val="es-CR"/>
        </w:rPr>
        <w:t>Xicão</w:t>
      </w:r>
      <w:proofErr w:type="spellEnd"/>
      <w:r w:rsidRPr="003D49EB">
        <w:rPr>
          <w:lang w:val="es-CR"/>
        </w:rPr>
        <w:t xml:space="preserve">) y de un funcionario de la FUNAI en mayo de 1995 (Geraldo </w:t>
      </w:r>
      <w:proofErr w:type="spellStart"/>
      <w:r w:rsidRPr="003D49EB">
        <w:rPr>
          <w:lang w:val="es-CR"/>
        </w:rPr>
        <w:t>Rolim</w:t>
      </w:r>
      <w:proofErr w:type="spellEnd"/>
      <w:r w:rsidRPr="003D49EB">
        <w:rPr>
          <w:lang w:val="es-CR"/>
        </w:rPr>
        <w:t xml:space="preserve">), es decir, con anterioridad al reconocimiento de la competencia contenciosa de la Corte. Aunado a ello, la Comisión afirmó no tener información detallada sobre estas muertes y se refirió a un escrito de la Abogacía de la Unión de Brasil en el cual se establece los autores material e intelectual del asesinato del Cacique </w:t>
      </w:r>
      <w:proofErr w:type="spellStart"/>
      <w:r w:rsidRPr="003D49EB">
        <w:rPr>
          <w:lang w:val="es-CR"/>
        </w:rPr>
        <w:t>Xicão</w:t>
      </w:r>
      <w:proofErr w:type="spellEnd"/>
      <w:r w:rsidRPr="003D49EB">
        <w:rPr>
          <w:lang w:val="es-CR"/>
        </w:rPr>
        <w:t xml:space="preserve">. Finalmente, la Comisión se refirió a las medidas cautelares otorgadas el 29 de octubre de 2002 a favor del Cacique </w:t>
      </w:r>
      <w:proofErr w:type="spellStart"/>
      <w:r w:rsidRPr="003D49EB">
        <w:rPr>
          <w:lang w:val="es-CR"/>
        </w:rPr>
        <w:t>Marquinhos</w:t>
      </w:r>
      <w:proofErr w:type="spellEnd"/>
      <w:r w:rsidRPr="003D49EB">
        <w:rPr>
          <w:lang w:val="es-CR"/>
        </w:rPr>
        <w:t xml:space="preserve"> y de su madre, </w:t>
      </w:r>
      <w:proofErr w:type="spellStart"/>
      <w:r w:rsidRPr="003D49EB">
        <w:rPr>
          <w:lang w:val="es-CR"/>
        </w:rPr>
        <w:t>Zenilda</w:t>
      </w:r>
      <w:proofErr w:type="spellEnd"/>
      <w:r w:rsidRPr="003D49EB">
        <w:rPr>
          <w:lang w:val="es-CR"/>
        </w:rPr>
        <w:t xml:space="preserve"> </w:t>
      </w:r>
      <w:proofErr w:type="spellStart"/>
      <w:r w:rsidRPr="003D49EB">
        <w:rPr>
          <w:lang w:val="es-CR"/>
        </w:rPr>
        <w:t>Maria</w:t>
      </w:r>
      <w:proofErr w:type="spellEnd"/>
      <w:r w:rsidRPr="003D49EB">
        <w:rPr>
          <w:lang w:val="es-CR"/>
        </w:rPr>
        <w:t xml:space="preserve"> de Araujo, en razón de amenazas recibidas entre 1999 y 2002. Las medidas cautelares continúan vigentes hasta la fecha</w:t>
      </w:r>
      <w:r w:rsidR="006A660B" w:rsidRPr="003D49EB">
        <w:rPr>
          <w:lang w:val="es-CR"/>
        </w:rPr>
        <w:t>.</w:t>
      </w:r>
      <w:r w:rsidRPr="003D49EB">
        <w:rPr>
          <w:lang w:val="es-CR"/>
        </w:rPr>
        <w:t xml:space="preserve"> </w:t>
      </w:r>
    </w:p>
    <w:p w14:paraId="000892F9" w14:textId="77777777" w:rsidR="002E5869" w:rsidRPr="003D49EB" w:rsidRDefault="002E5869" w:rsidP="009A4683">
      <w:pPr>
        <w:pStyle w:val="Prrafodelista2"/>
        <w:tabs>
          <w:tab w:val="left" w:pos="720"/>
          <w:tab w:val="num" w:pos="1427"/>
        </w:tabs>
        <w:spacing w:after="100" w:afterAutospacing="1"/>
        <w:ind w:left="0"/>
        <w:contextualSpacing/>
        <w:rPr>
          <w:lang w:val="es-CR"/>
        </w:rPr>
      </w:pPr>
    </w:p>
    <w:p w14:paraId="63FB174C" w14:textId="77777777" w:rsidR="002E5869" w:rsidRPr="003D49EB" w:rsidRDefault="002E5869" w:rsidP="009A4683">
      <w:pPr>
        <w:pStyle w:val="Prrafodelista2"/>
        <w:tabs>
          <w:tab w:val="left" w:pos="720"/>
          <w:tab w:val="num" w:pos="1427"/>
        </w:tabs>
        <w:spacing w:after="100" w:afterAutospacing="1"/>
        <w:ind w:left="0"/>
        <w:contextualSpacing/>
        <w:rPr>
          <w:lang w:val="es-CR"/>
        </w:rPr>
      </w:pPr>
      <w:r w:rsidRPr="003D49EB">
        <w:rPr>
          <w:lang w:val="es-CR"/>
        </w:rPr>
        <w:t>178.</w:t>
      </w:r>
      <w:r w:rsidRPr="003D49EB">
        <w:rPr>
          <w:lang w:val="es-CR"/>
        </w:rPr>
        <w:tab/>
        <w:t xml:space="preserve">La Corte considera, en primer lugar, que la Comisión no cumplió con la carga de probar su alegato teniendo en cuenta que no presentó la argumentación jurídica y fáctica necesaria; no indicó los hechos concretos que configurarían la alegada violación, ni los responsables de la misma. Lo anterior es especialmente relevante en el presente caso, atendiendo a que la alegada violación del derecho a la integridad personal habría ocurrido en perjuicio de las personas que integran el pueblo indígena </w:t>
      </w:r>
      <w:proofErr w:type="spellStart"/>
      <w:r w:rsidRPr="003D49EB">
        <w:rPr>
          <w:lang w:val="es-CR"/>
        </w:rPr>
        <w:t>Xucuru</w:t>
      </w:r>
      <w:proofErr w:type="spellEnd"/>
      <w:r w:rsidRPr="003D49EB">
        <w:rPr>
          <w:lang w:val="es-CR"/>
        </w:rPr>
        <w:t xml:space="preserve">, es decir de miles de personas. </w:t>
      </w:r>
    </w:p>
    <w:p w14:paraId="32B9B6D5" w14:textId="77777777" w:rsidR="002E5869" w:rsidRPr="003D49EB" w:rsidRDefault="002E5869" w:rsidP="009A4683">
      <w:pPr>
        <w:pStyle w:val="Prrafodelista2"/>
        <w:tabs>
          <w:tab w:val="left" w:pos="720"/>
          <w:tab w:val="num" w:pos="1427"/>
        </w:tabs>
        <w:spacing w:after="100" w:afterAutospacing="1"/>
        <w:ind w:left="0"/>
        <w:contextualSpacing/>
        <w:rPr>
          <w:lang w:val="es-CR"/>
        </w:rPr>
      </w:pPr>
    </w:p>
    <w:p w14:paraId="19A7CC25" w14:textId="77777777" w:rsidR="002E5869" w:rsidRPr="003D49EB" w:rsidRDefault="002E5869" w:rsidP="009A4683">
      <w:pPr>
        <w:pStyle w:val="Prrafodelista2"/>
        <w:tabs>
          <w:tab w:val="left" w:pos="720"/>
          <w:tab w:val="num" w:pos="1427"/>
        </w:tabs>
        <w:spacing w:after="100" w:afterAutospacing="1"/>
        <w:ind w:left="0"/>
        <w:contextualSpacing/>
        <w:rPr>
          <w:lang w:val="es-CR"/>
        </w:rPr>
      </w:pPr>
      <w:r w:rsidRPr="003D49EB">
        <w:rPr>
          <w:lang w:val="es-CR"/>
        </w:rPr>
        <w:t>179.</w:t>
      </w:r>
      <w:r w:rsidRPr="003D49EB">
        <w:rPr>
          <w:lang w:val="es-CR"/>
        </w:rPr>
        <w:tab/>
        <w:t xml:space="preserve">Ahora bien, los alegatos de los representantes, presentados durante la audiencia pública y en su escrito de alegatos finales, complementaron el alegato de la Comisión. En concreto, presentaron alegatos más específicos y precisaron determinados aspectos de la “falta de protección estatal” que habría resultado en la impunidad del homicidio del Cacique </w:t>
      </w:r>
      <w:proofErr w:type="spellStart"/>
      <w:r w:rsidRPr="003D49EB">
        <w:rPr>
          <w:lang w:val="es-CR"/>
        </w:rPr>
        <w:t>Xicão</w:t>
      </w:r>
      <w:proofErr w:type="spellEnd"/>
      <w:r w:rsidRPr="003D49EB">
        <w:rPr>
          <w:lang w:val="es-CR"/>
        </w:rPr>
        <w:t xml:space="preserve"> (en mayo de 1998) y la falta de protección de los líderes del pueblo indígena.</w:t>
      </w:r>
    </w:p>
    <w:p w14:paraId="554F54D9" w14:textId="77777777" w:rsidR="002E5869" w:rsidRPr="003D49EB" w:rsidRDefault="002E5869" w:rsidP="009A4683">
      <w:pPr>
        <w:pStyle w:val="Prrafodelista2"/>
        <w:tabs>
          <w:tab w:val="left" w:pos="720"/>
          <w:tab w:val="num" w:pos="1427"/>
        </w:tabs>
        <w:spacing w:after="100" w:afterAutospacing="1"/>
        <w:ind w:left="0"/>
        <w:contextualSpacing/>
        <w:rPr>
          <w:lang w:val="es-CR"/>
        </w:rPr>
      </w:pPr>
    </w:p>
    <w:p w14:paraId="5F76E584" w14:textId="5FAEF529" w:rsidR="002E5869" w:rsidRPr="003D49EB" w:rsidRDefault="002E5869" w:rsidP="009A4683">
      <w:pPr>
        <w:pStyle w:val="Prrafodelista2"/>
        <w:tabs>
          <w:tab w:val="left" w:pos="720"/>
          <w:tab w:val="num" w:pos="1427"/>
        </w:tabs>
        <w:spacing w:after="100" w:afterAutospacing="1"/>
        <w:ind w:left="0"/>
        <w:contextualSpacing/>
        <w:rPr>
          <w:lang w:val="es-CR"/>
        </w:rPr>
      </w:pPr>
      <w:r w:rsidRPr="003D49EB">
        <w:rPr>
          <w:lang w:val="es-CR"/>
        </w:rPr>
        <w:t>180.</w:t>
      </w:r>
      <w:r w:rsidRPr="003D49EB">
        <w:rPr>
          <w:lang w:val="es-CR"/>
        </w:rPr>
        <w:tab/>
        <w:t xml:space="preserve">Al respecto, es importante recordar que dicho alegato fue presentado por primera vez durante la audiencia pública, y fue posteriormente detallado en el escrito de alegatos finales. La Corte recuerda que los alegatos presentados en esa etapa y la prueba allegada juntamente con los alegatos finales escritos son extemporáneos </w:t>
      </w:r>
      <w:r w:rsidR="00632C28">
        <w:rPr>
          <w:lang w:val="es-CR"/>
        </w:rPr>
        <w:t>[...]</w:t>
      </w:r>
      <w:r w:rsidRPr="003D49EB">
        <w:rPr>
          <w:lang w:val="es-CR"/>
        </w:rPr>
        <w:t xml:space="preserve">, y por ende la Corte no podría entrar a examinarlos, pues afectaría el derecho de defensa del Estado. Éste no habría podido defenderse adecuadamente sobre imputaciones concretas presentadas por primera vez durante la audiencia pública. </w:t>
      </w:r>
    </w:p>
    <w:p w14:paraId="6F4FED3D" w14:textId="77777777" w:rsidR="002E5869" w:rsidRPr="003D49EB" w:rsidRDefault="002E5869" w:rsidP="009A4683">
      <w:pPr>
        <w:pStyle w:val="Prrafodelista2"/>
        <w:tabs>
          <w:tab w:val="left" w:pos="720"/>
          <w:tab w:val="num" w:pos="1427"/>
        </w:tabs>
        <w:spacing w:after="100" w:afterAutospacing="1"/>
        <w:ind w:left="0"/>
        <w:contextualSpacing/>
        <w:rPr>
          <w:lang w:val="es-CR"/>
        </w:rPr>
      </w:pPr>
    </w:p>
    <w:p w14:paraId="75ADF0BD" w14:textId="5A055554" w:rsidR="002D2ADC" w:rsidRPr="003D49EB" w:rsidRDefault="002E5869" w:rsidP="009A4683">
      <w:pPr>
        <w:pStyle w:val="Prrafodelista2"/>
        <w:tabs>
          <w:tab w:val="left" w:pos="720"/>
          <w:tab w:val="num" w:pos="1427"/>
        </w:tabs>
        <w:spacing w:after="100" w:afterAutospacing="1"/>
        <w:ind w:left="0"/>
        <w:contextualSpacing/>
        <w:rPr>
          <w:lang w:val="es-CR"/>
        </w:rPr>
      </w:pPr>
      <w:r w:rsidRPr="003D49EB">
        <w:rPr>
          <w:lang w:val="es-CR"/>
        </w:rPr>
        <w:t>181.</w:t>
      </w:r>
      <w:r w:rsidRPr="003D49EB">
        <w:rPr>
          <w:lang w:val="es-CR"/>
        </w:rPr>
        <w:tab/>
        <w:t xml:space="preserve">En consecuencia, la Corte considera que si bien es posible constatar la existencia de un contexto de tensión y violencia durante determinados períodos del proceso de titulación, demarcación y saneamiento del territorio indígena </w:t>
      </w:r>
      <w:proofErr w:type="spellStart"/>
      <w:r w:rsidRPr="003D49EB">
        <w:rPr>
          <w:lang w:val="es-CR"/>
        </w:rPr>
        <w:t>Xucuru</w:t>
      </w:r>
      <w:proofErr w:type="spellEnd"/>
      <w:r w:rsidRPr="003D49EB">
        <w:rPr>
          <w:lang w:val="es-CR"/>
        </w:rPr>
        <w:t xml:space="preserve"> </w:t>
      </w:r>
      <w:r w:rsidR="00632C28">
        <w:rPr>
          <w:lang w:val="es-CR"/>
        </w:rPr>
        <w:t>[...]</w:t>
      </w:r>
      <w:r w:rsidRPr="003D49EB">
        <w:rPr>
          <w:lang w:val="es-CR"/>
        </w:rPr>
        <w:t xml:space="preserve">, la argumentación de la Comisión no ofrece base suficiente para establecer la responsabilidad internacional del Estado; asimismo, de la extemporaneidad de los alegatos de los representantes resulta en que no se cuente con evidencia suficiente que demuestre una afectación irreparable a la integridad psíquica y moral del pueblo indígena </w:t>
      </w:r>
      <w:proofErr w:type="spellStart"/>
      <w:r w:rsidRPr="003D49EB">
        <w:rPr>
          <w:lang w:val="es-CR"/>
        </w:rPr>
        <w:t>Xucuru</w:t>
      </w:r>
      <w:proofErr w:type="spellEnd"/>
      <w:r w:rsidRPr="003D49EB">
        <w:rPr>
          <w:lang w:val="es-CR"/>
        </w:rPr>
        <w:t xml:space="preserve"> y sus miembros. En consecuencia, no es posible concluir que el Estado violó el derecho a la integridad personal, establecido en el artículo 5.1 de la Convención Americana, en relación con el artículo 1.1. del mismo instrumento.</w:t>
      </w:r>
    </w:p>
    <w:p w14:paraId="2CF96904" w14:textId="770776E8" w:rsidR="00C257FF" w:rsidRDefault="000B75D0" w:rsidP="009A4683">
      <w:pPr>
        <w:pStyle w:val="Caso"/>
        <w:rPr>
          <w:lang w:val="es-CR"/>
        </w:rPr>
      </w:pPr>
      <w:r w:rsidRPr="003D49EB">
        <w:rPr>
          <w:lang w:val="es-CR"/>
        </w:rPr>
        <w:t>Corte IDH. Caso Mujeres Víctimas de Tortura Sexual en Atenco Vs. México. Excepción Preliminar, Fondo, Reparaciones y Costas. Sentencia de 28 de noviembre de 2018. Serie C No. 371.</w:t>
      </w:r>
    </w:p>
    <w:p w14:paraId="746994D8" w14:textId="77777777" w:rsidR="003A3C4C" w:rsidRPr="003D49EB" w:rsidRDefault="003A3C4C" w:rsidP="009A4683">
      <w:pPr>
        <w:pStyle w:val="Caso"/>
        <w:rPr>
          <w:lang w:val="es-CR"/>
        </w:rPr>
      </w:pPr>
    </w:p>
    <w:p w14:paraId="6ECA8F0B" w14:textId="3D93B2FF" w:rsidR="000B75D0" w:rsidRPr="003D49EB" w:rsidRDefault="000B75D0" w:rsidP="009A4683">
      <w:pPr>
        <w:pStyle w:val="Prrafodelista2"/>
        <w:tabs>
          <w:tab w:val="left" w:pos="720"/>
          <w:tab w:val="num" w:pos="1427"/>
        </w:tabs>
        <w:spacing w:after="100" w:afterAutospacing="1"/>
        <w:ind w:left="0"/>
        <w:contextualSpacing/>
        <w:rPr>
          <w:lang w:val="es-CR"/>
        </w:rPr>
      </w:pPr>
      <w:r w:rsidRPr="003D49EB">
        <w:rPr>
          <w:lang w:val="es-CR"/>
        </w:rPr>
        <w:t>178.</w:t>
      </w:r>
      <w:r w:rsidRPr="003D49EB">
        <w:rPr>
          <w:lang w:val="es-CR"/>
        </w:rPr>
        <w:tab/>
        <w:t xml:space="preserve">La Corte ha establecido que la tortura y las penas o tratos crueles, inhumanos o degradantes están absoluta y estrictamente prohibidos por el Derecho Internacional de los Derechos Humanos. Esta prohibición es absoluta e inderogable, </w:t>
      </w:r>
      <w:r w:rsidRPr="003D49EB">
        <w:rPr>
          <w:lang w:val="es-CR"/>
        </w:rPr>
        <w:lastRenderedPageBreak/>
        <w:t>aún en las circunstancias más difíciles, tales como guerra, amenaza de guerra, lucha contra el terrorismo y cualesquiera otros delitos, estado de sitio o de emergencia, conmoción o conflicto interior, suspensión de garantías constitucionales, inestabilidad política interna u otras emergencias o calamidades públicas</w:t>
      </w:r>
      <w:r w:rsidR="006A660B" w:rsidRPr="003D49EB">
        <w:rPr>
          <w:lang w:val="es-CR"/>
        </w:rPr>
        <w:t>,</w:t>
      </w:r>
      <w:r w:rsidRPr="003D49EB">
        <w:rPr>
          <w:lang w:val="es-CR"/>
        </w:rPr>
        <w:t xml:space="preserve"> y pertenece hoy día al dominio del </w:t>
      </w:r>
      <w:proofErr w:type="spellStart"/>
      <w:r w:rsidRPr="003D49EB">
        <w:rPr>
          <w:lang w:val="es-CR"/>
        </w:rPr>
        <w:t>jus</w:t>
      </w:r>
      <w:proofErr w:type="spellEnd"/>
      <w:r w:rsidRPr="003D49EB">
        <w:rPr>
          <w:lang w:val="es-CR"/>
        </w:rPr>
        <w:t xml:space="preserve"> cogens internacional</w:t>
      </w:r>
      <w:r w:rsidR="006A660B" w:rsidRPr="003D49EB">
        <w:rPr>
          <w:lang w:val="es-CR"/>
        </w:rPr>
        <w:t>.</w:t>
      </w:r>
      <w:r w:rsidRPr="003D49EB">
        <w:rPr>
          <w:lang w:val="es-CR"/>
        </w:rPr>
        <w:t xml:space="preserve"> Los tratados de alcance universal  y regional  consagran tal prohibición y el derecho inderogable a no ser sometido a ninguna forma de tortura.</w:t>
      </w:r>
    </w:p>
    <w:p w14:paraId="773E76B9" w14:textId="49675FE5" w:rsidR="00A9708B" w:rsidRPr="003D49EB" w:rsidRDefault="00305729" w:rsidP="009A4683">
      <w:pPr>
        <w:pStyle w:val="Ttulo2"/>
      </w:pPr>
      <w:bookmarkStart w:id="43" w:name="_Toc530497985"/>
      <w:bookmarkStart w:id="44" w:name="_Toc88914985"/>
      <w:r w:rsidRPr="003D49EB">
        <w:t>Violación al derecho a la integridad por destrucción de viviendas y desplazamiento forzado</w:t>
      </w:r>
      <w:bookmarkEnd w:id="43"/>
      <w:bookmarkEnd w:id="44"/>
      <w:r w:rsidRPr="003D49EB">
        <w:t xml:space="preserve"> </w:t>
      </w:r>
    </w:p>
    <w:p w14:paraId="1DD69DB3" w14:textId="77777777" w:rsidR="00EF65CE" w:rsidRPr="003D49EB" w:rsidRDefault="00EF65CE" w:rsidP="00EF65CE">
      <w:pPr>
        <w:rPr>
          <w:lang w:val="es-CR"/>
        </w:rPr>
      </w:pPr>
    </w:p>
    <w:p w14:paraId="325D80DB" w14:textId="4F43F8CE" w:rsidR="00665858" w:rsidRPr="003D49EB" w:rsidRDefault="00EF65CE" w:rsidP="009A4683">
      <w:pPr>
        <w:spacing w:after="100" w:afterAutospacing="1"/>
        <w:rPr>
          <w:b/>
          <w:szCs w:val="20"/>
        </w:rPr>
      </w:pPr>
      <w:r w:rsidRPr="003D49EB">
        <w:rPr>
          <w:b/>
          <w:szCs w:val="20"/>
        </w:rPr>
        <w:t xml:space="preserve">Corte IDH. Caso de las Masacres de </w:t>
      </w:r>
      <w:proofErr w:type="spellStart"/>
      <w:r w:rsidRPr="003D49EB">
        <w:rPr>
          <w:b/>
          <w:szCs w:val="20"/>
        </w:rPr>
        <w:t>Ituango</w:t>
      </w:r>
      <w:proofErr w:type="spellEnd"/>
      <w:r w:rsidRPr="003D49EB">
        <w:rPr>
          <w:b/>
          <w:szCs w:val="20"/>
        </w:rPr>
        <w:t xml:space="preserve"> Vs. Colombia. Sentencia de 1 de julio de 2006. Serie C No. 148.</w:t>
      </w:r>
      <w:r w:rsidR="00665858" w:rsidRPr="003D49EB">
        <w:rPr>
          <w:b/>
          <w:szCs w:val="20"/>
        </w:rPr>
        <w:t xml:space="preserve"> </w:t>
      </w:r>
    </w:p>
    <w:p w14:paraId="48252FE5" w14:textId="77777777" w:rsidR="00434CA9" w:rsidRPr="003D49EB" w:rsidRDefault="00434CA9" w:rsidP="009A4683">
      <w:pPr>
        <w:spacing w:after="100" w:afterAutospacing="1"/>
        <w:rPr>
          <w:i/>
          <w:szCs w:val="20"/>
        </w:rPr>
      </w:pPr>
      <w:r w:rsidRPr="003D49EB">
        <w:rPr>
          <w:szCs w:val="20"/>
        </w:rPr>
        <w:t>270.</w:t>
      </w:r>
      <w:r w:rsidRPr="003D49EB">
        <w:rPr>
          <w:szCs w:val="20"/>
        </w:rPr>
        <w:tab/>
        <w:t>En relación con la supuesta violación del artículo 5 de la Convención en perjuicio de las personas que perdieron bienes en El Aro, el Tribunal considera que el Estado no respetó la integridad psíquica y moral de dichas personas, quienes padecieron grandes sufrimientos emocionales por la pérdida de sus pertenencias en un contexto de extrema violencia, lo cual ha sido analizado en el capítulo relativo a la violación del artículo 21 de la Conve</w:t>
      </w:r>
      <w:r w:rsidR="00665858" w:rsidRPr="003D49EB">
        <w:rPr>
          <w:szCs w:val="20"/>
        </w:rPr>
        <w:t>nción en la presente Sentencia […]</w:t>
      </w:r>
      <w:r w:rsidRPr="003D49EB">
        <w:rPr>
          <w:szCs w:val="20"/>
        </w:rPr>
        <w:t>.</w:t>
      </w:r>
      <w:r w:rsidR="008B18CE" w:rsidRPr="003D49EB">
        <w:rPr>
          <w:szCs w:val="20"/>
        </w:rPr>
        <w:t xml:space="preserve"> </w:t>
      </w:r>
      <w:r w:rsidRPr="003D49EB">
        <w:rPr>
          <w:szCs w:val="20"/>
        </w:rPr>
        <w:t>Con base en lo anterior, la Corte considera que las víctimas de la violación del artículo 5 de la Convención, en relación con el artículo 21 de la misma, son las personas señaladas en el Anexo III del presente Fallo y que se han identificado como víctimas de la violación de los artículos 5 y 21 de la Convención.</w:t>
      </w:r>
    </w:p>
    <w:p w14:paraId="55AB31F7" w14:textId="77777777" w:rsidR="00434CA9" w:rsidRPr="003D49EB" w:rsidRDefault="00434CA9" w:rsidP="009A4683">
      <w:pPr>
        <w:spacing w:after="100" w:afterAutospacing="1"/>
        <w:rPr>
          <w:b/>
          <w:szCs w:val="20"/>
        </w:rPr>
      </w:pPr>
      <w:r w:rsidRPr="003D49EB">
        <w:rPr>
          <w:szCs w:val="20"/>
        </w:rPr>
        <w:t>271.</w:t>
      </w:r>
      <w:r w:rsidRPr="003D49EB">
        <w:rPr>
          <w:szCs w:val="20"/>
        </w:rPr>
        <w:tab/>
        <w:t>Sin embargo, la Corte considera que las personas cuyas viviendas fueron destruidas y que, por tanto, se vieron obligadas a desplazarse al haber perdido su hogar y todas sus pertenencias han vivido un sufrimiento especialmente grave, el cual merece mayor atención.</w:t>
      </w:r>
    </w:p>
    <w:p w14:paraId="23A8BF67" w14:textId="77777777" w:rsidR="00434CA9" w:rsidRPr="003D49EB" w:rsidRDefault="00434CA9" w:rsidP="009A4683">
      <w:pPr>
        <w:spacing w:after="100" w:afterAutospacing="1"/>
        <w:rPr>
          <w:szCs w:val="20"/>
        </w:rPr>
      </w:pPr>
      <w:r w:rsidRPr="003D49EB">
        <w:rPr>
          <w:szCs w:val="20"/>
        </w:rPr>
        <w:t>272.</w:t>
      </w:r>
      <w:r w:rsidRPr="003D49EB">
        <w:rPr>
          <w:szCs w:val="20"/>
        </w:rPr>
        <w:tab/>
        <w:t xml:space="preserve">Este Tribunal ya estableció en la presente Sentencia que los paramilitares, con la aquiescencia y tolerancia de </w:t>
      </w:r>
      <w:proofErr w:type="spellStart"/>
      <w:r w:rsidRPr="003D49EB">
        <w:rPr>
          <w:szCs w:val="20"/>
        </w:rPr>
        <w:t>funcionairos</w:t>
      </w:r>
      <w:proofErr w:type="spellEnd"/>
      <w:r w:rsidRPr="003D49EB">
        <w:rPr>
          <w:szCs w:val="20"/>
        </w:rPr>
        <w:t xml:space="preserve"> del Estado </w:t>
      </w:r>
      <w:r w:rsidR="00D94D43" w:rsidRPr="003D49EB">
        <w:rPr>
          <w:szCs w:val="20"/>
        </w:rPr>
        <w:t>[...]</w:t>
      </w:r>
      <w:r w:rsidRPr="003D49EB">
        <w:rPr>
          <w:szCs w:val="20"/>
        </w:rPr>
        <w:t>, destruyeron e incendiaron gran parte de las casas en El Aro, lo cual causó el desplazamiento de sus habitantes. Dichos actos de violencia, y en especial la destrucción de las viviendas, eran destinados a aterrorizar a la población y obligar a las familias a desplazarse del lugar. Las personas que perdieron sus domicilios en los incendios causados por los paramilitares, y que por lo tanto se vieron obligadas a desplazarse, perdieron toda posibilidad de regresar a su hogar, ya que éste dejó de existir.</w:t>
      </w:r>
      <w:r w:rsidR="008B18CE" w:rsidRPr="003D49EB">
        <w:rPr>
          <w:szCs w:val="20"/>
        </w:rPr>
        <w:t xml:space="preserve"> </w:t>
      </w:r>
      <w:r w:rsidRPr="003D49EB">
        <w:rPr>
          <w:szCs w:val="20"/>
        </w:rPr>
        <w:t xml:space="preserve">Esta Corte considera que estos hechos han agravado la situación de dichas personas </w:t>
      </w:r>
      <w:r w:rsidRPr="003D49EB">
        <w:rPr>
          <w:i/>
          <w:szCs w:val="20"/>
        </w:rPr>
        <w:t>vis a vis</w:t>
      </w:r>
      <w:r w:rsidRPr="003D49EB">
        <w:rPr>
          <w:szCs w:val="20"/>
        </w:rPr>
        <w:t xml:space="preserve"> otras personas que se vieron obligadas a desplazarse, pero cuyas v</w:t>
      </w:r>
      <w:r w:rsidR="00C33713" w:rsidRPr="003D49EB">
        <w:rPr>
          <w:szCs w:val="20"/>
        </w:rPr>
        <w:t xml:space="preserve">iviendas no fueron destruidas. </w:t>
      </w:r>
    </w:p>
    <w:p w14:paraId="1BC390C3" w14:textId="77777777" w:rsidR="00434CA9" w:rsidRPr="003D49EB" w:rsidRDefault="00434CA9" w:rsidP="009A4683">
      <w:pPr>
        <w:spacing w:after="100" w:afterAutospacing="1"/>
        <w:rPr>
          <w:szCs w:val="20"/>
        </w:rPr>
      </w:pPr>
      <w:r w:rsidRPr="003D49EB">
        <w:rPr>
          <w:szCs w:val="20"/>
        </w:rPr>
        <w:t>273.</w:t>
      </w:r>
      <w:r w:rsidRPr="003D49EB">
        <w:rPr>
          <w:szCs w:val="20"/>
        </w:rPr>
        <w:tab/>
        <w:t xml:space="preserve">En casos parecidos al presente, la Corte Europea de Derechos Humanos ha reconocido que tales hechos se pueden considerar como tratos inhumanos, lo cual constituye una violación del artículo 3 del Convenio Europeo de Derechos Humanos. En el caso </w:t>
      </w:r>
      <w:proofErr w:type="spellStart"/>
      <w:r w:rsidRPr="003D49EB">
        <w:rPr>
          <w:i/>
          <w:szCs w:val="20"/>
        </w:rPr>
        <w:t>Ayder</w:t>
      </w:r>
      <w:proofErr w:type="spellEnd"/>
      <w:r w:rsidRPr="003D49EB">
        <w:rPr>
          <w:i/>
          <w:szCs w:val="20"/>
        </w:rPr>
        <w:t xml:space="preserve"> vs. Turquía</w:t>
      </w:r>
      <w:r w:rsidRPr="003D49EB">
        <w:rPr>
          <w:szCs w:val="20"/>
        </w:rPr>
        <w:t xml:space="preserve"> la Corte Europea consideró como trato inhumano el que las casas y las posesiones de las víctimas hayan sido quemadas delante de sus ojos, privándoles de su cobijo, refugio y sustento, y teniendo en cuenta que esto les obligó a abandonar el lugar de su residencia para rehacer sus vidas en otro lugar, lo cual causó angustia en las víctimas y sus familiares.</w:t>
      </w:r>
      <w:r w:rsidR="008B18CE" w:rsidRPr="003D49EB">
        <w:rPr>
          <w:szCs w:val="20"/>
        </w:rPr>
        <w:t xml:space="preserve"> </w:t>
      </w:r>
      <w:r w:rsidRPr="003D49EB">
        <w:rPr>
          <w:szCs w:val="20"/>
        </w:rPr>
        <w:t xml:space="preserve">Igualmente, en el caso </w:t>
      </w:r>
      <w:proofErr w:type="spellStart"/>
      <w:r w:rsidRPr="003D49EB">
        <w:rPr>
          <w:i/>
          <w:szCs w:val="20"/>
        </w:rPr>
        <w:t>Bilgin</w:t>
      </w:r>
      <w:proofErr w:type="spellEnd"/>
      <w:r w:rsidRPr="003D49EB">
        <w:rPr>
          <w:i/>
          <w:szCs w:val="20"/>
        </w:rPr>
        <w:t xml:space="preserve"> vs. Turquía</w:t>
      </w:r>
      <w:r w:rsidR="008B18CE" w:rsidRPr="003D49EB">
        <w:rPr>
          <w:rStyle w:val="Refdenotaalpie"/>
          <w:i/>
          <w:szCs w:val="20"/>
        </w:rPr>
        <w:t xml:space="preserve"> </w:t>
      </w:r>
      <w:r w:rsidRPr="003D49EB">
        <w:rPr>
          <w:szCs w:val="20"/>
        </w:rPr>
        <w:t>la Corte Europea consideró que la destrucción de la vivienda de la víctima, perpetrada por las fuerzas de seguridad turcas, constituyó un trato inhumano.</w:t>
      </w:r>
      <w:r w:rsidR="008B18CE" w:rsidRPr="003D49EB">
        <w:rPr>
          <w:szCs w:val="20"/>
        </w:rPr>
        <w:t xml:space="preserve"> </w:t>
      </w:r>
      <w:r w:rsidRPr="003D49EB">
        <w:rPr>
          <w:szCs w:val="20"/>
        </w:rPr>
        <w:t xml:space="preserve">Finalmente, en el caso </w:t>
      </w:r>
      <w:proofErr w:type="spellStart"/>
      <w:r w:rsidRPr="003D49EB">
        <w:rPr>
          <w:i/>
          <w:szCs w:val="20"/>
        </w:rPr>
        <w:t>Selçuk</w:t>
      </w:r>
      <w:proofErr w:type="spellEnd"/>
      <w:r w:rsidRPr="003D49EB">
        <w:rPr>
          <w:i/>
          <w:szCs w:val="20"/>
        </w:rPr>
        <w:t xml:space="preserve"> vs. Turquía</w:t>
      </w:r>
      <w:r w:rsidR="008B18CE" w:rsidRPr="003D49EB">
        <w:rPr>
          <w:rStyle w:val="Refdenotaalpie"/>
          <w:i/>
          <w:szCs w:val="20"/>
        </w:rPr>
        <w:t xml:space="preserve"> </w:t>
      </w:r>
      <w:r w:rsidRPr="003D49EB">
        <w:rPr>
          <w:szCs w:val="20"/>
        </w:rPr>
        <w:t>la Corte Europea consideró como un trato inhumano la destrucción de las casas y sustento de las víctimas, lo</w:t>
      </w:r>
      <w:r w:rsidR="00C33713" w:rsidRPr="003D49EB">
        <w:rPr>
          <w:szCs w:val="20"/>
        </w:rPr>
        <w:t xml:space="preserve"> cual causó su desplazamiento. </w:t>
      </w:r>
    </w:p>
    <w:p w14:paraId="3895411D" w14:textId="77777777" w:rsidR="00665858" w:rsidRPr="003D49EB" w:rsidRDefault="00434CA9" w:rsidP="009A4683">
      <w:pPr>
        <w:spacing w:after="100" w:afterAutospacing="1"/>
        <w:rPr>
          <w:szCs w:val="20"/>
        </w:rPr>
      </w:pPr>
      <w:r w:rsidRPr="003D49EB">
        <w:rPr>
          <w:szCs w:val="20"/>
        </w:rPr>
        <w:lastRenderedPageBreak/>
        <w:t>274.</w:t>
      </w:r>
      <w:r w:rsidRPr="003D49EB">
        <w:rPr>
          <w:szCs w:val="20"/>
        </w:rPr>
        <w:tab/>
        <w:t>A la luz de lo anterior, y tomando en cuenta los hechos particularmente graves del presente caso, la Corte considera que los habitantes de El Aro que perdieron sus domicilios, y por tanto se vieron forzadas a desplazarse, sufrieron un trato inhumano.</w:t>
      </w:r>
      <w:r w:rsidR="008B18CE" w:rsidRPr="003D49EB">
        <w:rPr>
          <w:szCs w:val="20"/>
        </w:rPr>
        <w:t xml:space="preserve"> </w:t>
      </w:r>
      <w:r w:rsidRPr="003D49EB">
        <w:rPr>
          <w:szCs w:val="20"/>
        </w:rPr>
        <w:t>Los acontecimientos ocurridos en El Aro han significado para dichas personas no solo la perdida de sus viviendas, sino también la pérdida de todo su patrimonio, así como la posib</w:t>
      </w:r>
      <w:r w:rsidR="00C33713" w:rsidRPr="003D49EB">
        <w:rPr>
          <w:szCs w:val="20"/>
        </w:rPr>
        <w:t xml:space="preserve">ilidad de regresar a un hogar. </w:t>
      </w:r>
    </w:p>
    <w:p w14:paraId="50EFB8D2" w14:textId="77777777" w:rsidR="00275F75" w:rsidRPr="003D49EB" w:rsidRDefault="00434CA9" w:rsidP="009A4683">
      <w:pPr>
        <w:spacing w:after="100" w:afterAutospacing="1"/>
        <w:rPr>
          <w:szCs w:val="20"/>
        </w:rPr>
      </w:pPr>
      <w:r w:rsidRPr="003D49EB">
        <w:rPr>
          <w:szCs w:val="20"/>
        </w:rPr>
        <w:t>278.</w:t>
      </w:r>
      <w:r w:rsidRPr="003D49EB">
        <w:rPr>
          <w:szCs w:val="20"/>
        </w:rPr>
        <w:tab/>
        <w:t>En relación con el alegato sobre la presunta violación del artículo 5 de la Convención en perjuicio de la población general de El Aro y La Granja, esta Corte considera que, por la gravedad del sufrimiento causado por las masacres en dichos corregimientos y el temor generalizado que provocaron las incursiones paramilitares en este caso, lo cual se enmarca en un patrón de masacres semejantes,</w:t>
      </w:r>
      <w:r w:rsidRPr="003D49EB">
        <w:rPr>
          <w:b/>
          <w:szCs w:val="20"/>
        </w:rPr>
        <w:t xml:space="preserve"> </w:t>
      </w:r>
      <w:r w:rsidRPr="003D49EB">
        <w:rPr>
          <w:szCs w:val="20"/>
        </w:rPr>
        <w:t xml:space="preserve">los pobladores de La Granja y El Aro que no fueron señalados en los párrafos anteriores son víctimas de la violación a la integridad psíquica. </w:t>
      </w:r>
    </w:p>
    <w:p w14:paraId="5044FB71" w14:textId="11801856" w:rsidR="005C32C2" w:rsidRDefault="00DE07E4" w:rsidP="009A4683">
      <w:pPr>
        <w:pStyle w:val="Ttulo2"/>
      </w:pPr>
      <w:bookmarkStart w:id="45" w:name="_Toc530497986"/>
      <w:bookmarkStart w:id="46" w:name="_Toc88914986"/>
      <w:r w:rsidRPr="003D49EB">
        <w:t>Afectación del derecho a la integridad personal en relación al derecho a la atención de salud</w:t>
      </w:r>
      <w:bookmarkEnd w:id="45"/>
      <w:bookmarkEnd w:id="46"/>
      <w:r w:rsidRPr="003D49EB">
        <w:t xml:space="preserve"> </w:t>
      </w:r>
    </w:p>
    <w:p w14:paraId="7A324413" w14:textId="77777777" w:rsidR="003A3C4C" w:rsidRPr="003A3C4C" w:rsidRDefault="003A3C4C" w:rsidP="003A3C4C">
      <w:pPr>
        <w:rPr>
          <w:lang w:val="es-CR"/>
        </w:rPr>
      </w:pPr>
    </w:p>
    <w:p w14:paraId="016F0202" w14:textId="7D4DBD18" w:rsidR="005C32C2" w:rsidRPr="003A3C4C" w:rsidRDefault="00AE6F5A" w:rsidP="009A4683">
      <w:pPr>
        <w:spacing w:after="100" w:afterAutospacing="1"/>
        <w:rPr>
          <w:b/>
          <w:szCs w:val="20"/>
        </w:rPr>
      </w:pPr>
      <w:r w:rsidRPr="003A3C4C">
        <w:rPr>
          <w:b/>
          <w:szCs w:val="20"/>
        </w:rPr>
        <w:t xml:space="preserve">Corte IDH. Caso </w:t>
      </w:r>
      <w:proofErr w:type="spellStart"/>
      <w:r w:rsidRPr="003A3C4C">
        <w:rPr>
          <w:b/>
          <w:szCs w:val="20"/>
        </w:rPr>
        <w:t>Ximenes</w:t>
      </w:r>
      <w:proofErr w:type="spellEnd"/>
      <w:r w:rsidRPr="003A3C4C">
        <w:rPr>
          <w:b/>
          <w:szCs w:val="20"/>
        </w:rPr>
        <w:t xml:space="preserve"> </w:t>
      </w:r>
      <w:proofErr w:type="spellStart"/>
      <w:r w:rsidRPr="003A3C4C">
        <w:rPr>
          <w:b/>
          <w:szCs w:val="20"/>
        </w:rPr>
        <w:t>Lopes</w:t>
      </w:r>
      <w:proofErr w:type="spellEnd"/>
      <w:r w:rsidRPr="003A3C4C">
        <w:rPr>
          <w:b/>
          <w:szCs w:val="20"/>
        </w:rPr>
        <w:t xml:space="preserve"> Vs. Brasil. Sentencia de 4 de julio de 2006. Serie C No. 149.</w:t>
      </w:r>
      <w:r w:rsidR="005C32C2" w:rsidRPr="003A3C4C">
        <w:rPr>
          <w:b/>
          <w:szCs w:val="20"/>
        </w:rPr>
        <w:t xml:space="preserve"> </w:t>
      </w:r>
    </w:p>
    <w:p w14:paraId="1AACC60B" w14:textId="77777777" w:rsidR="005C32C2" w:rsidRPr="003D49EB" w:rsidRDefault="005C32C2" w:rsidP="009A4683">
      <w:pPr>
        <w:spacing w:after="100" w:afterAutospacing="1"/>
        <w:rPr>
          <w:szCs w:val="20"/>
          <w:lang w:val="es-ES_tradnl"/>
        </w:rPr>
      </w:pPr>
      <w:r w:rsidRPr="003D49EB">
        <w:rPr>
          <w:szCs w:val="20"/>
          <w:lang w:val="es-ES_tradnl"/>
        </w:rPr>
        <w:t>131.</w:t>
      </w:r>
      <w:r w:rsidRPr="003D49EB">
        <w:rPr>
          <w:szCs w:val="20"/>
          <w:lang w:val="es-ES_tradnl"/>
        </w:rPr>
        <w:tab/>
        <w:t>Los Principios para la Protección de los Enfermos Mentales y el Mejoramiento de la Atención de la Salud Mental de las Naciones Unidas ofrecen una guía útil para determinar si la atención médica ha observado los cuidados mínimos para preservar la dignidad del paciente.</w:t>
      </w:r>
      <w:r w:rsidR="008B18CE" w:rsidRPr="003D49EB">
        <w:rPr>
          <w:szCs w:val="20"/>
          <w:lang w:val="es-ES_tradnl"/>
        </w:rPr>
        <w:t xml:space="preserve"> </w:t>
      </w:r>
      <w:r w:rsidRPr="003D49EB">
        <w:rPr>
          <w:szCs w:val="20"/>
          <w:lang w:val="es-ES_tradnl"/>
        </w:rPr>
        <w:t>Los principios</w:t>
      </w:r>
      <w:r w:rsidRPr="003D49EB">
        <w:rPr>
          <w:b/>
          <w:szCs w:val="20"/>
          <w:lang w:val="es-ES_tradnl"/>
        </w:rPr>
        <w:t xml:space="preserve"> </w:t>
      </w:r>
      <w:r w:rsidRPr="003D49EB">
        <w:rPr>
          <w:szCs w:val="20"/>
          <w:lang w:val="es-ES_tradnl"/>
        </w:rPr>
        <w:t>1, 8 y 9 del mencionado catálogo, establecen las libertades fundamentales y los derechos básicos, y las normas de la atención médica y del tratamiento a ser prestado a las personas con discapacidad mental.</w:t>
      </w:r>
      <w:r w:rsidR="008B18CE" w:rsidRPr="003D49EB">
        <w:rPr>
          <w:szCs w:val="20"/>
          <w:lang w:val="es-ES_tradnl"/>
        </w:rPr>
        <w:t xml:space="preserve"> </w:t>
      </w:r>
      <w:r w:rsidRPr="003D49EB">
        <w:rPr>
          <w:szCs w:val="20"/>
          <w:lang w:val="es-ES_tradnl"/>
        </w:rPr>
        <w:t>Además, el lugar y las condiciones físicas en que se desarrolla el tratamiento deben ser conformes con el respeto a la dignidad de la persona, de acuerdo con el Principio 13.</w:t>
      </w:r>
    </w:p>
    <w:p w14:paraId="71365A21" w14:textId="77777777" w:rsidR="005C32C2" w:rsidRPr="003D49EB" w:rsidRDefault="005C32C2" w:rsidP="009A4683">
      <w:pPr>
        <w:pStyle w:val="Textoindependiente"/>
        <w:spacing w:after="100" w:afterAutospacing="1"/>
        <w:rPr>
          <w:rFonts w:ascii="Verdana" w:hAnsi="Verdana"/>
          <w:sz w:val="20"/>
        </w:rPr>
      </w:pPr>
      <w:r w:rsidRPr="003D49EB">
        <w:rPr>
          <w:rFonts w:ascii="Verdana" w:hAnsi="Verdana"/>
          <w:sz w:val="20"/>
        </w:rPr>
        <w:t>132.</w:t>
      </w:r>
      <w:r w:rsidRPr="003D49EB">
        <w:rPr>
          <w:rFonts w:ascii="Verdana" w:hAnsi="Verdana"/>
          <w:sz w:val="20"/>
        </w:rPr>
        <w:tab/>
        <w:t xml:space="preserve">La Corte considera que las precarias condiciones de funcionamiento de la Casa de Reposo </w:t>
      </w:r>
      <w:proofErr w:type="spellStart"/>
      <w:r w:rsidRPr="003D49EB">
        <w:rPr>
          <w:rFonts w:ascii="Verdana" w:hAnsi="Verdana"/>
          <w:sz w:val="20"/>
        </w:rPr>
        <w:t>Guararapes</w:t>
      </w:r>
      <w:proofErr w:type="spellEnd"/>
      <w:r w:rsidRPr="003D49EB">
        <w:rPr>
          <w:rFonts w:ascii="Verdana" w:hAnsi="Verdana"/>
          <w:sz w:val="20"/>
        </w:rPr>
        <w:t xml:space="preserve">, tanto en cuanto las condiciones generales del lugar como la atención médica, se distanciaban de forma significativa a las adecuadas para ofrecer un tratamiento de salud digno, particularmente en razón de que afectaban a personas con una gran vulnerabilidad por su discapacidad mental, y eran </w:t>
      </w:r>
      <w:r w:rsidRPr="003D49EB">
        <w:rPr>
          <w:rFonts w:ascii="Verdana" w:hAnsi="Verdana"/>
          <w:i/>
          <w:sz w:val="20"/>
        </w:rPr>
        <w:t>per se</w:t>
      </w:r>
      <w:r w:rsidRPr="003D49EB">
        <w:rPr>
          <w:rFonts w:ascii="Verdana" w:hAnsi="Verdana"/>
          <w:sz w:val="20"/>
        </w:rPr>
        <w:t xml:space="preserve"> incompatibles con una protección adecuada de la integridad personal y de la vida.</w:t>
      </w:r>
      <w:r w:rsidR="008B18CE" w:rsidRPr="003D49EB">
        <w:rPr>
          <w:rFonts w:ascii="Verdana" w:hAnsi="Verdana"/>
          <w:sz w:val="20"/>
        </w:rPr>
        <w:t xml:space="preserve"> </w:t>
      </w:r>
    </w:p>
    <w:p w14:paraId="4D2C89EE" w14:textId="77777777" w:rsidR="005C32C2" w:rsidRPr="003D49EB" w:rsidRDefault="005C32C2" w:rsidP="009A4683">
      <w:pPr>
        <w:spacing w:after="100" w:afterAutospacing="1"/>
        <w:rPr>
          <w:szCs w:val="20"/>
          <w:lang w:val="es-ES_tradnl"/>
        </w:rPr>
      </w:pPr>
      <w:r w:rsidRPr="003D49EB">
        <w:rPr>
          <w:szCs w:val="20"/>
          <w:lang w:val="es-ES_tradnl"/>
        </w:rPr>
        <w:t>133.</w:t>
      </w:r>
      <w:r w:rsidRPr="003D49EB">
        <w:rPr>
          <w:szCs w:val="20"/>
          <w:lang w:val="es-ES_tradnl"/>
        </w:rPr>
        <w:tab/>
        <w:t>La sujeción se entiende como cualquier acción que interfiera con la capacidad de un paciente de tomar decisiones o que restringe su libertad de movimiento.</w:t>
      </w:r>
      <w:r w:rsidR="008B18CE" w:rsidRPr="003D49EB">
        <w:rPr>
          <w:szCs w:val="20"/>
          <w:lang w:val="es-ES_tradnl"/>
        </w:rPr>
        <w:t xml:space="preserve"> </w:t>
      </w:r>
      <w:r w:rsidRPr="003D49EB">
        <w:rPr>
          <w:szCs w:val="20"/>
          <w:lang w:val="es-ES_tradnl"/>
        </w:rPr>
        <w:t>La Corte toma nota que el uso de la sujeción posee un alto riesgo de ocasionar daños o la muerte del paciente, y que las caídas y lesiones son comunes durante dicho procedimiento.</w:t>
      </w:r>
    </w:p>
    <w:p w14:paraId="40B43AEA" w14:textId="77777777" w:rsidR="005C32C2" w:rsidRPr="003D49EB" w:rsidRDefault="005C32C2" w:rsidP="009A4683">
      <w:pPr>
        <w:spacing w:after="100" w:afterAutospacing="1"/>
        <w:rPr>
          <w:szCs w:val="20"/>
          <w:lang w:val="es-ES_tradnl"/>
        </w:rPr>
      </w:pPr>
      <w:r w:rsidRPr="003D49EB">
        <w:rPr>
          <w:szCs w:val="20"/>
          <w:lang w:val="es-ES_tradnl"/>
        </w:rPr>
        <w:t>134.</w:t>
      </w:r>
      <w:r w:rsidRPr="003D49EB">
        <w:rPr>
          <w:szCs w:val="20"/>
          <w:lang w:val="es-ES_tradnl"/>
        </w:rPr>
        <w:tab/>
        <w:t>El Tribunal considera que la sujeción es una de las medidas más agresivas a que puede ser sometido un paciente en tratamiento psiquiátrico.</w:t>
      </w:r>
      <w:r w:rsidR="008B18CE" w:rsidRPr="003D49EB">
        <w:rPr>
          <w:szCs w:val="20"/>
          <w:lang w:val="es-ES_tradnl"/>
        </w:rPr>
        <w:t xml:space="preserve"> </w:t>
      </w:r>
      <w:r w:rsidRPr="003D49EB">
        <w:rPr>
          <w:szCs w:val="20"/>
          <w:lang w:val="es-ES_tradnl"/>
        </w:rPr>
        <w:t>Para que esté en conformidad con el respeto a la integridad psíquica, física y moral de la persona, según los parámetros exigidos por el artículo 5 de la Convención Americana, debe ser empleada como medida de último recurso y únicamente con la finalidad de proteger al paciente, o bien al personal médico y a terceros, cuando el comportamiento de la persona en cuestión sea tal que ésta represente una amenaza a la seguridad de aquéllos.</w:t>
      </w:r>
      <w:r w:rsidR="008B18CE" w:rsidRPr="003D49EB">
        <w:rPr>
          <w:szCs w:val="20"/>
          <w:lang w:val="es-ES_tradnl"/>
        </w:rPr>
        <w:t xml:space="preserve"> </w:t>
      </w:r>
      <w:r w:rsidRPr="003D49EB">
        <w:rPr>
          <w:szCs w:val="20"/>
          <w:lang w:val="es-ES_tradnl"/>
        </w:rPr>
        <w:t>La sujeción no puede tener otro motivo sino éste, y sólo debe ser llevada a cabo por personal calificado y no por los pacientes.</w:t>
      </w:r>
      <w:r w:rsidR="008B18CE" w:rsidRPr="003D49EB">
        <w:rPr>
          <w:szCs w:val="20"/>
          <w:lang w:val="es-ES_tradnl"/>
        </w:rPr>
        <w:t xml:space="preserve"> </w:t>
      </w:r>
    </w:p>
    <w:p w14:paraId="5D44F979" w14:textId="77777777" w:rsidR="005C32C2" w:rsidRPr="003D49EB" w:rsidRDefault="005C32C2" w:rsidP="009A4683">
      <w:pPr>
        <w:spacing w:after="100" w:afterAutospacing="1"/>
        <w:rPr>
          <w:rFonts w:eastAsia="Arial Unicode MS" w:cs="Arial Unicode MS"/>
          <w:szCs w:val="20"/>
          <w:lang w:val="es-ES_tradnl"/>
        </w:rPr>
      </w:pPr>
      <w:r w:rsidRPr="003D49EB">
        <w:rPr>
          <w:szCs w:val="20"/>
          <w:lang w:val="es-ES_tradnl"/>
        </w:rPr>
        <w:lastRenderedPageBreak/>
        <w:t>135.</w:t>
      </w:r>
      <w:r w:rsidRPr="003D49EB">
        <w:rPr>
          <w:szCs w:val="20"/>
          <w:lang w:val="es-ES_tradnl"/>
        </w:rPr>
        <w:tab/>
        <w:t>Además, y en consideración de que todo tratamiento debe ser elegido con base en el mejor interés del paciente y en respeto de</w:t>
      </w:r>
      <w:r w:rsidRPr="003D49EB">
        <w:rPr>
          <w:b/>
          <w:szCs w:val="20"/>
          <w:lang w:val="es-ES_tradnl"/>
        </w:rPr>
        <w:t xml:space="preserve"> </w:t>
      </w:r>
      <w:r w:rsidRPr="003D49EB">
        <w:rPr>
          <w:szCs w:val="20"/>
          <w:lang w:val="es-ES_tradnl"/>
        </w:rPr>
        <w:t xml:space="preserve">su autonomía, el personal médico debe aplicar el método de sujeción que sea menos restrictivo, después de una evaluación de su necesidad, por el período que sea absolutamente necesario, y en condiciones que respeten la dignidad del paciente y que minimicen los riesgos al deterioro de su salud. </w:t>
      </w:r>
    </w:p>
    <w:p w14:paraId="3A238853" w14:textId="77777777" w:rsidR="00547489" w:rsidRPr="003D49EB" w:rsidRDefault="005C32C2" w:rsidP="009A4683">
      <w:pPr>
        <w:spacing w:after="100" w:afterAutospacing="1"/>
        <w:rPr>
          <w:szCs w:val="20"/>
          <w:lang w:val="es-ES_tradnl"/>
        </w:rPr>
      </w:pPr>
      <w:r w:rsidRPr="003D49EB">
        <w:rPr>
          <w:szCs w:val="20"/>
          <w:lang w:val="es-ES_tradnl"/>
        </w:rPr>
        <w:t>136.</w:t>
      </w:r>
      <w:r w:rsidRPr="003D49EB">
        <w:rPr>
          <w:szCs w:val="20"/>
          <w:lang w:val="es-ES_tradnl"/>
        </w:rPr>
        <w:tab/>
        <w:t xml:space="preserve">Al señor </w:t>
      </w:r>
      <w:proofErr w:type="spellStart"/>
      <w:r w:rsidRPr="003D49EB">
        <w:rPr>
          <w:szCs w:val="20"/>
          <w:lang w:val="es-ES_tradnl"/>
        </w:rPr>
        <w:t>Damião</w:t>
      </w:r>
      <w:proofErr w:type="spellEnd"/>
      <w:r w:rsidRPr="003D49EB">
        <w:rPr>
          <w:szCs w:val="20"/>
          <w:lang w:val="es-ES_tradnl"/>
        </w:rPr>
        <w:t xml:space="preserve"> </w:t>
      </w:r>
      <w:proofErr w:type="spellStart"/>
      <w:r w:rsidRPr="003D49EB">
        <w:rPr>
          <w:szCs w:val="20"/>
          <w:lang w:val="es-ES_tradnl"/>
        </w:rPr>
        <w:t>Ximenes</w:t>
      </w:r>
      <w:proofErr w:type="spellEnd"/>
      <w:r w:rsidRPr="003D49EB">
        <w:rPr>
          <w:szCs w:val="20"/>
          <w:lang w:val="es-ES_tradnl"/>
        </w:rPr>
        <w:t xml:space="preserve"> </w:t>
      </w:r>
      <w:proofErr w:type="spellStart"/>
      <w:r w:rsidRPr="003D49EB">
        <w:rPr>
          <w:szCs w:val="20"/>
          <w:lang w:val="es-ES_tradnl"/>
        </w:rPr>
        <w:t>Lopes</w:t>
      </w:r>
      <w:proofErr w:type="spellEnd"/>
      <w:r w:rsidRPr="003D49EB">
        <w:rPr>
          <w:szCs w:val="20"/>
          <w:lang w:val="es-ES_tradnl"/>
        </w:rPr>
        <w:t xml:space="preserve"> se le sujetó con las manos hacia atrás entre la noche del domingo y el lunes por la mañana sin una reevaluación de la necesidad de proseguir en la contención, y se le dejó caminar sin la adecuada supervisión.</w:t>
      </w:r>
      <w:r w:rsidR="008B18CE" w:rsidRPr="003D49EB">
        <w:rPr>
          <w:szCs w:val="20"/>
          <w:lang w:val="es-ES_tradnl"/>
        </w:rPr>
        <w:t xml:space="preserve"> </w:t>
      </w:r>
      <w:r w:rsidRPr="003D49EB">
        <w:rPr>
          <w:szCs w:val="20"/>
          <w:lang w:val="es-ES_tradnl"/>
        </w:rPr>
        <w:t>Esta forma de sujeción física a que fue sometida la presunta víctima no satisface la necesidad de proveer al paciente un tratamiento digno, ni la protección de su integridad psíquica, física o moral.</w:t>
      </w:r>
    </w:p>
    <w:p w14:paraId="0031AB2D" w14:textId="24F051C3" w:rsidR="00DD1B60" w:rsidRPr="003D49EB" w:rsidRDefault="003A3C4C" w:rsidP="009A4683">
      <w:pPr>
        <w:spacing w:after="100" w:afterAutospacing="1"/>
        <w:rPr>
          <w:szCs w:val="20"/>
          <w:lang w:val="es-ES_tradnl"/>
        </w:rPr>
      </w:pPr>
      <w:r w:rsidRPr="003A3C4C">
        <w:rPr>
          <w:b/>
          <w:szCs w:val="20"/>
        </w:rPr>
        <w:t xml:space="preserve">Corte IDH. Caso Vera </w:t>
      </w:r>
      <w:proofErr w:type="spellStart"/>
      <w:r w:rsidRPr="003A3C4C">
        <w:rPr>
          <w:b/>
          <w:szCs w:val="20"/>
        </w:rPr>
        <w:t>Vera</w:t>
      </w:r>
      <w:proofErr w:type="spellEnd"/>
      <w:r w:rsidRPr="003A3C4C">
        <w:rPr>
          <w:b/>
          <w:szCs w:val="20"/>
        </w:rPr>
        <w:t xml:space="preserve"> y otra Vs. Ecuador. Excepción Preliminar, Fondo, Reparaciones y Costas. Sentencia de 19 de mayo de 2011. Serie C No. 226.</w:t>
      </w:r>
      <w:r>
        <w:rPr>
          <w:rStyle w:val="Refdenotaalpie"/>
          <w:b/>
          <w:szCs w:val="20"/>
        </w:rPr>
        <w:footnoteReference w:id="52"/>
      </w:r>
    </w:p>
    <w:p w14:paraId="0C809AB8" w14:textId="77777777" w:rsidR="00DD1B60" w:rsidRPr="003D49EB" w:rsidRDefault="00DD1B60" w:rsidP="009A4683">
      <w:pPr>
        <w:spacing w:after="100" w:afterAutospacing="1"/>
        <w:rPr>
          <w:szCs w:val="20"/>
        </w:rPr>
      </w:pPr>
      <w:r w:rsidRPr="003D49EB">
        <w:rPr>
          <w:szCs w:val="20"/>
        </w:rPr>
        <w:t>43.</w:t>
      </w:r>
      <w:r w:rsidRPr="003D49EB">
        <w:rPr>
          <w:szCs w:val="20"/>
        </w:rPr>
        <w:tab/>
        <w:t xml:space="preserve">Los derechos a la vida y a la integridad personal se hallan directa e inmediatamente vinculados con la atención a la salud humana. En este sentido, el artículo 10 del Protocolo Adicional a la Convención Americana sobre Derechos Humanos en materia de Derechos Económicos, Sociales y Culturales establece que toda persona tiene derecho a la salud, entendida como el disfrute del más alto nivel de bienestar físico, mental y social, e indica que la salud es un bien público. Así, esta Corte ha establecido que el Estado tiene el deber, como garante de la salud de las personas bajo su custodia, de proporcionar a los detenidos revisión médica regular y atención y tratamiento médicos adecuados cuando así se requiera. </w:t>
      </w:r>
    </w:p>
    <w:p w14:paraId="3CBC2F41" w14:textId="77777777" w:rsidR="00DD1B60" w:rsidRPr="003D49EB" w:rsidRDefault="00DD1B60" w:rsidP="009A4683">
      <w:pPr>
        <w:spacing w:after="100" w:afterAutospacing="1"/>
        <w:rPr>
          <w:szCs w:val="20"/>
        </w:rPr>
      </w:pPr>
      <w:r w:rsidRPr="003D49EB">
        <w:rPr>
          <w:szCs w:val="20"/>
        </w:rPr>
        <w:t>44.</w:t>
      </w:r>
      <w:r w:rsidRPr="003D49EB">
        <w:rPr>
          <w:szCs w:val="20"/>
        </w:rPr>
        <w:tab/>
        <w:t>Este Tribunal ha señalado que la falta de atención médica adecuada no satisface los requisitos materiales mínimos de un tratamiento digno conforme a la condición de ser humano en el sentido del artículo 5 de la Convención Americana. Así, la falta de atención médica adecuada a una persona que se encuentra privada de la libertad y bajo custodia del Estado podría considerarse violatoria del artículo 5.1 y 5.2 de la Convención dependiendo de las circunstancias concretas de la persona en particular, tales como su estado de salud o el tipo de dolencia que padece, el lapso transcurrido sin atención, sus efectos físicos y</w:t>
      </w:r>
      <w:r w:rsidR="00ED5598" w:rsidRPr="003D49EB">
        <w:rPr>
          <w:szCs w:val="20"/>
        </w:rPr>
        <w:t xml:space="preserve"> mentales acumulativos </w:t>
      </w:r>
      <w:r w:rsidRPr="003D49EB">
        <w:rPr>
          <w:szCs w:val="20"/>
        </w:rPr>
        <w:t>y, en algunos casos, el sexo y la edad de la misma, entre otros.</w:t>
      </w:r>
    </w:p>
    <w:p w14:paraId="1A6DB17D" w14:textId="77777777" w:rsidR="00DD1B60" w:rsidRPr="003D49EB" w:rsidRDefault="00DD1B60" w:rsidP="009A4683">
      <w:pPr>
        <w:spacing w:after="100" w:afterAutospacing="1"/>
        <w:rPr>
          <w:szCs w:val="20"/>
          <w:lang w:val="es-EC"/>
        </w:rPr>
      </w:pPr>
      <w:r w:rsidRPr="003D49EB">
        <w:rPr>
          <w:szCs w:val="20"/>
          <w:lang w:val="es-EC"/>
        </w:rPr>
        <w:t>75.</w:t>
      </w:r>
      <w:r w:rsidRPr="003D49EB">
        <w:rPr>
          <w:szCs w:val="20"/>
          <w:lang w:val="es-EC"/>
        </w:rPr>
        <w:tab/>
        <w:t xml:space="preserve">En definitiva, el Tribunal observa que en este caso, el Estado no brindó atención médica adecuada y oportuna al señor Pedro Miguel Vera Vera. Lo anterior, puesto que éste fue dado de alta luego de su primer internamiento en el Hospital de Santo Domingo de los Colorados sin que se hubiesen realizado los exámenes o diagnósticos pertinentes en atención a las lesiones que presentaba […]; cuando estuvo detenido en el Centro de Detención Provisional de Santo Domingo, el Estado no dispuso inmediatamente el traslado del señor Vera Vera a un hospital que contara con las facilidades para atender sus necesidades de salud sino que se le mantuvo en ese lugar hasta que las complicaciones de su herida fueron evidentes […]; cuando se le trasladó por segunda vez al Hospital de Santo Domingo de los Colorados el señor Vera Vera no fue intervenido quirúrgicamente ni se adoptaron otras medidas apropiadas para atender su grave estado de salud, lo cual le provocó un deterioro </w:t>
      </w:r>
      <w:r w:rsidRPr="003D49EB">
        <w:rPr>
          <w:szCs w:val="20"/>
          <w:lang w:val="es-EC"/>
        </w:rPr>
        <w:lastRenderedPageBreak/>
        <w:t>físico mayor […]. Posteriormente, en el hospital Eugenio Espejo de Quito ya no se pudo salvar la vida del señor Vera Vera dado que su condición de salud era ya muy delicada. En definitiva, la intervención quirúrgica que requería el señor Vera Vera no se realizó sino hasta diez días después de que recibió un impacto de bala y fue detenido, no obstante su grave estado de salud […]. Además, la atención médica brindada por el Estado fue impulsada por la señora Vera Valdez en reiteradas ocasiones […]. Para la Corte, la serie de omisiones en que incurrió el Estado a través de sus agentes a lo largo del tiempo en que Pedro Miguel Vera Vera estuvo bajo su custodia constituyó negligencia médica que resultó en su muerte, lo cual compromete su responsabilidad internacional.</w:t>
      </w:r>
      <w:r w:rsidR="008B18CE" w:rsidRPr="003D49EB">
        <w:rPr>
          <w:szCs w:val="20"/>
          <w:lang w:val="es-EC"/>
        </w:rPr>
        <w:t xml:space="preserve"> </w:t>
      </w:r>
    </w:p>
    <w:p w14:paraId="7D3ECDA4" w14:textId="77777777" w:rsidR="00DD1B60" w:rsidRPr="003D49EB" w:rsidRDefault="00DD1B60" w:rsidP="009A4683">
      <w:pPr>
        <w:spacing w:after="100" w:afterAutospacing="1"/>
        <w:rPr>
          <w:szCs w:val="20"/>
          <w:lang w:val="es-EC"/>
        </w:rPr>
      </w:pPr>
      <w:r w:rsidRPr="003D49EB">
        <w:rPr>
          <w:szCs w:val="20"/>
          <w:lang w:val="es-EC"/>
        </w:rPr>
        <w:t>76.</w:t>
      </w:r>
      <w:r w:rsidRPr="003D49EB">
        <w:rPr>
          <w:szCs w:val="20"/>
          <w:lang w:val="es-EC"/>
        </w:rPr>
        <w:tab/>
        <w:t>Adicionalmente, la Corte considera útil remitirse a jurisprudencia de la Corte Europea de Derechos Humanos en casos en los cuales ha habido un tratamiento médico negligente o deficiente a personas privadas de la libertad, en un grado tal que dicho Tribunal Europeo ha considerado que los Estados han incurrido en violación del artículo 3 de la Convención Europea de Derechos Humanos, el cual consagra la prohibición, entre otros, de los tratos crueles, inhumanos y degradantes. Al respecto, la Corte Europea ha considerado que en el análisis de este tipo de violaciones:</w:t>
      </w:r>
    </w:p>
    <w:p w14:paraId="6D64067C" w14:textId="77777777" w:rsidR="00DD1B60" w:rsidRPr="003D49EB" w:rsidRDefault="00DD1B60" w:rsidP="00AB7BFF">
      <w:pPr>
        <w:spacing w:after="100" w:afterAutospacing="1"/>
        <w:ind w:left="1416" w:right="-7"/>
        <w:rPr>
          <w:sz w:val="18"/>
          <w:szCs w:val="18"/>
          <w:lang w:val="es-EC"/>
        </w:rPr>
      </w:pPr>
      <w:r w:rsidRPr="003D49EB">
        <w:rPr>
          <w:sz w:val="18"/>
          <w:szCs w:val="18"/>
          <w:lang w:val="es-EC"/>
        </w:rPr>
        <w:t>[l]os malos tratos deberán alcanzar un nivel mínimo de gravedad para que puedan ubicarse en el marco del Artículo 3. La evaluación de este nivel mínimo es, naturalmente, relativa; depende de todas las circunstancias del caso, tales como la duración de los tratos, sus efectos físicos y mentales y, en algunos casos, el género, la edad, y estado de salud de la víctima […]. Si bien el propósito de esos tratos es un factor que debe considerarse, en particular si tuvieron el propósito de humillar o degradar a la víctima o no, la ausencia de tal propósito no lleva inevitablemente a la conclusión que no ha habido violación del artículo 3[.]</w:t>
      </w:r>
    </w:p>
    <w:p w14:paraId="3159B145" w14:textId="0EAD16E3" w:rsidR="00DD1B60" w:rsidRPr="003D49EB" w:rsidRDefault="00DD1B60" w:rsidP="009A4683">
      <w:pPr>
        <w:spacing w:after="100" w:afterAutospacing="1"/>
        <w:rPr>
          <w:szCs w:val="20"/>
          <w:lang w:val="es-EC"/>
        </w:rPr>
      </w:pPr>
      <w:r w:rsidRPr="003D49EB">
        <w:rPr>
          <w:szCs w:val="20"/>
          <w:lang w:val="es-EC"/>
        </w:rPr>
        <w:t>76. Además, no puede excluirse la posibilidad de que la detención de una persona enferma pueda dar lugar a controversias bajo el Artículo 3 de la Convención[.]</w:t>
      </w:r>
    </w:p>
    <w:p w14:paraId="58F25F09" w14:textId="78F05B4D" w:rsidR="00DD1B60" w:rsidRPr="003D49EB" w:rsidRDefault="00DD1B60" w:rsidP="009A4683">
      <w:pPr>
        <w:spacing w:after="100" w:afterAutospacing="1"/>
        <w:rPr>
          <w:szCs w:val="20"/>
          <w:lang w:val="es-EC"/>
        </w:rPr>
      </w:pPr>
      <w:r w:rsidRPr="003D49EB">
        <w:rPr>
          <w:szCs w:val="20"/>
          <w:lang w:val="es-EC"/>
        </w:rPr>
        <w:t>77.</w:t>
      </w:r>
      <w:r w:rsidRPr="003D49EB">
        <w:rPr>
          <w:szCs w:val="20"/>
          <w:lang w:val="es-EC"/>
        </w:rPr>
        <w:tab/>
        <w:t>Así, la Corte Europea ha tomado en cuenta factores tales como la falta de asistencia médica de emergencia y especializada pertinente, deterioro excesivo de la salud física y mental de la persona privada de la libertad y exposición a dolor severo o prolongado a consecuencia de la falta de atención médica oportuna y diligente, las condiciones excesivas de seguridad a las que se ha sometido a la persona a pesar de su evidente estado de salud grave y sin existir fundamentos o evidencias que las hicieran necesarias, entre otros, para valorar si se ha dado un tratamiento inhumano o degradante a la persona privada de la libertad</w:t>
      </w:r>
      <w:r w:rsidR="006A660B" w:rsidRPr="003D49EB">
        <w:rPr>
          <w:szCs w:val="20"/>
          <w:lang w:val="es-EC"/>
        </w:rPr>
        <w:t>.</w:t>
      </w:r>
      <w:r w:rsidRPr="003D49EB">
        <w:rPr>
          <w:szCs w:val="20"/>
          <w:lang w:val="es-EC"/>
        </w:rPr>
        <w:t xml:space="preserve"> </w:t>
      </w:r>
    </w:p>
    <w:p w14:paraId="6534B43C" w14:textId="77777777" w:rsidR="00DD1B60" w:rsidRPr="003D49EB" w:rsidRDefault="00DD1B60" w:rsidP="009A4683">
      <w:pPr>
        <w:spacing w:after="100" w:afterAutospacing="1"/>
        <w:rPr>
          <w:szCs w:val="20"/>
          <w:lang w:val="es-EC"/>
        </w:rPr>
      </w:pPr>
      <w:r w:rsidRPr="003D49EB">
        <w:rPr>
          <w:szCs w:val="20"/>
          <w:lang w:val="es-EC"/>
        </w:rPr>
        <w:t>78.</w:t>
      </w:r>
      <w:r w:rsidRPr="003D49EB">
        <w:rPr>
          <w:szCs w:val="20"/>
          <w:lang w:val="es-EC"/>
        </w:rPr>
        <w:tab/>
        <w:t xml:space="preserve">Al respecto, el Tribunal observa que en el presente caso la negligencia médica de las autoridades estatales ante el tipo de lesión que sufrió el señor Vera Vera, es decir, una herida de bala, ocasionó un doloroso deterioro en su estado físico durante el transcurso de diez días, que culminó con su muerte, resultados que pudieron haberse evitado con tratamiento médico adecuado y oportuno […]. Asimismo, por su estado de salud y por su privación de libertad, era evidente que el señor Vera Vera no hubiera podido valerse por sí mismo para que fuera atendido de manera oportuna ya que ello era una obligación de las autoridades que estaban a cargo de su custodia. Para la Corte, estos hechos configuran tratos inhumanos y degradantes en el sentido del artículo 5.2 de la Convención Americana en detrimento del señor Vera Vera. </w:t>
      </w:r>
    </w:p>
    <w:p w14:paraId="31F34514" w14:textId="77777777" w:rsidR="00DD1B60" w:rsidRPr="003D49EB" w:rsidRDefault="00DD1B60" w:rsidP="009A4683">
      <w:pPr>
        <w:spacing w:after="100" w:afterAutospacing="1"/>
        <w:rPr>
          <w:szCs w:val="20"/>
          <w:lang w:val="es-EC"/>
        </w:rPr>
      </w:pPr>
      <w:r w:rsidRPr="003D49EB">
        <w:rPr>
          <w:szCs w:val="20"/>
          <w:lang w:val="es-EC"/>
        </w:rPr>
        <w:t>79.</w:t>
      </w:r>
      <w:r w:rsidRPr="003D49EB">
        <w:rPr>
          <w:szCs w:val="20"/>
          <w:lang w:val="es-EC"/>
        </w:rPr>
        <w:tab/>
        <w:t>Por lo tanto, para este Tribunal es claro que la falta de atención adecuada y oportuna mientras el señor Pedro Miguel Vera Vera se encontraba bajo custodia del Estado generó violaciones a sus derechos a la integridad personal y a la vida, por lo cual estima que el Estado ecuatoriano violó los artículos 5.1, 5.2 y 4.1 de la Convención Americana, en relación con el artículo 1.1 de la misma, en su perjuicio.</w:t>
      </w:r>
    </w:p>
    <w:p w14:paraId="5CADDD97" w14:textId="43AAF20A" w:rsidR="00792130" w:rsidRPr="003D49EB" w:rsidRDefault="008624B8" w:rsidP="009A4683">
      <w:pPr>
        <w:spacing w:after="100" w:afterAutospacing="1"/>
        <w:rPr>
          <w:b/>
          <w:bCs/>
          <w:szCs w:val="20"/>
          <w:shd w:val="clear" w:color="auto" w:fill="FFFFFF"/>
        </w:rPr>
      </w:pPr>
      <w:r w:rsidRPr="008624B8">
        <w:rPr>
          <w:b/>
          <w:bCs/>
          <w:szCs w:val="20"/>
          <w:shd w:val="clear" w:color="auto" w:fill="FFFFFF"/>
        </w:rPr>
        <w:lastRenderedPageBreak/>
        <w:t>Corte IDH. Caso Díaz Peña Vs. Venezuela. Excepción Preliminar, Fondo, Reparaciones y Costas. Sentencia de 26 de junio de 2012. Serie C No. 244</w:t>
      </w:r>
      <w:r w:rsidR="00792130" w:rsidRPr="003D49EB">
        <w:rPr>
          <w:b/>
          <w:bCs/>
          <w:szCs w:val="20"/>
          <w:shd w:val="clear" w:color="auto" w:fill="FFFFFF"/>
        </w:rPr>
        <w:t>.</w:t>
      </w:r>
      <w:r>
        <w:rPr>
          <w:rStyle w:val="Refdenotaalpie"/>
          <w:b/>
          <w:bCs/>
          <w:szCs w:val="20"/>
          <w:shd w:val="clear" w:color="auto" w:fill="FFFFFF"/>
        </w:rPr>
        <w:footnoteReference w:id="53"/>
      </w:r>
      <w:r w:rsidR="00792130" w:rsidRPr="003D49EB">
        <w:rPr>
          <w:b/>
          <w:bCs/>
          <w:szCs w:val="20"/>
          <w:shd w:val="clear" w:color="auto" w:fill="FFFFFF"/>
        </w:rPr>
        <w:t xml:space="preserve"> </w:t>
      </w:r>
    </w:p>
    <w:p w14:paraId="151AD515" w14:textId="2153C1C8" w:rsidR="00792130" w:rsidRPr="003D49EB" w:rsidRDefault="00792130" w:rsidP="009A4683">
      <w:pPr>
        <w:autoSpaceDE w:val="0"/>
        <w:autoSpaceDN w:val="0"/>
        <w:adjustRightInd w:val="0"/>
        <w:spacing w:after="100" w:afterAutospacing="1"/>
        <w:rPr>
          <w:szCs w:val="20"/>
        </w:rPr>
      </w:pPr>
      <w:r w:rsidRPr="003D49EB">
        <w:rPr>
          <w:szCs w:val="20"/>
        </w:rPr>
        <w:t>137.</w:t>
      </w:r>
      <w:r w:rsidRPr="003D49EB">
        <w:rPr>
          <w:szCs w:val="20"/>
        </w:rPr>
        <w:tab/>
        <w:t>Asimismo</w:t>
      </w:r>
      <w:r w:rsidRPr="003D49EB">
        <w:rPr>
          <w:bCs/>
          <w:szCs w:val="20"/>
        </w:rPr>
        <w:t xml:space="preserve">, la Corte ha señalado que, de las obligaciones generales de respetar y garantizar los derechos que establece el artículo 1.1 de la Convención Americana, derivan deberes especiales determinables en función de las particulares necesidades de protección del sujeto de derecho, ya sea por su condición personal o por la situación específica en que se encuentre. Así, </w:t>
      </w:r>
      <w:r w:rsidRPr="003D49EB">
        <w:rPr>
          <w:rFonts w:cs="Verdana"/>
          <w:szCs w:val="20"/>
        </w:rPr>
        <w:t xml:space="preserve">el Estado tiene el deber de proporcionar a los detenidos revisión médica regular y atención y tratamiento adecuados cuando así se requiera. El </w:t>
      </w:r>
      <w:r w:rsidRPr="003D49EB">
        <w:rPr>
          <w:szCs w:val="20"/>
        </w:rPr>
        <w:t xml:space="preserve">Principio 24 del Conjunto de Principios para la Protección de Todas las Personas Sometidas a Cualquier Forma de Detención o Prisión determina que “[s]e ofrecerá a toda persona detenida o presa un examen médico apropiado con la menor dilación posible después de su ingreso en el lugar de detención o prisión y, posteriormente, esas personas recibirán atención y tratamiento médico cada vez que sea necesario. Esa atención y ese tratamiento serán gratuitos”. </w:t>
      </w:r>
      <w:r w:rsidRPr="003D49EB">
        <w:rPr>
          <w:rFonts w:cs="Verdana"/>
          <w:szCs w:val="20"/>
        </w:rPr>
        <w:t xml:space="preserve">La atención por parte de un médico que no tenga vínculos con las autoridades penitenciarias o de detención es una importante salvaguardia en contra de la tortura y malos tratos, físicos o mentales, de las personas privadas de libertad. </w:t>
      </w:r>
      <w:r w:rsidRPr="003D49EB">
        <w:rPr>
          <w:bCs/>
          <w:szCs w:val="20"/>
        </w:rPr>
        <w:t xml:space="preserve">En este sentido, </w:t>
      </w:r>
      <w:r w:rsidRPr="003D49EB">
        <w:rPr>
          <w:szCs w:val="20"/>
        </w:rPr>
        <w:t>la falta de atención médica adecuada a una persona que se encuentra privada de la libertad y bajo custodia del Estado podría considerarse violatoria del artículo 5.1 y 5.2 de la Convención dependiendo de las circunstancias concretas de la persona en particular, tales como su estado de salud o el tipo de dolencia que padece, el lapso transcurrido sin atención, sus efectos físicos y mentales acumulativos y, en algunos casos, el sexo y la edad de la misma, entre otros.</w:t>
      </w:r>
    </w:p>
    <w:p w14:paraId="08B8E877" w14:textId="1C8F024F" w:rsidR="00342A59" w:rsidRPr="003D49EB" w:rsidRDefault="00BB58A8" w:rsidP="009A4683">
      <w:pPr>
        <w:spacing w:after="100" w:afterAutospacing="1"/>
        <w:ind w:right="-7"/>
        <w:rPr>
          <w:b/>
          <w:bCs/>
          <w:szCs w:val="20"/>
          <w:shd w:val="clear" w:color="auto" w:fill="FFFFFF"/>
        </w:rPr>
      </w:pPr>
      <w:r w:rsidRPr="00BB58A8">
        <w:rPr>
          <w:b/>
          <w:bCs/>
          <w:szCs w:val="20"/>
          <w:shd w:val="clear" w:color="auto" w:fill="FFFFFF"/>
        </w:rPr>
        <w:t xml:space="preserve">Corte IDH. Caso </w:t>
      </w:r>
      <w:proofErr w:type="spellStart"/>
      <w:r w:rsidRPr="00BB58A8">
        <w:rPr>
          <w:b/>
          <w:bCs/>
          <w:szCs w:val="20"/>
          <w:shd w:val="clear" w:color="auto" w:fill="FFFFFF"/>
        </w:rPr>
        <w:t>Nadege</w:t>
      </w:r>
      <w:proofErr w:type="spellEnd"/>
      <w:r w:rsidRPr="00BB58A8">
        <w:rPr>
          <w:b/>
          <w:bCs/>
          <w:szCs w:val="20"/>
          <w:shd w:val="clear" w:color="auto" w:fill="FFFFFF"/>
        </w:rPr>
        <w:t xml:space="preserve"> </w:t>
      </w:r>
      <w:proofErr w:type="spellStart"/>
      <w:r w:rsidRPr="00BB58A8">
        <w:rPr>
          <w:b/>
          <w:bCs/>
          <w:szCs w:val="20"/>
          <w:shd w:val="clear" w:color="auto" w:fill="FFFFFF"/>
        </w:rPr>
        <w:t>Dorzema</w:t>
      </w:r>
      <w:proofErr w:type="spellEnd"/>
      <w:r w:rsidRPr="00BB58A8">
        <w:rPr>
          <w:b/>
          <w:bCs/>
          <w:szCs w:val="20"/>
          <w:shd w:val="clear" w:color="auto" w:fill="FFFFFF"/>
        </w:rPr>
        <w:t xml:space="preserve"> y otros Vs. República Dominicana. Fondo, Reparaciones y Costas. Sentencia de 24 de octubre de 2012. Serie C No. 251.</w:t>
      </w:r>
      <w:r>
        <w:rPr>
          <w:rStyle w:val="Refdenotaalpie"/>
          <w:b/>
          <w:bCs/>
          <w:szCs w:val="20"/>
          <w:shd w:val="clear" w:color="auto" w:fill="FFFFFF"/>
        </w:rPr>
        <w:footnoteReference w:id="54"/>
      </w:r>
    </w:p>
    <w:p w14:paraId="38BADF2B" w14:textId="2EE72A25" w:rsidR="00342A59" w:rsidRDefault="00342A59" w:rsidP="00BB58A8">
      <w:pPr>
        <w:rPr>
          <w:szCs w:val="20"/>
        </w:rPr>
      </w:pPr>
      <w:r w:rsidRPr="00BB58A8">
        <w:rPr>
          <w:szCs w:val="20"/>
        </w:rPr>
        <w:t>109.</w:t>
      </w:r>
      <w:r w:rsidRPr="00BB58A8">
        <w:rPr>
          <w:szCs w:val="20"/>
        </w:rPr>
        <w:tab/>
        <w:t xml:space="preserve">En el presente caso, quedó acreditado que nueve personas fueron trasladas al Hospital Regional Universitario José María Cabral Báez, y al menos cinco fueron internadas; no obstante, según consta de la declaración del Director General de dicho hospital, las “personas haitianas no fueron recibidas ni atendidas en ese hospital” </w:t>
      </w:r>
      <w:r w:rsidR="00D94D43" w:rsidRPr="00BB58A8">
        <w:rPr>
          <w:szCs w:val="20"/>
        </w:rPr>
        <w:t>[...]</w:t>
      </w:r>
      <w:r w:rsidRPr="00BB58A8">
        <w:rPr>
          <w:szCs w:val="20"/>
        </w:rPr>
        <w:t>. No obstante, durante la</w:t>
      </w:r>
      <w:r w:rsidRPr="00BB58A8">
        <w:rPr>
          <w:b/>
          <w:szCs w:val="20"/>
        </w:rPr>
        <w:t xml:space="preserve"> </w:t>
      </w:r>
      <w:r w:rsidRPr="00BB58A8">
        <w:rPr>
          <w:szCs w:val="20"/>
        </w:rPr>
        <w:t>audiencia pública el Estado afirmó haber brindado atención a los heridos en tal hospital. Según declaraciones, algunos heridos salieron por su propia cuenta del hospital, sin que se registrara ni siquiera su salida. De lo anterior se desprende que la falta de registro de ingreso y egreso en el centro de salud, la falta de atención médica en favor de las cinco víctimas gravemente heridas, y la omisión de un diagnóstico sobre su situación y prescripción de su tratamiento, denotan omisiones en la atención que se debió brindar a los heridos para respetar y garantizar su derecho a la integridad personal, en contravención del artículo 5.1 en relación con el artículo 1.1 de la Convención.</w:t>
      </w:r>
    </w:p>
    <w:p w14:paraId="75488FAD" w14:textId="77777777" w:rsidR="00660A10" w:rsidRPr="00BB58A8" w:rsidRDefault="00660A10" w:rsidP="00BB58A8">
      <w:pPr>
        <w:rPr>
          <w:i/>
          <w:szCs w:val="20"/>
        </w:rPr>
      </w:pPr>
    </w:p>
    <w:p w14:paraId="74104877" w14:textId="1CEC9BD0" w:rsidR="00792130" w:rsidRDefault="00342A59" w:rsidP="009A4683">
      <w:pPr>
        <w:pStyle w:val="Caso"/>
        <w:tabs>
          <w:tab w:val="clear" w:pos="6042"/>
        </w:tabs>
        <w:spacing w:after="100" w:afterAutospacing="1"/>
        <w:rPr>
          <w:b w:val="0"/>
          <w:bCs/>
        </w:rPr>
      </w:pPr>
      <w:r w:rsidRPr="00660A10">
        <w:rPr>
          <w:b w:val="0"/>
          <w:bCs/>
        </w:rPr>
        <w:lastRenderedPageBreak/>
        <w:t>254.</w:t>
      </w:r>
      <w:r w:rsidRPr="00660A10">
        <w:rPr>
          <w:b w:val="0"/>
          <w:bCs/>
        </w:rPr>
        <w:tab/>
        <w:t xml:space="preserve">Por otra parte, la Corte observa que no se brindó en todo momento protección especial a favor de </w:t>
      </w:r>
      <w:proofErr w:type="spellStart"/>
      <w:r w:rsidRPr="00660A10">
        <w:rPr>
          <w:b w:val="0"/>
          <w:bCs/>
        </w:rPr>
        <w:t>Roland</w:t>
      </w:r>
      <w:proofErr w:type="spellEnd"/>
      <w:r w:rsidRPr="00660A10">
        <w:rPr>
          <w:b w:val="0"/>
          <w:bCs/>
        </w:rPr>
        <w:t xml:space="preserve"> Israel, por su condición de menor de edad, y tampoco a favor de </w:t>
      </w:r>
      <w:proofErr w:type="spellStart"/>
      <w:r w:rsidRPr="00660A10">
        <w:rPr>
          <w:b w:val="0"/>
          <w:bCs/>
        </w:rPr>
        <w:t>Sylvie</w:t>
      </w:r>
      <w:proofErr w:type="spellEnd"/>
      <w:r w:rsidRPr="00660A10">
        <w:rPr>
          <w:b w:val="0"/>
          <w:bCs/>
        </w:rPr>
        <w:t xml:space="preserve"> </w:t>
      </w:r>
      <w:proofErr w:type="spellStart"/>
      <w:r w:rsidRPr="00660A10">
        <w:rPr>
          <w:b w:val="0"/>
          <w:bCs/>
        </w:rPr>
        <w:t>Felizor</w:t>
      </w:r>
      <w:proofErr w:type="spellEnd"/>
      <w:r w:rsidRPr="00660A10">
        <w:rPr>
          <w:b w:val="0"/>
          <w:bCs/>
        </w:rPr>
        <w:t xml:space="preserve">, quien estaba embarazada, situaciones que acentuaron la vulneración a su integridad </w:t>
      </w:r>
      <w:proofErr w:type="spellStart"/>
      <w:r w:rsidRPr="00660A10">
        <w:rPr>
          <w:b w:val="0"/>
          <w:bCs/>
        </w:rPr>
        <w:t>psico</w:t>
      </w:r>
      <w:proofErr w:type="spellEnd"/>
      <w:r w:rsidRPr="00660A10">
        <w:rPr>
          <w:b w:val="0"/>
          <w:bCs/>
        </w:rPr>
        <w:t>-física y moral […]</w:t>
      </w:r>
      <w:r w:rsidRPr="00660A10">
        <w:rPr>
          <w:b w:val="0"/>
          <w:bCs/>
          <w:i/>
        </w:rPr>
        <w:t>.</w:t>
      </w:r>
      <w:r w:rsidRPr="00660A10">
        <w:rPr>
          <w:b w:val="0"/>
          <w:bCs/>
        </w:rPr>
        <w:t xml:space="preserve"> </w:t>
      </w:r>
    </w:p>
    <w:p w14:paraId="3C22463E" w14:textId="445C61C7" w:rsidR="00202F55" w:rsidRDefault="00202F55" w:rsidP="00202F55">
      <w:pPr>
        <w:pStyle w:val="Caso"/>
      </w:pPr>
      <w:r w:rsidRPr="00202F55">
        <w:t>Caso Vera Rojas y otros Vs. Chile. Excepciones preliminares, Fondo, Reparaciones y Costas. Sentencia de 1 de octubre de 2021. Serie C No. 439.</w:t>
      </w:r>
      <w:r w:rsidR="00D05109">
        <w:rPr>
          <w:rStyle w:val="Refdenotaalpie"/>
        </w:rPr>
        <w:footnoteReference w:id="55"/>
      </w:r>
    </w:p>
    <w:p w14:paraId="58D7E6C7" w14:textId="77777777" w:rsidR="00202F55" w:rsidRDefault="00202F55" w:rsidP="00202F55">
      <w:pPr>
        <w:pStyle w:val="Caso"/>
      </w:pPr>
    </w:p>
    <w:p w14:paraId="08C31C31" w14:textId="60878D77" w:rsidR="00202F55" w:rsidRPr="00660A10" w:rsidRDefault="00202F55" w:rsidP="00202F55">
      <w:pPr>
        <w:pStyle w:val="Caso"/>
        <w:spacing w:after="100" w:afterAutospacing="1"/>
        <w:rPr>
          <w:b w:val="0"/>
          <w:bCs/>
        </w:rPr>
      </w:pPr>
      <w:r w:rsidRPr="00202F55">
        <w:rPr>
          <w:b w:val="0"/>
          <w:bCs/>
        </w:rPr>
        <w:t>94.</w:t>
      </w:r>
      <w:r>
        <w:rPr>
          <w:b w:val="0"/>
          <w:bCs/>
        </w:rPr>
        <w:t xml:space="preserve"> [...]</w:t>
      </w:r>
      <w:r w:rsidRPr="00202F55">
        <w:rPr>
          <w:b w:val="0"/>
          <w:bCs/>
        </w:rPr>
        <w:t xml:space="preserve"> la Convención Americana reconoce expresamente el derecho a la integridad</w:t>
      </w:r>
      <w:r>
        <w:rPr>
          <w:b w:val="0"/>
          <w:bCs/>
        </w:rPr>
        <w:t xml:space="preserve"> </w:t>
      </w:r>
      <w:r w:rsidRPr="00202F55">
        <w:rPr>
          <w:b w:val="0"/>
          <w:bCs/>
        </w:rPr>
        <w:t xml:space="preserve">personal, </w:t>
      </w:r>
      <w:proofErr w:type="spellStart"/>
      <w:r w:rsidRPr="00202F55">
        <w:rPr>
          <w:b w:val="0"/>
          <w:bCs/>
        </w:rPr>
        <w:t>física</w:t>
      </w:r>
      <w:proofErr w:type="spellEnd"/>
      <w:r w:rsidRPr="00202F55">
        <w:rPr>
          <w:b w:val="0"/>
          <w:bCs/>
        </w:rPr>
        <w:t xml:space="preserve"> y </w:t>
      </w:r>
      <w:proofErr w:type="spellStart"/>
      <w:r w:rsidRPr="00202F55">
        <w:rPr>
          <w:b w:val="0"/>
          <w:bCs/>
        </w:rPr>
        <w:t>psíquica</w:t>
      </w:r>
      <w:proofErr w:type="spellEnd"/>
      <w:r w:rsidRPr="00202F55">
        <w:rPr>
          <w:b w:val="0"/>
          <w:bCs/>
        </w:rPr>
        <w:t xml:space="preserve">, cuya </w:t>
      </w:r>
      <w:proofErr w:type="spellStart"/>
      <w:r w:rsidRPr="00202F55">
        <w:rPr>
          <w:b w:val="0"/>
          <w:bCs/>
        </w:rPr>
        <w:t>infracción</w:t>
      </w:r>
      <w:proofErr w:type="spellEnd"/>
      <w:r w:rsidRPr="00202F55">
        <w:rPr>
          <w:b w:val="0"/>
          <w:bCs/>
        </w:rPr>
        <w:t xml:space="preserve"> “es una clase de </w:t>
      </w:r>
      <w:proofErr w:type="spellStart"/>
      <w:r w:rsidRPr="00202F55">
        <w:rPr>
          <w:b w:val="0"/>
          <w:bCs/>
        </w:rPr>
        <w:t>violación</w:t>
      </w:r>
      <w:proofErr w:type="spellEnd"/>
      <w:r w:rsidRPr="00202F55">
        <w:rPr>
          <w:b w:val="0"/>
          <w:bCs/>
        </w:rPr>
        <w:t xml:space="preserve"> que tiene</w:t>
      </w:r>
      <w:r>
        <w:rPr>
          <w:b w:val="0"/>
          <w:bCs/>
        </w:rPr>
        <w:t xml:space="preserve"> </w:t>
      </w:r>
      <w:r w:rsidRPr="00202F55">
        <w:rPr>
          <w:b w:val="0"/>
          <w:bCs/>
        </w:rPr>
        <w:t>diversas</w:t>
      </w:r>
      <w:r>
        <w:rPr>
          <w:b w:val="0"/>
          <w:bCs/>
        </w:rPr>
        <w:t xml:space="preserve"> </w:t>
      </w:r>
      <w:r w:rsidRPr="00202F55">
        <w:rPr>
          <w:b w:val="0"/>
          <w:bCs/>
        </w:rPr>
        <w:t xml:space="preserve">connotaciones de grado y [...] cuyas secuelas </w:t>
      </w:r>
      <w:proofErr w:type="spellStart"/>
      <w:r w:rsidRPr="00202F55">
        <w:rPr>
          <w:b w:val="0"/>
          <w:bCs/>
        </w:rPr>
        <w:t>físicas</w:t>
      </w:r>
      <w:proofErr w:type="spellEnd"/>
      <w:r w:rsidRPr="00202F55">
        <w:rPr>
          <w:b w:val="0"/>
          <w:bCs/>
        </w:rPr>
        <w:t xml:space="preserve"> y </w:t>
      </w:r>
      <w:proofErr w:type="spellStart"/>
      <w:r w:rsidRPr="00202F55">
        <w:rPr>
          <w:b w:val="0"/>
          <w:bCs/>
        </w:rPr>
        <w:t>psíquicas</w:t>
      </w:r>
      <w:proofErr w:type="spellEnd"/>
      <w:r w:rsidRPr="00202F55">
        <w:rPr>
          <w:b w:val="0"/>
          <w:bCs/>
        </w:rPr>
        <w:t xml:space="preserve"> </w:t>
      </w:r>
      <w:proofErr w:type="spellStart"/>
      <w:r w:rsidRPr="00202F55">
        <w:rPr>
          <w:b w:val="0"/>
          <w:bCs/>
        </w:rPr>
        <w:t>varían</w:t>
      </w:r>
      <w:proofErr w:type="spellEnd"/>
      <w:r w:rsidRPr="00202F55">
        <w:rPr>
          <w:b w:val="0"/>
          <w:bCs/>
        </w:rPr>
        <w:t xml:space="preserve"> de intensidad </w:t>
      </w:r>
      <w:proofErr w:type="spellStart"/>
      <w:r w:rsidRPr="00202F55">
        <w:rPr>
          <w:b w:val="0"/>
          <w:bCs/>
        </w:rPr>
        <w:t>según</w:t>
      </w:r>
      <w:proofErr w:type="spellEnd"/>
      <w:r w:rsidRPr="00202F55">
        <w:rPr>
          <w:b w:val="0"/>
          <w:bCs/>
        </w:rPr>
        <w:t xml:space="preserve"> los</w:t>
      </w:r>
      <w:r>
        <w:rPr>
          <w:b w:val="0"/>
          <w:bCs/>
        </w:rPr>
        <w:t xml:space="preserve"> </w:t>
      </w:r>
      <w:r w:rsidRPr="00202F55">
        <w:rPr>
          <w:b w:val="0"/>
          <w:bCs/>
        </w:rPr>
        <w:t xml:space="preserve">factores </w:t>
      </w:r>
      <w:proofErr w:type="spellStart"/>
      <w:r w:rsidRPr="00202F55">
        <w:rPr>
          <w:b w:val="0"/>
          <w:bCs/>
        </w:rPr>
        <w:t>endógenos</w:t>
      </w:r>
      <w:proofErr w:type="spellEnd"/>
      <w:r w:rsidRPr="00202F55">
        <w:rPr>
          <w:b w:val="0"/>
          <w:bCs/>
        </w:rPr>
        <w:t xml:space="preserve"> y </w:t>
      </w:r>
      <w:proofErr w:type="spellStart"/>
      <w:r w:rsidRPr="00202F55">
        <w:rPr>
          <w:b w:val="0"/>
          <w:bCs/>
        </w:rPr>
        <w:t>exógenos</w:t>
      </w:r>
      <w:proofErr w:type="spellEnd"/>
      <w:r w:rsidRPr="00202F55">
        <w:rPr>
          <w:b w:val="0"/>
          <w:bCs/>
        </w:rPr>
        <w:t xml:space="preserve"> que </w:t>
      </w:r>
      <w:proofErr w:type="spellStart"/>
      <w:r w:rsidRPr="00202F55">
        <w:rPr>
          <w:b w:val="0"/>
          <w:bCs/>
        </w:rPr>
        <w:t>deberán</w:t>
      </w:r>
      <w:proofErr w:type="spellEnd"/>
      <w:r w:rsidRPr="00202F55">
        <w:rPr>
          <w:b w:val="0"/>
          <w:bCs/>
        </w:rPr>
        <w:t xml:space="preserve"> ser demostrados en cada situación concreta”.</w:t>
      </w:r>
      <w:r>
        <w:rPr>
          <w:b w:val="0"/>
          <w:bCs/>
        </w:rPr>
        <w:t xml:space="preserve"> </w:t>
      </w:r>
      <w:r w:rsidRPr="00202F55">
        <w:rPr>
          <w:b w:val="0"/>
          <w:bCs/>
        </w:rPr>
        <w:t>La Corte ha establecido que la integridad personal se halla directa e inmediatamente vinculada</w:t>
      </w:r>
      <w:r>
        <w:rPr>
          <w:b w:val="0"/>
          <w:bCs/>
        </w:rPr>
        <w:t xml:space="preserve"> </w:t>
      </w:r>
      <w:r w:rsidRPr="00202F55">
        <w:rPr>
          <w:b w:val="0"/>
          <w:bCs/>
        </w:rPr>
        <w:t>con la atención a la salud humana, y que la falta de atención médica adecuada puede conllevar</w:t>
      </w:r>
      <w:r>
        <w:rPr>
          <w:b w:val="0"/>
          <w:bCs/>
        </w:rPr>
        <w:t xml:space="preserve"> </w:t>
      </w:r>
      <w:r w:rsidRPr="00202F55">
        <w:rPr>
          <w:b w:val="0"/>
          <w:bCs/>
        </w:rPr>
        <w:t>la vulneración del artículo 5.1 de la Convención. En este sentido, la Corte ha sostenido que la</w:t>
      </w:r>
      <w:r>
        <w:rPr>
          <w:b w:val="0"/>
          <w:bCs/>
        </w:rPr>
        <w:t xml:space="preserve"> </w:t>
      </w:r>
      <w:r w:rsidRPr="00202F55">
        <w:rPr>
          <w:b w:val="0"/>
          <w:bCs/>
        </w:rPr>
        <w:t>protección del derecho a la integridad personal supone la regulación de los servicios de salud en</w:t>
      </w:r>
      <w:r>
        <w:rPr>
          <w:b w:val="0"/>
          <w:bCs/>
        </w:rPr>
        <w:t xml:space="preserve"> </w:t>
      </w:r>
      <w:r w:rsidRPr="00202F55">
        <w:rPr>
          <w:b w:val="0"/>
          <w:bCs/>
        </w:rPr>
        <w:t xml:space="preserve">el </w:t>
      </w:r>
      <w:proofErr w:type="spellStart"/>
      <w:r w:rsidRPr="00202F55">
        <w:rPr>
          <w:b w:val="0"/>
          <w:bCs/>
        </w:rPr>
        <w:t>ámbito</w:t>
      </w:r>
      <w:proofErr w:type="spellEnd"/>
      <w:r w:rsidRPr="00202F55">
        <w:rPr>
          <w:b w:val="0"/>
          <w:bCs/>
        </w:rPr>
        <w:t xml:space="preserve"> interno, </w:t>
      </w:r>
      <w:proofErr w:type="spellStart"/>
      <w:r w:rsidRPr="00202F55">
        <w:rPr>
          <w:b w:val="0"/>
          <w:bCs/>
        </w:rPr>
        <w:t>asi</w:t>
      </w:r>
      <w:proofErr w:type="spellEnd"/>
      <w:r w:rsidRPr="00202F55">
        <w:rPr>
          <w:b w:val="0"/>
          <w:bCs/>
        </w:rPr>
        <w:t xml:space="preserve">́ como la </w:t>
      </w:r>
      <w:proofErr w:type="spellStart"/>
      <w:r w:rsidRPr="00202F55">
        <w:rPr>
          <w:b w:val="0"/>
          <w:bCs/>
        </w:rPr>
        <w:t>implementación</w:t>
      </w:r>
      <w:proofErr w:type="spellEnd"/>
      <w:r w:rsidRPr="00202F55">
        <w:rPr>
          <w:b w:val="0"/>
          <w:bCs/>
        </w:rPr>
        <w:t xml:space="preserve"> de una serie de mecanismos tendientes </w:t>
      </w:r>
      <w:r>
        <w:rPr>
          <w:b w:val="0"/>
          <w:bCs/>
        </w:rPr>
        <w:t xml:space="preserve"> </w:t>
      </w:r>
      <w:r w:rsidRPr="00202F55">
        <w:rPr>
          <w:b w:val="0"/>
          <w:bCs/>
        </w:rPr>
        <w:t>a tutelar</w:t>
      </w:r>
      <w:r>
        <w:rPr>
          <w:b w:val="0"/>
          <w:bCs/>
        </w:rPr>
        <w:t xml:space="preserve"> </w:t>
      </w:r>
      <w:r w:rsidRPr="00202F55">
        <w:rPr>
          <w:b w:val="0"/>
          <w:bCs/>
        </w:rPr>
        <w:t>la efectividad de dicha regulación.</w:t>
      </w:r>
    </w:p>
    <w:p w14:paraId="7AEAF823" w14:textId="467D9674" w:rsidR="00A9708B" w:rsidRPr="003D49EB" w:rsidRDefault="00DE07E4" w:rsidP="009A4683">
      <w:pPr>
        <w:pStyle w:val="Ttulo2"/>
      </w:pPr>
      <w:bookmarkStart w:id="47" w:name="_Toc530497987"/>
      <w:bookmarkStart w:id="48" w:name="_Toc88914987"/>
      <w:r w:rsidRPr="003D49EB">
        <w:t>Afectación del derecho a la integridad personal por las c</w:t>
      </w:r>
      <w:r w:rsidR="0046573A" w:rsidRPr="003D49EB">
        <w:t>ondiciones en lugares de detención y/o centros carc</w:t>
      </w:r>
      <w:r w:rsidRPr="003D49EB">
        <w:t>e</w:t>
      </w:r>
      <w:r w:rsidR="0046573A" w:rsidRPr="003D49EB">
        <w:t>larios</w:t>
      </w:r>
      <w:r w:rsidR="008B2D54" w:rsidRPr="003D49EB">
        <w:rPr>
          <w:rStyle w:val="Refdenotaalpie"/>
          <w:sz w:val="20"/>
          <w:szCs w:val="20"/>
        </w:rPr>
        <w:footnoteReference w:id="56"/>
      </w:r>
      <w:bookmarkEnd w:id="47"/>
      <w:bookmarkEnd w:id="48"/>
    </w:p>
    <w:p w14:paraId="1E997D3D" w14:textId="77777777" w:rsidR="00A056EF" w:rsidRPr="003D49EB" w:rsidRDefault="00A056EF" w:rsidP="00A056EF">
      <w:pPr>
        <w:rPr>
          <w:lang w:val="es-CR"/>
        </w:rPr>
      </w:pPr>
    </w:p>
    <w:p w14:paraId="233E4B28" w14:textId="73C365FE" w:rsidR="0046573A" w:rsidRPr="00660A10" w:rsidRDefault="0046573A" w:rsidP="009A4683">
      <w:pPr>
        <w:spacing w:after="100" w:afterAutospacing="1"/>
        <w:rPr>
          <w:b/>
          <w:bCs/>
          <w:szCs w:val="20"/>
        </w:rPr>
      </w:pPr>
      <w:r w:rsidRPr="00660A10">
        <w:rPr>
          <w:b/>
          <w:bCs/>
          <w:szCs w:val="20"/>
        </w:rPr>
        <w:t xml:space="preserve">Este apartado se desarrolla en el </w:t>
      </w:r>
      <w:hyperlink r:id="rId10" w:history="1">
        <w:r w:rsidRPr="00660A10">
          <w:rPr>
            <w:rStyle w:val="Hipervnculo"/>
            <w:b/>
            <w:bCs/>
            <w:color w:val="auto"/>
            <w:szCs w:val="20"/>
            <w:u w:val="none"/>
          </w:rPr>
          <w:t>Cuadernillo de Jurisprudencia de la Corte IDH Nº 9</w:t>
        </w:r>
      </w:hyperlink>
      <w:r w:rsidRPr="00660A10">
        <w:rPr>
          <w:b/>
          <w:bCs/>
          <w:szCs w:val="20"/>
        </w:rPr>
        <w:t>.</w:t>
      </w:r>
    </w:p>
    <w:p w14:paraId="571E194B" w14:textId="7BBCCF90" w:rsidR="00D61829" w:rsidRDefault="00D61829" w:rsidP="009A4683">
      <w:pPr>
        <w:pStyle w:val="Ttulo2"/>
      </w:pPr>
      <w:bookmarkStart w:id="49" w:name="_Toc530497988"/>
      <w:bookmarkStart w:id="50" w:name="_Toc88914988"/>
      <w:r w:rsidRPr="003D49EB">
        <w:t>Violencia sexual como trato inhumano</w:t>
      </w:r>
      <w:bookmarkEnd w:id="49"/>
      <w:bookmarkEnd w:id="50"/>
    </w:p>
    <w:p w14:paraId="1573C0ED" w14:textId="77777777" w:rsidR="00660A10" w:rsidRPr="00660A10" w:rsidRDefault="00660A10" w:rsidP="00660A10">
      <w:pPr>
        <w:rPr>
          <w:lang w:val="es-CR"/>
        </w:rPr>
      </w:pPr>
    </w:p>
    <w:p w14:paraId="38BD2A23" w14:textId="3C3B757D" w:rsidR="00D61829" w:rsidRPr="00660A10" w:rsidRDefault="00A056EF" w:rsidP="009A4683">
      <w:pPr>
        <w:spacing w:after="100" w:afterAutospacing="1"/>
        <w:rPr>
          <w:szCs w:val="20"/>
        </w:rPr>
      </w:pPr>
      <w:r w:rsidRPr="00660A10">
        <w:rPr>
          <w:b/>
          <w:szCs w:val="20"/>
        </w:rPr>
        <w:t xml:space="preserve">Corte IDH. Caso del Penal Miguel Castro </w:t>
      </w:r>
      <w:proofErr w:type="spellStart"/>
      <w:r w:rsidRPr="00660A10">
        <w:rPr>
          <w:b/>
          <w:szCs w:val="20"/>
        </w:rPr>
        <w:t>Castro</w:t>
      </w:r>
      <w:proofErr w:type="spellEnd"/>
      <w:r w:rsidRPr="00660A10">
        <w:rPr>
          <w:b/>
          <w:szCs w:val="20"/>
        </w:rPr>
        <w:t xml:space="preserve"> Vs. Perú. Fondo, Reparaciones y Costas. Sentencia de 25 de noviembre de 2006. Serie C No. 160</w:t>
      </w:r>
      <w:r w:rsidR="00D61829" w:rsidRPr="00660A10">
        <w:rPr>
          <w:b/>
          <w:szCs w:val="20"/>
        </w:rPr>
        <w:t xml:space="preserve">. </w:t>
      </w:r>
    </w:p>
    <w:p w14:paraId="4C065D07" w14:textId="77777777" w:rsidR="00A52D84" w:rsidRPr="003D49EB" w:rsidRDefault="00A52D84" w:rsidP="009A4683">
      <w:pPr>
        <w:spacing w:after="100" w:afterAutospacing="1"/>
        <w:rPr>
          <w:szCs w:val="20"/>
        </w:rPr>
      </w:pPr>
      <w:r w:rsidRPr="003D49EB">
        <w:rPr>
          <w:szCs w:val="20"/>
        </w:rPr>
        <w:t>304.</w:t>
      </w:r>
      <w:r w:rsidRPr="003D49EB">
        <w:rPr>
          <w:szCs w:val="20"/>
        </w:rPr>
        <w:tab/>
        <w:t>Se probó que en el Hospital de la Policía los internos heridos, quienes se encontraban en deplorables condiciones, fueron además desnudados y obligados a permanecer sin ropa durante casi todo el tiempo que estuvieron en el hospital, que en algunos casos se prolongó durante varios días y en otros durante semanas, y se encontraron</w:t>
      </w:r>
      <w:r w:rsidR="00D61829" w:rsidRPr="003D49EB">
        <w:rPr>
          <w:szCs w:val="20"/>
        </w:rPr>
        <w:t xml:space="preserve"> vigilados por agentes armados […]</w:t>
      </w:r>
      <w:r w:rsidRPr="003D49EB">
        <w:rPr>
          <w:szCs w:val="20"/>
        </w:rPr>
        <w:t xml:space="preserve">. </w:t>
      </w:r>
    </w:p>
    <w:p w14:paraId="2B2BA6FE" w14:textId="77777777" w:rsidR="00A52D84" w:rsidRPr="003D49EB" w:rsidRDefault="00A52D84" w:rsidP="009A4683">
      <w:pPr>
        <w:spacing w:after="100" w:afterAutospacing="1"/>
        <w:rPr>
          <w:szCs w:val="20"/>
        </w:rPr>
      </w:pPr>
      <w:r w:rsidRPr="003D49EB">
        <w:rPr>
          <w:szCs w:val="20"/>
        </w:rPr>
        <w:lastRenderedPageBreak/>
        <w:t>305.</w:t>
      </w:r>
      <w:r w:rsidRPr="003D49EB">
        <w:rPr>
          <w:szCs w:val="20"/>
        </w:rPr>
        <w:tab/>
        <w:t xml:space="preserve">La Corte considera que todos los internos que fueron sometidos durante ese prolongado período a la referida desnudez forzada fueron víctimas de un trato violatorio de su dignidad personal. </w:t>
      </w:r>
    </w:p>
    <w:p w14:paraId="44B222C2" w14:textId="77777777" w:rsidR="00A52D84" w:rsidRPr="003D49EB" w:rsidRDefault="00A52D84" w:rsidP="009A4683">
      <w:pPr>
        <w:spacing w:after="100" w:afterAutospacing="1"/>
        <w:rPr>
          <w:szCs w:val="20"/>
        </w:rPr>
      </w:pPr>
      <w:r w:rsidRPr="003D49EB">
        <w:rPr>
          <w:szCs w:val="20"/>
        </w:rPr>
        <w:t>306.</w:t>
      </w:r>
      <w:r w:rsidRPr="003D49EB">
        <w:rPr>
          <w:szCs w:val="20"/>
        </w:rPr>
        <w:tab/>
        <w:t>En relación con lo anterior, es preciso enfatizar que dicha desnudez forzada tuvo características especialmente graves para las seis mujeres internas que se ha acreditado que fueron sometidas a ese trato. Asimismo, durante todo el tiempo que permanecieron en este lugar a las internas no se les permitió asearse y, en algunos casos, para utilizar los servicios sanitarios debían hacerlo acompañadas de un guardia armado quien no les permitía cerrar la puerta y las apuntaba con el arma mientras hacían sus necesidades fisiológicas</w:t>
      </w:r>
      <w:r w:rsidR="00D61829" w:rsidRPr="003D49EB">
        <w:rPr>
          <w:szCs w:val="20"/>
        </w:rPr>
        <w:t xml:space="preserve"> […]</w:t>
      </w:r>
      <w:r w:rsidRPr="003D49EB">
        <w:rPr>
          <w:szCs w:val="20"/>
        </w:rPr>
        <w:t xml:space="preserve">. El Tribunal estima que esas mujeres, además de recibir un trato violatorio de su dignidad personal, también fueron víctimas de violencia sexual, ya que estuvieron desnudas y cubiertas con tan solo una sábana, estando rodeadas de hombres armados, quienes aparentemente eran miembros de las fuerzas de seguridad del Estado. Lo que califica este tratamiento de violencia sexual es que las mujeres fueron constantemente observadas por hombres. La Corte, siguiendo la línea de la jurisprudencia internacional y tomando en cuenta lo dispuesto en la Convención para Prevenir, Sancionar y Erradicar la Violencia contra la Mujer, considera que la violencia sexual se configura con acciones de naturaleza sexual que se cometen en una persona sin su consentimiento, que además de comprender la invasión física del cuerpo humano, pueden incluir actos que no involucren penetración o incluso contacto físico alguno. </w:t>
      </w:r>
    </w:p>
    <w:p w14:paraId="00EC4712" w14:textId="77777777" w:rsidR="00A52D84" w:rsidRPr="003D49EB" w:rsidRDefault="00A52D84" w:rsidP="009A4683">
      <w:pPr>
        <w:spacing w:after="100" w:afterAutospacing="1"/>
        <w:rPr>
          <w:szCs w:val="20"/>
        </w:rPr>
      </w:pPr>
      <w:r w:rsidRPr="003D49EB">
        <w:rPr>
          <w:szCs w:val="20"/>
        </w:rPr>
        <w:t>307.</w:t>
      </w:r>
      <w:r w:rsidRPr="003D49EB">
        <w:rPr>
          <w:szCs w:val="20"/>
        </w:rPr>
        <w:tab/>
        <w:t xml:space="preserve">La Corte hace notar el contexto en el que fueron realizados dichos actos, ya que las mujeres que los sufrieron se hallaban sujetas al completo control del poder de agentes del Estado, absolutamente indefensas, y habían sido heridas precisamente por agentes estatales de seguridad. </w:t>
      </w:r>
    </w:p>
    <w:p w14:paraId="036F21CF" w14:textId="77777777" w:rsidR="00A52D84" w:rsidRPr="003D49EB" w:rsidRDefault="00A52D84" w:rsidP="009A4683">
      <w:pPr>
        <w:spacing w:after="100" w:afterAutospacing="1"/>
        <w:rPr>
          <w:szCs w:val="20"/>
        </w:rPr>
      </w:pPr>
      <w:r w:rsidRPr="003D49EB">
        <w:rPr>
          <w:szCs w:val="20"/>
        </w:rPr>
        <w:t>308.</w:t>
      </w:r>
      <w:r w:rsidRPr="003D49EB">
        <w:rPr>
          <w:szCs w:val="20"/>
        </w:rPr>
        <w:tab/>
        <w:t>El haber forzado a las internas a permanecer desnudas en el hospital, vigiladas por hombres armados, en el estado precario de salud en que se encontraban, constituyó violencia sexual en los términos antes descritos, que les produjo constante temor ante la posibilidad de que dicha violencia se extremara aún más por parte de los agentes de seguridad, todo lo cual les ocasionó grave sufrimiento psicológico y moral, que se añade al sufrimiento físico que ya estaban padeciendo a causa de sus heridas. Dichos actos de violencia sexual atentaron directamente contra la dignidad de esas mujeres. El Estado es responsable por la violación del derecho a la integridad personal consagrado en el artículo 5.2 de la Convención Americana, en perjuicio de las seis internas que sufrieron esos tratos crueles, cuyos nombres se encuentran incluidos en el Anexo 2 de víctimas de la presente Sentencia que para estos efectos forma parte de la misma.</w:t>
      </w:r>
    </w:p>
    <w:p w14:paraId="5970B261" w14:textId="14BCF015" w:rsidR="0010319B" w:rsidRDefault="00A056EF" w:rsidP="00660A10">
      <w:pPr>
        <w:pStyle w:val="Caso"/>
      </w:pPr>
      <w:r w:rsidRPr="00A056EF">
        <w:t>Corte IDH. Caso Ríos y otros Vs. Venezuela. Excepciones Preliminares, Fondo, Reparaciones y Costas. Sentencia de 28 de enero de 2009. Serie C No. 194</w:t>
      </w:r>
      <w:r w:rsidR="0010319B" w:rsidRPr="00660A10">
        <w:t xml:space="preserve">. </w:t>
      </w:r>
    </w:p>
    <w:p w14:paraId="2F532102" w14:textId="77777777" w:rsidR="00660A10" w:rsidRPr="00660A10" w:rsidRDefault="00660A10" w:rsidP="00660A10">
      <w:pPr>
        <w:pStyle w:val="Caso"/>
      </w:pPr>
    </w:p>
    <w:p w14:paraId="537810B5" w14:textId="737E24DE" w:rsidR="0010319B" w:rsidRPr="003D49EB" w:rsidRDefault="0010319B" w:rsidP="009A4683">
      <w:pPr>
        <w:spacing w:after="100" w:afterAutospacing="1"/>
        <w:rPr>
          <w:b/>
          <w:szCs w:val="20"/>
        </w:rPr>
      </w:pPr>
      <w:r w:rsidRPr="003D49EB">
        <w:rPr>
          <w:szCs w:val="20"/>
          <w:lang w:val="es-CR"/>
        </w:rPr>
        <w:t>277.</w:t>
      </w:r>
      <w:r w:rsidRPr="003D49EB">
        <w:rPr>
          <w:szCs w:val="20"/>
          <w:lang w:val="es-CR"/>
        </w:rPr>
        <w:tab/>
        <w:t xml:space="preserve">En el </w:t>
      </w:r>
      <w:r w:rsidRPr="003D49EB">
        <w:rPr>
          <w:i/>
          <w:szCs w:val="20"/>
          <w:lang w:val="es-CR"/>
        </w:rPr>
        <w:t>caso Penal</w:t>
      </w:r>
      <w:r w:rsidR="00850727" w:rsidRPr="003D49EB">
        <w:rPr>
          <w:i/>
          <w:szCs w:val="20"/>
          <w:lang w:val="es-CR"/>
        </w:rPr>
        <w:t xml:space="preserve"> Miguel</w:t>
      </w:r>
      <w:r w:rsidRPr="003D49EB">
        <w:rPr>
          <w:i/>
          <w:szCs w:val="20"/>
          <w:lang w:val="es-CR"/>
        </w:rPr>
        <w:t xml:space="preserve"> Castro </w:t>
      </w:r>
      <w:proofErr w:type="spellStart"/>
      <w:r w:rsidRPr="003D49EB">
        <w:rPr>
          <w:i/>
          <w:szCs w:val="20"/>
          <w:lang w:val="es-CR"/>
        </w:rPr>
        <w:t>Castro</w:t>
      </w:r>
      <w:proofErr w:type="spellEnd"/>
      <w:r w:rsidRPr="003D49EB">
        <w:rPr>
          <w:szCs w:val="20"/>
          <w:lang w:val="es-CR"/>
        </w:rPr>
        <w:t xml:space="preserve"> vs. Perú, la Corte se refirió a algunos alcances del artículo 5 de la Convención Americana en cuanto a los aspectos específicos de violencia contra la mujer, considerando como referencia de interpretación las disposiciones pertinentes de la Convención de Belem do Pará y la Convención sobre Eliminación de todas las Formas de Discriminación contra la Mujer, ya que estos instrumentos complementan el </w:t>
      </w:r>
      <w:r w:rsidRPr="003D49EB">
        <w:rPr>
          <w:i/>
          <w:szCs w:val="20"/>
          <w:lang w:val="es-CR"/>
        </w:rPr>
        <w:t>corpus juris</w:t>
      </w:r>
      <w:r w:rsidRPr="003D49EB">
        <w:rPr>
          <w:szCs w:val="20"/>
          <w:lang w:val="es-CR"/>
        </w:rPr>
        <w:t xml:space="preserve"> internacional en materia de protección de la integridad personal de las mujeres, del cual forma parte la Convención Americana. En ese caso, la Corte señaló que además de la protección que otorga el artículo 5 de la Convención, el artículo 7 de la Convención de Belem do Pará señala expresamente que los Estados deben velar porque las autoridades y agentes estatales se abstengan de cualquier acción o práctica de violencia contra la </w:t>
      </w:r>
      <w:r w:rsidRPr="003D49EB">
        <w:rPr>
          <w:szCs w:val="20"/>
          <w:lang w:val="es-CR"/>
        </w:rPr>
        <w:lastRenderedPageBreak/>
        <w:t xml:space="preserve">mujer. </w:t>
      </w:r>
      <w:r w:rsidR="006E5C73">
        <w:rPr>
          <w:rStyle w:val="EnelmismoCar"/>
        </w:rPr>
        <w:t>En similar sentido, ver entre otros</w:t>
      </w:r>
      <w:r w:rsidR="00446BCA" w:rsidRPr="003D49EB">
        <w:rPr>
          <w:rStyle w:val="EnelmismoCar"/>
        </w:rPr>
        <w:t>: Caso Perozo vs. Venezuela.</w:t>
      </w:r>
      <w:r w:rsidR="005052AC" w:rsidRPr="003D49EB">
        <w:rPr>
          <w:rStyle w:val="EnelmismoCar"/>
        </w:rPr>
        <w:t xml:space="preserve"> Excepciones Preliminares, Fondo, Reparaciones y Costas.</w:t>
      </w:r>
      <w:r w:rsidR="008B18CE" w:rsidRPr="003D49EB">
        <w:rPr>
          <w:rStyle w:val="EnelmismoCar"/>
        </w:rPr>
        <w:t xml:space="preserve"> </w:t>
      </w:r>
      <w:r w:rsidR="00446BCA" w:rsidRPr="003D49EB">
        <w:rPr>
          <w:rStyle w:val="EnelmismoCar"/>
        </w:rPr>
        <w:t>Sentencia de 28 de enero de 2009, párr. 291.</w:t>
      </w:r>
    </w:p>
    <w:p w14:paraId="308D3586" w14:textId="2326193A" w:rsidR="00482232" w:rsidRDefault="00482232" w:rsidP="00660A10">
      <w:pPr>
        <w:pStyle w:val="Caso"/>
        <w:rPr>
          <w:shd w:val="clear" w:color="auto" w:fill="FFFFFF"/>
        </w:rPr>
      </w:pPr>
      <w:r w:rsidRPr="003D49EB">
        <w:rPr>
          <w:shd w:val="clear" w:color="auto" w:fill="FFFFFF"/>
        </w:rPr>
        <w:t xml:space="preserve">Corte IDH. Caso J. Vs. Perú. Excepción Preliminar, Fondo, Reparaciones y Costas. Sentencia de 27 de noviembre de 2013. Serie C No. 275. </w:t>
      </w:r>
    </w:p>
    <w:p w14:paraId="07A29533" w14:textId="77777777" w:rsidR="00660A10" w:rsidRPr="003D49EB" w:rsidRDefault="00660A10" w:rsidP="00660A10">
      <w:pPr>
        <w:pStyle w:val="Caso"/>
        <w:rPr>
          <w:shd w:val="clear" w:color="auto" w:fill="FFFFFF"/>
        </w:rPr>
      </w:pPr>
    </w:p>
    <w:p w14:paraId="041E249F" w14:textId="5F1B2CA9" w:rsidR="00304500" w:rsidRPr="003D49EB" w:rsidRDefault="00304500" w:rsidP="009A4683">
      <w:pPr>
        <w:tabs>
          <w:tab w:val="left" w:pos="720"/>
          <w:tab w:val="num" w:pos="11028"/>
        </w:tabs>
        <w:autoSpaceDE w:val="0"/>
        <w:autoSpaceDN w:val="0"/>
        <w:adjustRightInd w:val="0"/>
        <w:spacing w:after="100" w:afterAutospacing="1"/>
        <w:rPr>
          <w:rFonts w:eastAsia="Batang"/>
          <w:b/>
          <w:spacing w:val="-2"/>
          <w:szCs w:val="20"/>
        </w:rPr>
      </w:pPr>
      <w:r w:rsidRPr="003D49EB">
        <w:rPr>
          <w:rFonts w:eastAsia="Batang"/>
          <w:spacing w:val="-2"/>
          <w:szCs w:val="20"/>
        </w:rPr>
        <w:t>358.</w:t>
      </w:r>
      <w:r w:rsidRPr="003D49EB">
        <w:rPr>
          <w:rFonts w:eastAsia="Batang"/>
          <w:spacing w:val="-2"/>
          <w:szCs w:val="20"/>
        </w:rPr>
        <w:tab/>
        <w:t>Siguiendo la línea de la jurisprudencia internacional y tomando en cuenta lo dispuesto en la Convención de Belém do Pará, la Corte ha considerado que la violencia sexual se configura con acciones de naturaleza sexual que se cometen en una persona sin su consentimiento, que además de comprender la invasión física del cuerpo humano, pueden incluir actos que no involucren penetración o incluso contacto físico alguno.</w:t>
      </w:r>
    </w:p>
    <w:p w14:paraId="136F8AE8" w14:textId="77777777" w:rsidR="00304500" w:rsidRPr="003D49EB" w:rsidRDefault="00304500" w:rsidP="009A4683">
      <w:pPr>
        <w:tabs>
          <w:tab w:val="left" w:pos="720"/>
          <w:tab w:val="num" w:pos="11028"/>
        </w:tabs>
        <w:autoSpaceDE w:val="0"/>
        <w:autoSpaceDN w:val="0"/>
        <w:adjustRightInd w:val="0"/>
        <w:spacing w:after="100" w:afterAutospacing="1"/>
        <w:rPr>
          <w:rFonts w:eastAsia="Batang"/>
          <w:b/>
          <w:spacing w:val="-2"/>
          <w:szCs w:val="20"/>
        </w:rPr>
      </w:pPr>
      <w:r w:rsidRPr="003D49EB">
        <w:rPr>
          <w:rFonts w:eastAsia="Batang"/>
          <w:spacing w:val="-2"/>
          <w:szCs w:val="20"/>
          <w:lang w:val="es-VE"/>
        </w:rPr>
        <w:t>359.</w:t>
      </w:r>
      <w:r w:rsidRPr="003D49EB">
        <w:rPr>
          <w:rFonts w:eastAsia="Batang"/>
          <w:spacing w:val="-2"/>
          <w:szCs w:val="20"/>
          <w:lang w:val="es-VE"/>
        </w:rPr>
        <w:tab/>
        <w:t>Asimismo, siguiendo el criterio jurisprudencial y normativo que impera tanto en el ámbito del Derecho Penal Internacional como en el Derecho Penal comparado, este Tribunal ha considerado que la violación sexual no implica necesariamente una relación sexual sin consentimiento, por vía vaginal, como se consideró tradicionalmente. Por violación sexual también debe entenderse actos de penetración vaginal o anal, sin consentimiento de la víctima, mediante la utilización de otras partes del cuerpo del agresor u objetos, así como la penetración bucal mediante el miembro viril. Al respecto, la Corte aclara que para que un acto sea considerado violación sexual, es suficiente que se produzca una penetración, por insignificante que sea, en los términos antes descritos. Además, se debe entender que la penetración vaginal se refiere a la penetración, con cualquier parte del cuerpo del agresor u objetos, de cualquier orificio genital, incluyendo los labios mayores y menores, así como el orificio vaginal. Esta interpretación es acorde a la concepción de que cualquier tipo de penetración, por insignificante que sea, es suficiente para que un acto sea considerado violación sexual. Este Tribunal entiende que la violación sexual es una forma de violencia sexual.</w:t>
      </w:r>
    </w:p>
    <w:p w14:paraId="3930A107" w14:textId="77777777" w:rsidR="00304500" w:rsidRPr="003D49EB" w:rsidRDefault="00304500"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360.</w:t>
      </w:r>
      <w:r w:rsidRPr="003D49EB">
        <w:rPr>
          <w:rFonts w:eastAsia="Batang"/>
          <w:spacing w:val="-2"/>
          <w:szCs w:val="20"/>
        </w:rPr>
        <w:tab/>
        <w:t xml:space="preserve">En el presente caso, la Corte ya estableció que la señora J. fue “manoseada” sexualmente al momento de su detención por un agente estatal de sexo masculino teniendo en cuenta: (1) las declaraciones de la señora J. rendidas ante las autoridades internas; (2) la similitud de lo descrito por la señora J. y el contexto de violencia sexual verificado por la CVR en la época de los hechos; (3) las dificultades probatorias propias de este tipo de hechos; (4) la presunción de veracidad que debe otorgarse a este tipo de denuncias, la cual puede ser desvirtuada a través de una serie de diligencias, investigaciones y garantías que no fueron otorgadas en el presente caso, donde no fue presentada prueba en contrario, ya que (5) existen ciertas inconsistencias en la declaración de la fiscal del Ministerio Público; (6) el examen médico no contradice lo señalado por la señora J., y (7) el Estado no ha iniciado una investigación sobre estos hechos. </w:t>
      </w:r>
      <w:r w:rsidRPr="003D49EB">
        <w:rPr>
          <w:rFonts w:eastAsia="Batang"/>
          <w:spacing w:val="-2"/>
          <w:szCs w:val="20"/>
          <w:lang w:val="es-ES_tradnl"/>
        </w:rPr>
        <w:t>La Corte considera</w:t>
      </w:r>
      <w:r w:rsidRPr="003D49EB">
        <w:rPr>
          <w:rFonts w:eastAsia="Batang"/>
          <w:b/>
          <w:spacing w:val="-2"/>
          <w:szCs w:val="20"/>
          <w:lang w:val="es-ES_tradnl"/>
        </w:rPr>
        <w:t xml:space="preserve"> </w:t>
      </w:r>
      <w:r w:rsidRPr="003D49EB">
        <w:rPr>
          <w:rFonts w:eastAsia="Batang"/>
          <w:spacing w:val="-2"/>
          <w:szCs w:val="20"/>
        </w:rPr>
        <w:t>que este acto implicó la invasión física del cuerpo de la señora J. y al involucrar el área genital de la presunta víctima significó que el mismo fuera de naturaleza sexual.</w:t>
      </w:r>
      <w:r w:rsidRPr="003D49EB">
        <w:rPr>
          <w:rFonts w:eastAsia="Batang"/>
          <w:b/>
          <w:spacing w:val="-2"/>
          <w:szCs w:val="20"/>
        </w:rPr>
        <w:t xml:space="preserve"> </w:t>
      </w:r>
      <w:r w:rsidRPr="003D49EB">
        <w:rPr>
          <w:rFonts w:eastAsia="Batang"/>
          <w:spacing w:val="-2"/>
          <w:szCs w:val="20"/>
        </w:rPr>
        <w:t>Asimismo,</w:t>
      </w:r>
      <w:r w:rsidRPr="003D49EB">
        <w:rPr>
          <w:rFonts w:eastAsia="Batang"/>
          <w:b/>
          <w:spacing w:val="-2"/>
          <w:szCs w:val="20"/>
        </w:rPr>
        <w:t xml:space="preserve"> </w:t>
      </w:r>
      <w:r w:rsidRPr="003D49EB">
        <w:rPr>
          <w:rFonts w:eastAsia="Batang"/>
          <w:spacing w:val="-2"/>
          <w:szCs w:val="20"/>
        </w:rPr>
        <w:t>las</w:t>
      </w:r>
      <w:r w:rsidRPr="003D49EB">
        <w:rPr>
          <w:rFonts w:eastAsia="Batang"/>
          <w:spacing w:val="-2"/>
          <w:szCs w:val="20"/>
          <w:lang w:val="es-VE"/>
        </w:rPr>
        <w:t xml:space="preserve"> circunstancias en las que se produjeron los hechos eliminan cualquier posibilidad de que hubiese habido consentimiento. Por tanto, </w:t>
      </w:r>
      <w:r w:rsidRPr="003D49EB">
        <w:rPr>
          <w:rFonts w:eastAsia="Batang"/>
          <w:spacing w:val="-2"/>
          <w:szCs w:val="20"/>
        </w:rPr>
        <w:t>este Tribunal considera que el “manoseo” del cual fue víctima la señora J. constituyó un acto de violencia sexual.</w:t>
      </w:r>
      <w:r w:rsidRPr="003D49EB">
        <w:rPr>
          <w:rFonts w:eastAsia="Batang"/>
          <w:b/>
          <w:spacing w:val="-2"/>
          <w:szCs w:val="20"/>
        </w:rPr>
        <w:t xml:space="preserve"> </w:t>
      </w:r>
      <w:r w:rsidRPr="003D49EB">
        <w:rPr>
          <w:rFonts w:eastAsia="Batang"/>
          <w:spacing w:val="-2"/>
          <w:szCs w:val="20"/>
        </w:rPr>
        <w:t xml:space="preserve">Si bien </w:t>
      </w:r>
      <w:r w:rsidRPr="003D49EB">
        <w:rPr>
          <w:rFonts w:eastAsia="Batang"/>
          <w:spacing w:val="-2"/>
          <w:szCs w:val="20"/>
          <w:lang w:val="es-ES_tradnl"/>
        </w:rPr>
        <w:t xml:space="preserve">las víctimas de violencia sexual tienden a utilizar términos poco específicos al momento de realizar sus declaraciones y no explicar gráficamente las particularidades anatómicas de lo sucedido </w:t>
      </w:r>
      <w:r w:rsidR="00D94D43" w:rsidRPr="003D49EB">
        <w:rPr>
          <w:rFonts w:eastAsia="Batang"/>
          <w:spacing w:val="-2"/>
          <w:szCs w:val="20"/>
          <w:lang w:val="es-ES_tradnl"/>
        </w:rPr>
        <w:t>[...]</w:t>
      </w:r>
      <w:r w:rsidRPr="003D49EB">
        <w:rPr>
          <w:rFonts w:eastAsia="Batang"/>
          <w:spacing w:val="-2"/>
          <w:szCs w:val="20"/>
          <w:lang w:val="es-ES_tradnl"/>
        </w:rPr>
        <w:t>, e</w:t>
      </w:r>
      <w:proofErr w:type="spellStart"/>
      <w:r w:rsidRPr="003D49EB">
        <w:rPr>
          <w:rFonts w:eastAsia="Batang"/>
          <w:spacing w:val="-2"/>
          <w:szCs w:val="20"/>
        </w:rPr>
        <w:t>ste</w:t>
      </w:r>
      <w:proofErr w:type="spellEnd"/>
      <w:r w:rsidRPr="003D49EB">
        <w:rPr>
          <w:rFonts w:eastAsia="Batang"/>
          <w:spacing w:val="-2"/>
          <w:szCs w:val="20"/>
        </w:rPr>
        <w:t xml:space="preserve"> Tribunal considera que a partir de las declaraciones de la presunta víctima que constan en el expediente del presente caso no es posible determinar si dicha violencia sexual además constituyó una violación sexual en los términos señalados anteriormente </w:t>
      </w:r>
      <w:r w:rsidR="00D94D43" w:rsidRPr="003D49EB">
        <w:rPr>
          <w:rFonts w:eastAsia="Batang"/>
          <w:spacing w:val="-2"/>
          <w:szCs w:val="20"/>
        </w:rPr>
        <w:t>[...]</w:t>
      </w:r>
      <w:r w:rsidRPr="003D49EB">
        <w:rPr>
          <w:rFonts w:eastAsia="Batang"/>
          <w:spacing w:val="-2"/>
          <w:szCs w:val="20"/>
        </w:rPr>
        <w:t xml:space="preserve">. </w:t>
      </w:r>
    </w:p>
    <w:p w14:paraId="199E4C9B" w14:textId="77777777" w:rsidR="00304500" w:rsidRPr="003D49EB" w:rsidRDefault="00304500"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lang w:val="es-VE"/>
        </w:rPr>
        <w:t>361.</w:t>
      </w:r>
      <w:r w:rsidRPr="003D49EB">
        <w:rPr>
          <w:rFonts w:eastAsia="Batang"/>
          <w:spacing w:val="-2"/>
          <w:szCs w:val="20"/>
          <w:lang w:val="es-VE"/>
        </w:rPr>
        <w:tab/>
        <w:t xml:space="preserve">Este Tribunal considera que la violencia sexual de la cual fue víctima la señora J. por un agente del Estado y mientras estaba siendo detenida es un acto grave y reprobable, tomando en cuenta la vulnerabilidad de la víctima y el abuso de poder que </w:t>
      </w:r>
      <w:r w:rsidRPr="003D49EB">
        <w:rPr>
          <w:rFonts w:eastAsia="Batang"/>
          <w:spacing w:val="-2"/>
          <w:szCs w:val="20"/>
          <w:lang w:val="es-VE"/>
        </w:rPr>
        <w:lastRenderedPageBreak/>
        <w:t xml:space="preserve">despliega el agente. </w:t>
      </w:r>
      <w:r w:rsidRPr="003D49EB">
        <w:rPr>
          <w:rFonts w:eastAsia="Batang"/>
          <w:spacing w:val="-2"/>
          <w:szCs w:val="20"/>
        </w:rPr>
        <w:t xml:space="preserve">En relación con el artículo 5 de la Convención, la Corte considera que dicho acto fue denigrante y humillante física y emocionalmente, por lo que pudo haber causado consecuencias psicológicas severas para la presunta víctima. </w:t>
      </w:r>
    </w:p>
    <w:p w14:paraId="68ED9F96" w14:textId="77777777" w:rsidR="0058428A" w:rsidRPr="003D49EB" w:rsidRDefault="00304500"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363.</w:t>
      </w:r>
      <w:r w:rsidRPr="003D49EB">
        <w:rPr>
          <w:rFonts w:eastAsia="Batang"/>
          <w:spacing w:val="-2"/>
          <w:szCs w:val="20"/>
        </w:rPr>
        <w:tab/>
        <w:t>El Tribunal ha indicado que todo uso de la fuerza que no sea estrictamente necesario por el propio comportamiento de la persona detenida constituye un atentado a la dignidad humana, en violación del artículo 5 de la Convención Americana. En el presente caso, el Estado no ha demostrado que la fuerza utilizada al momento de la detención fue necesaria […]. Asimismo, la violencia sexual de que fue víctima la señora J. constituye también una violación a su derecho a la integridad personal.</w:t>
      </w:r>
    </w:p>
    <w:p w14:paraId="7F10300E" w14:textId="034271D0" w:rsidR="002D2ADC" w:rsidRDefault="001A1E43" w:rsidP="00660A10">
      <w:pPr>
        <w:pStyle w:val="Caso"/>
      </w:pPr>
      <w:r w:rsidRPr="003D49EB">
        <w:t>Corte IDH. Caso Mujeres Víctimas de Tortura Sexual en Atenco Vs. México. Excepción Preliminar, Fondo, Reparaciones y Costas. Sentencia de 28 de noviembre de 2018. Serie C No. 371.</w:t>
      </w:r>
    </w:p>
    <w:p w14:paraId="2714F974" w14:textId="77777777" w:rsidR="00660A10" w:rsidRPr="003D49EB" w:rsidRDefault="00660A10" w:rsidP="00660A10">
      <w:pPr>
        <w:pStyle w:val="Caso"/>
      </w:pPr>
    </w:p>
    <w:p w14:paraId="361158EA" w14:textId="2DB7A9B5"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177.</w:t>
      </w:r>
      <w:r w:rsidRPr="00660A10">
        <w:rPr>
          <w:rFonts w:eastAsia="Batang"/>
          <w:spacing w:val="-2"/>
          <w:szCs w:val="20"/>
        </w:rPr>
        <w:tab/>
        <w:t>El artículo 5.1 de la Convención consagra en términos generales el derecho a la integridad personal, tanto física y psíquica como moral. Por su parte, el artículo 5.2 establece, de manera más específica, la prohibición absoluta de someter a alguien a torturas o a penas o tratos crueles, inhumanos o degradantes, así como el derecho de toda persona privada de libertad a ser tratada con el respeto debido a la dignidad inherente al ser humano</w:t>
      </w:r>
      <w:r w:rsidR="006A660B" w:rsidRPr="00660A10">
        <w:rPr>
          <w:rFonts w:eastAsia="Batang"/>
          <w:spacing w:val="-2"/>
          <w:szCs w:val="20"/>
        </w:rPr>
        <w:t>.</w:t>
      </w:r>
      <w:r w:rsidRPr="00660A10">
        <w:rPr>
          <w:rFonts w:eastAsia="Batang"/>
          <w:spacing w:val="-2"/>
          <w:szCs w:val="20"/>
        </w:rPr>
        <w:t xml:space="preserve"> La Corte entiende que cualquier violación del artículo 5.2 de la Convención Americana acarreará necesariamente la violación del artículo 5.1 de la misma</w:t>
      </w:r>
      <w:r w:rsidR="006A660B" w:rsidRPr="00660A10">
        <w:rPr>
          <w:rFonts w:eastAsia="Batang"/>
          <w:spacing w:val="-2"/>
          <w:szCs w:val="20"/>
        </w:rPr>
        <w:t>.</w:t>
      </w:r>
      <w:r w:rsidRPr="00660A10">
        <w:rPr>
          <w:rFonts w:eastAsia="Batang"/>
          <w:spacing w:val="-2"/>
          <w:szCs w:val="20"/>
        </w:rPr>
        <w:t xml:space="preserve"> La violación del derecho a la integridad física y psíquica de las personas tiene diversas connotaciones de grado y que abarca desde la tortura hasta otro tipo de vejámenes o tratos crueles, inhumanos o degradantes, cuyas secuelas físicas y psíquicas varían de intensidad según factores endógenos y exógenos de la persona (duración de los tratos, edad, sexo, salud, contexto, vulnerabilidad, entre otros) que deberán ser analizados en cada situación concreta</w:t>
      </w:r>
      <w:r w:rsidR="006A660B" w:rsidRPr="00660A10">
        <w:rPr>
          <w:rFonts w:eastAsia="Batang"/>
          <w:spacing w:val="-2"/>
          <w:szCs w:val="20"/>
        </w:rPr>
        <w:t>.</w:t>
      </w:r>
      <w:r w:rsidRPr="00660A10">
        <w:rPr>
          <w:rFonts w:eastAsia="Batang"/>
          <w:spacing w:val="-2"/>
          <w:szCs w:val="20"/>
        </w:rPr>
        <w:t xml:space="preserve"> </w:t>
      </w:r>
    </w:p>
    <w:p w14:paraId="00A29F1F" w14:textId="3FBACB08"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178.</w:t>
      </w:r>
      <w:r w:rsidRPr="00660A10">
        <w:rPr>
          <w:rFonts w:eastAsia="Batang"/>
          <w:spacing w:val="-2"/>
          <w:szCs w:val="20"/>
        </w:rPr>
        <w:tab/>
        <w:t>La Corte ha establecido que la tortura y las penas o tratos crueles, inhumanos o degradantes están absoluta y estrictamente prohibidos por el Derecho Internacional de los Derechos Humanos. Esta prohibición es absoluta e inderogable, aún en las circunstancias más difíciles, tales como guerra, amenaza de guerra, lucha contra el terrorismo y cualesquiera otros delitos, estado de sitio o de emergencia, conmoción o conflicto interior, suspensión de garantías constitucionales, inestabilidad política interna u otras emergencias o calamidades públicas</w:t>
      </w:r>
      <w:r w:rsidR="006A660B" w:rsidRPr="00660A10">
        <w:rPr>
          <w:rFonts w:eastAsia="Batang"/>
          <w:spacing w:val="-2"/>
          <w:szCs w:val="20"/>
        </w:rPr>
        <w:t>,</w:t>
      </w:r>
      <w:r w:rsidRPr="00660A10">
        <w:rPr>
          <w:rFonts w:eastAsia="Batang"/>
          <w:spacing w:val="-2"/>
          <w:szCs w:val="20"/>
        </w:rPr>
        <w:t xml:space="preserve"> y pertenece hoy día al dominio del </w:t>
      </w:r>
      <w:proofErr w:type="spellStart"/>
      <w:r w:rsidRPr="00660A10">
        <w:rPr>
          <w:rFonts w:eastAsia="Batang"/>
          <w:spacing w:val="-2"/>
          <w:szCs w:val="20"/>
        </w:rPr>
        <w:t>jus</w:t>
      </w:r>
      <w:proofErr w:type="spellEnd"/>
      <w:r w:rsidRPr="00660A10">
        <w:rPr>
          <w:rFonts w:eastAsia="Batang"/>
          <w:spacing w:val="-2"/>
          <w:szCs w:val="20"/>
        </w:rPr>
        <w:t xml:space="preserve"> cogens internacional</w:t>
      </w:r>
      <w:r w:rsidR="006A660B" w:rsidRPr="00660A10">
        <w:rPr>
          <w:rFonts w:eastAsia="Batang"/>
          <w:spacing w:val="-2"/>
          <w:szCs w:val="20"/>
        </w:rPr>
        <w:t>.</w:t>
      </w:r>
      <w:r w:rsidRPr="00660A10">
        <w:rPr>
          <w:rFonts w:eastAsia="Batang"/>
          <w:spacing w:val="-2"/>
          <w:szCs w:val="20"/>
        </w:rPr>
        <w:t xml:space="preserve"> Los tratados de alcance universal  y regional  consagran tal prohibición y el derecho inderogable a no ser sometido a ninguna forma de tortura. </w:t>
      </w:r>
    </w:p>
    <w:p w14:paraId="3452CAEE" w14:textId="720F4DC3"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179.</w:t>
      </w:r>
      <w:r w:rsidRPr="00660A10">
        <w:rPr>
          <w:rFonts w:eastAsia="Batang"/>
          <w:spacing w:val="-2"/>
          <w:szCs w:val="20"/>
        </w:rPr>
        <w:tab/>
        <w:t>Asimismo, en casos que involucran alguna forma de violencia sexual, se ha precisado que las violaciones a la integridad personal conllevan la afectación de la vida privada de las personas, protegida por el artículo 11 de la Convención, la cual abarca la vida sexual o sexualidad de las personas</w:t>
      </w:r>
      <w:r w:rsidR="006A660B" w:rsidRPr="00660A10">
        <w:rPr>
          <w:rFonts w:eastAsia="Batang"/>
          <w:spacing w:val="-2"/>
          <w:szCs w:val="20"/>
        </w:rPr>
        <w:t>.</w:t>
      </w:r>
      <w:r w:rsidRPr="00660A10">
        <w:rPr>
          <w:rFonts w:eastAsia="Batang"/>
          <w:spacing w:val="-2"/>
          <w:szCs w:val="20"/>
        </w:rPr>
        <w:t xml:space="preserve"> La violencia sexual vulnera valores y aspectos esenciales de la vida privada de las personas, supone una intromisión en su vida sexual y anula su derecho a tomar libremente las decisiones respecto a con quien tener relaciones sexuales, perdiendo de forma completa el control sobre sus decisiones más personales e íntimas, y sobre las funciones corporales básicas</w:t>
      </w:r>
      <w:r w:rsidR="006A660B" w:rsidRPr="00660A10">
        <w:rPr>
          <w:rFonts w:eastAsia="Batang"/>
          <w:spacing w:val="-2"/>
          <w:szCs w:val="20"/>
        </w:rPr>
        <w:t>.</w:t>
      </w:r>
    </w:p>
    <w:p w14:paraId="1579576E" w14:textId="1D599222"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180.</w:t>
      </w:r>
      <w:r w:rsidRPr="00660A10">
        <w:rPr>
          <w:rFonts w:eastAsia="Batang"/>
          <w:spacing w:val="-2"/>
          <w:szCs w:val="20"/>
        </w:rPr>
        <w:tab/>
        <w:t>Adicionalmente, se advierte que en este caso las obligaciones generales que se derivan de los artículos 5 y 11 de la Convención Americana son reforzadas por las obligaciones específicas derivadas de la Convención Interamericana contra la Tortura y la Convención de Belém do Pará. El artículo 7 de la Convención de Belém do Pará instituye deberes estatales para prevenir, sancionar y erradicar la violencia contra la mujer  que especifican y complementan las obligaciones que tiene el Estado respecto al cumplimiento de los derechos consagrados en los artículos 5 y 11 de la Convención</w:t>
      </w:r>
      <w:r w:rsidR="006A660B" w:rsidRPr="00660A10">
        <w:rPr>
          <w:rFonts w:eastAsia="Batang"/>
          <w:spacing w:val="-2"/>
          <w:szCs w:val="20"/>
        </w:rPr>
        <w:t>.</w:t>
      </w:r>
      <w:r w:rsidRPr="00660A10">
        <w:rPr>
          <w:rFonts w:eastAsia="Batang"/>
          <w:spacing w:val="-2"/>
          <w:szCs w:val="20"/>
        </w:rPr>
        <w:t xml:space="preserve"> En virtud de las obligaciones específicas de la Convención de Belém do Pará, los </w:t>
      </w:r>
      <w:r w:rsidRPr="00660A10">
        <w:rPr>
          <w:rFonts w:eastAsia="Batang"/>
          <w:spacing w:val="-2"/>
          <w:szCs w:val="20"/>
        </w:rPr>
        <w:lastRenderedPageBreak/>
        <w:t>Estados deben adoptar medidas integrales para cumplir con la debida diligencia en casos de violencia contra las mujeres; contar con un adecuado marco jurídico de protección, con una aplicación efectiva del mismo y con políticas de prevención y prácticas que permitan actuar de una manera eficaz ante las denuncias</w:t>
      </w:r>
      <w:r w:rsidR="006A660B" w:rsidRPr="00660A10">
        <w:rPr>
          <w:rFonts w:eastAsia="Batang"/>
          <w:spacing w:val="-2"/>
          <w:szCs w:val="20"/>
        </w:rPr>
        <w:t>.</w:t>
      </w:r>
      <w:r w:rsidRPr="00660A10">
        <w:rPr>
          <w:rFonts w:eastAsia="Batang"/>
          <w:spacing w:val="-2"/>
          <w:szCs w:val="20"/>
        </w:rPr>
        <w:t xml:space="preserve"> Asimismo, los artículos 1 y 6 de la Convención Interamericana contra la Tortura, refuerzan la prohibición absoluta de la tortura y las obligaciones del Estados para prevenir y sancionar todo acto o intento de tortura y otros tratos crueles, inhumanos y degradantes en el ámbito de su jurisdicción. </w:t>
      </w:r>
    </w:p>
    <w:p w14:paraId="6B1BCB09" w14:textId="69B8A3A8" w:rsidR="001A1E43" w:rsidRPr="003D49EB" w:rsidRDefault="001A1E43" w:rsidP="009A4683">
      <w:pPr>
        <w:tabs>
          <w:tab w:val="left" w:pos="720"/>
          <w:tab w:val="num" w:pos="11028"/>
        </w:tabs>
        <w:autoSpaceDE w:val="0"/>
        <w:autoSpaceDN w:val="0"/>
        <w:adjustRightInd w:val="0"/>
        <w:spacing w:after="100" w:afterAutospacing="1"/>
        <w:rPr>
          <w:rFonts w:eastAsia="Batang"/>
          <w:b/>
          <w:bCs/>
          <w:spacing w:val="-2"/>
          <w:sz w:val="18"/>
          <w:szCs w:val="18"/>
        </w:rPr>
      </w:pPr>
      <w:r w:rsidRPr="003D49EB">
        <w:rPr>
          <w:rFonts w:eastAsia="Batang"/>
          <w:b/>
          <w:bCs/>
          <w:spacing w:val="-2"/>
          <w:sz w:val="18"/>
          <w:szCs w:val="18"/>
        </w:rPr>
        <w:t>[B.2.a Violencia y violaciones sexuales]</w:t>
      </w:r>
    </w:p>
    <w:p w14:paraId="5897F126" w14:textId="311C1E15"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181.</w:t>
      </w:r>
      <w:r w:rsidRPr="00660A10">
        <w:rPr>
          <w:rFonts w:eastAsia="Batang"/>
          <w:spacing w:val="-2"/>
          <w:szCs w:val="20"/>
        </w:rPr>
        <w:tab/>
        <w:t>Siguiendo la línea de la jurisprudencia internacional y tomando en cuenta lo dispuesto en la Convención de Belém do Pará, la Corte ha considerado que la violencia sexual se configura con acciones de naturaleza sexual que se cometen contra una persona sin su consentimiento, que además de comprender la invasión física del cuerpo humano, pueden incluir actos que no involucren penetración o incluso contacto físico alguno</w:t>
      </w:r>
      <w:r w:rsidR="006A660B" w:rsidRPr="00660A10">
        <w:rPr>
          <w:rFonts w:eastAsia="Batang"/>
          <w:spacing w:val="-2"/>
          <w:szCs w:val="20"/>
        </w:rPr>
        <w:t>.</w:t>
      </w:r>
    </w:p>
    <w:p w14:paraId="40AB5659" w14:textId="48AB8EA8"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182.</w:t>
      </w:r>
      <w:r w:rsidRPr="00660A10">
        <w:rPr>
          <w:rFonts w:eastAsia="Batang"/>
          <w:spacing w:val="-2"/>
          <w:szCs w:val="20"/>
        </w:rPr>
        <w:tab/>
        <w:t>Asimismo, siguiendo el criterio jurisprudencial y normativo que impera tanto en el ámbito del derecho penal internacional como en el derecho penal comparado, este Tribunal ha considerado que la violación sexual es cualquier acto de penetración vaginal o anal, sin consentimiento de la víctima, mediante la utilización de otras partes del cuerpo del agresor u objetos, así como la penetración bucal mediante el miembro viril</w:t>
      </w:r>
      <w:r w:rsidR="006A660B" w:rsidRPr="00660A10">
        <w:rPr>
          <w:rFonts w:eastAsia="Batang"/>
          <w:spacing w:val="-2"/>
          <w:szCs w:val="20"/>
        </w:rPr>
        <w:t>.</w:t>
      </w:r>
      <w:r w:rsidRPr="00660A10">
        <w:rPr>
          <w:rFonts w:eastAsia="Batang"/>
          <w:spacing w:val="-2"/>
          <w:szCs w:val="20"/>
        </w:rPr>
        <w:t xml:space="preserve"> Para que un acto sea considerado violación sexual, es suficiente que se produzca una penetración, por superficial que sea, en los términos antes descritos</w:t>
      </w:r>
      <w:r w:rsidR="006A660B" w:rsidRPr="00660A10">
        <w:rPr>
          <w:rFonts w:eastAsia="Batang"/>
          <w:spacing w:val="-2"/>
          <w:szCs w:val="20"/>
        </w:rPr>
        <w:t>.</w:t>
      </w:r>
      <w:r w:rsidRPr="00660A10">
        <w:rPr>
          <w:rFonts w:eastAsia="Batang"/>
          <w:spacing w:val="-2"/>
          <w:szCs w:val="20"/>
        </w:rPr>
        <w:t xml:space="preserve"> Además, se debe entender que la penetración vaginal se refiere a la penetración, con cualquier parte del cuerpo del agresor u objetos, de cualquier orificio genital, incluyendo los labios mayores y menores, así como el orificio vaginal. Esta interpretación es acorde a la concepción de que cualquier tipo de penetración, por superficial que sea, es suficiente para que un acto sea considerado violación sexual. La Corte entiende que la violación sexual es una forma de violencia sexual</w:t>
      </w:r>
      <w:r w:rsidR="006A660B" w:rsidRPr="00660A10">
        <w:rPr>
          <w:rFonts w:eastAsia="Batang"/>
          <w:spacing w:val="-2"/>
          <w:szCs w:val="20"/>
        </w:rPr>
        <w:t>.</w:t>
      </w:r>
    </w:p>
    <w:p w14:paraId="47FA45CA" w14:textId="37AE9B25"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183.</w:t>
      </w:r>
      <w:r w:rsidRPr="00660A10">
        <w:rPr>
          <w:rFonts w:eastAsia="Batang"/>
          <w:spacing w:val="-2"/>
          <w:szCs w:val="20"/>
        </w:rPr>
        <w:tab/>
        <w:t>En particular, la violación sexual constituye una forma paradigmática de violencia contra las mujeres cuyas consecuencias, incluso, trascienden a la persona de la víctima</w:t>
      </w:r>
      <w:r w:rsidR="006A660B" w:rsidRPr="00660A10">
        <w:rPr>
          <w:rFonts w:eastAsia="Batang"/>
          <w:spacing w:val="-2"/>
          <w:szCs w:val="20"/>
        </w:rPr>
        <w:t>.</w:t>
      </w:r>
      <w:r w:rsidRPr="00660A10">
        <w:rPr>
          <w:rFonts w:eastAsia="Batang"/>
          <w:spacing w:val="-2"/>
          <w:szCs w:val="20"/>
        </w:rPr>
        <w:t xml:space="preserve"> Además, esta Corte ha resaltado cómo la violación sexual de una mujer que se encuentra detenida o bajo la custodia de un agente del Estado es un acto especialmente grave y reprobable, tomando en cuenta la vulnerabilidad de la víctima y el abuso de poder que despliega el agente</w:t>
      </w:r>
      <w:r w:rsidR="006A660B" w:rsidRPr="00660A10">
        <w:rPr>
          <w:rFonts w:eastAsia="Batang"/>
          <w:spacing w:val="-2"/>
          <w:szCs w:val="20"/>
        </w:rPr>
        <w:t>.</w:t>
      </w:r>
      <w:r w:rsidRPr="00660A10">
        <w:rPr>
          <w:rFonts w:eastAsia="Batang"/>
          <w:spacing w:val="-2"/>
          <w:szCs w:val="20"/>
        </w:rPr>
        <w:t xml:space="preserve"> </w:t>
      </w:r>
    </w:p>
    <w:p w14:paraId="1083E3A4" w14:textId="2D848BB0"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w:t>
      </w:r>
    </w:p>
    <w:p w14:paraId="3205FF3E" w14:textId="44C04C85"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187.</w:t>
      </w:r>
      <w:r w:rsidRPr="00660A10">
        <w:rPr>
          <w:rFonts w:eastAsia="Batang"/>
          <w:spacing w:val="-2"/>
          <w:szCs w:val="20"/>
        </w:rPr>
        <w:tab/>
        <w:t xml:space="preserve">Teniendo en cuenta lo anterior, así como los hechos expuestos supra </w:t>
      </w:r>
      <w:r w:rsidR="00632C28">
        <w:rPr>
          <w:rFonts w:eastAsia="Batang"/>
          <w:spacing w:val="-2"/>
          <w:szCs w:val="20"/>
        </w:rPr>
        <w:t>[...]</w:t>
      </w:r>
      <w:r w:rsidRPr="00660A10">
        <w:rPr>
          <w:rFonts w:eastAsia="Batang"/>
          <w:spacing w:val="-2"/>
          <w:szCs w:val="20"/>
        </w:rPr>
        <w:t>, la Corte constata que las once mujeres fueron sometidas a las siguientes formas de violencia, incluida la violación sexual:</w:t>
      </w:r>
    </w:p>
    <w:p w14:paraId="2B1DC81D" w14:textId="76B2C788" w:rsidR="001A1E43" w:rsidRPr="00660A10" w:rsidRDefault="001A1E43" w:rsidP="00AB7BFF">
      <w:pPr>
        <w:tabs>
          <w:tab w:val="left" w:pos="720"/>
          <w:tab w:val="num" w:pos="11028"/>
        </w:tabs>
        <w:autoSpaceDE w:val="0"/>
        <w:autoSpaceDN w:val="0"/>
        <w:adjustRightInd w:val="0"/>
        <w:spacing w:after="100" w:afterAutospacing="1"/>
        <w:ind w:left="720"/>
        <w:rPr>
          <w:rFonts w:eastAsia="Batang"/>
          <w:spacing w:val="-2"/>
          <w:szCs w:val="20"/>
        </w:rPr>
      </w:pPr>
      <w:r w:rsidRPr="00660A10">
        <w:rPr>
          <w:rFonts w:eastAsia="Batang"/>
          <w:spacing w:val="-2"/>
          <w:szCs w:val="20"/>
        </w:rPr>
        <w:t xml:space="preserve">1. Yolanda Muñoz </w:t>
      </w:r>
      <w:proofErr w:type="spellStart"/>
      <w:r w:rsidRPr="00660A10">
        <w:rPr>
          <w:rFonts w:eastAsia="Batang"/>
          <w:spacing w:val="-2"/>
          <w:szCs w:val="20"/>
        </w:rPr>
        <w:t>Diosdada</w:t>
      </w:r>
      <w:proofErr w:type="spellEnd"/>
      <w:r w:rsidRPr="00660A10">
        <w:rPr>
          <w:rFonts w:eastAsia="Batang"/>
          <w:spacing w:val="-2"/>
          <w:szCs w:val="20"/>
        </w:rPr>
        <w:t xml:space="preserve">: fue golpeada, pateada, insultada, halada del cabello, maltratada y amenazada de muerte y desaparición al momento de ser detenida. En el traslado al penal fue manoseada por un policía quien le levantó la blusa y “le apretó y pellizcó los pezones”, le removió la ropa interior, “le tocó y rasguñó la vagina”. Al llegar al CEPRESO, nuevamente la golpearon, halaron de los cabellos y patearon, así como la hicieron desnudarse en frente de múltiples personas para ser revisada. </w:t>
      </w:r>
    </w:p>
    <w:p w14:paraId="3092CB2A" w14:textId="142740A9" w:rsidR="001A1E43" w:rsidRPr="00660A10" w:rsidRDefault="001A1E43" w:rsidP="00AB7BFF">
      <w:pPr>
        <w:tabs>
          <w:tab w:val="left" w:pos="720"/>
          <w:tab w:val="num" w:pos="11028"/>
        </w:tabs>
        <w:autoSpaceDE w:val="0"/>
        <w:autoSpaceDN w:val="0"/>
        <w:adjustRightInd w:val="0"/>
        <w:spacing w:after="100" w:afterAutospacing="1"/>
        <w:ind w:left="720"/>
        <w:rPr>
          <w:rFonts w:eastAsia="Batang"/>
          <w:spacing w:val="-2"/>
          <w:szCs w:val="20"/>
        </w:rPr>
      </w:pPr>
      <w:r w:rsidRPr="00660A10">
        <w:rPr>
          <w:rFonts w:eastAsia="Batang"/>
          <w:spacing w:val="-2"/>
          <w:szCs w:val="20"/>
        </w:rPr>
        <w:t xml:space="preserve">2. Norma Aidé Jiménez Osorio: fue golpeada y dejada </w:t>
      </w:r>
      <w:proofErr w:type="spellStart"/>
      <w:r w:rsidRPr="00660A10">
        <w:rPr>
          <w:rFonts w:eastAsia="Batang"/>
          <w:spacing w:val="-2"/>
          <w:szCs w:val="20"/>
        </w:rPr>
        <w:t>semi</w:t>
      </w:r>
      <w:proofErr w:type="spellEnd"/>
      <w:r w:rsidRPr="00660A10">
        <w:rPr>
          <w:rFonts w:eastAsia="Batang"/>
          <w:spacing w:val="-2"/>
          <w:szCs w:val="20"/>
        </w:rPr>
        <w:t xml:space="preserve">-desnuda al momento de su detención. Durante los traslados, le caminaron por encima, le </w:t>
      </w:r>
      <w:r w:rsidRPr="00660A10">
        <w:rPr>
          <w:rFonts w:eastAsia="Batang"/>
          <w:spacing w:val="-2"/>
          <w:szCs w:val="20"/>
        </w:rPr>
        <w:lastRenderedPageBreak/>
        <w:t xml:space="preserve">tocaron y golpearon en los </w:t>
      </w:r>
      <w:proofErr w:type="spellStart"/>
      <w:r w:rsidRPr="00660A10">
        <w:rPr>
          <w:rFonts w:eastAsia="Batang"/>
          <w:spacing w:val="-2"/>
          <w:szCs w:val="20"/>
        </w:rPr>
        <w:t>glúetos</w:t>
      </w:r>
      <w:proofErr w:type="spellEnd"/>
      <w:r w:rsidRPr="00660A10">
        <w:rPr>
          <w:rFonts w:eastAsia="Batang"/>
          <w:spacing w:val="-2"/>
          <w:szCs w:val="20"/>
        </w:rPr>
        <w:t xml:space="preserve"> y la </w:t>
      </w:r>
      <w:proofErr w:type="spellStart"/>
      <w:r w:rsidRPr="00660A10">
        <w:rPr>
          <w:rFonts w:eastAsia="Batang"/>
          <w:spacing w:val="-2"/>
          <w:szCs w:val="20"/>
        </w:rPr>
        <w:t>amenzaron</w:t>
      </w:r>
      <w:proofErr w:type="spellEnd"/>
      <w:r w:rsidRPr="00660A10">
        <w:rPr>
          <w:rFonts w:eastAsia="Batang"/>
          <w:spacing w:val="-2"/>
          <w:szCs w:val="20"/>
        </w:rPr>
        <w:t xml:space="preserve"> con violarla. En el segundo vehículo en el que fue trasladada al penal, varios policías “tomaron turnos” introduciendo sus dedos en su vagina y ano, otros introdujeron su lengua en su boca, la manosearon y le apretaron los pechos y pezones. </w:t>
      </w:r>
    </w:p>
    <w:p w14:paraId="0A88E0CE" w14:textId="2921D420" w:rsidR="001A1E43" w:rsidRPr="00660A10" w:rsidRDefault="001A1E43" w:rsidP="00AB7BFF">
      <w:pPr>
        <w:tabs>
          <w:tab w:val="left" w:pos="720"/>
          <w:tab w:val="num" w:pos="11028"/>
        </w:tabs>
        <w:autoSpaceDE w:val="0"/>
        <w:autoSpaceDN w:val="0"/>
        <w:adjustRightInd w:val="0"/>
        <w:spacing w:after="100" w:afterAutospacing="1"/>
        <w:ind w:left="720"/>
        <w:rPr>
          <w:rFonts w:eastAsia="Batang"/>
          <w:spacing w:val="-2"/>
          <w:szCs w:val="20"/>
        </w:rPr>
      </w:pPr>
      <w:r w:rsidRPr="00660A10">
        <w:rPr>
          <w:rFonts w:eastAsia="Batang"/>
          <w:spacing w:val="-2"/>
          <w:szCs w:val="20"/>
        </w:rPr>
        <w:t xml:space="preserve">3. María Patricia Romero Hernández: fue golpeada, insultada y amenazada de agresión al momento de su detención. En la Subprocuraduría de Texcoco fue golpeada, amenazada de violación y sometida a insultos </w:t>
      </w:r>
      <w:proofErr w:type="spellStart"/>
      <w:r w:rsidRPr="00660A10">
        <w:rPr>
          <w:rFonts w:eastAsia="Batang"/>
          <w:spacing w:val="-2"/>
          <w:szCs w:val="20"/>
        </w:rPr>
        <w:t>sexualizados</w:t>
      </w:r>
      <w:proofErr w:type="spellEnd"/>
      <w:r w:rsidRPr="00660A10">
        <w:rPr>
          <w:rFonts w:eastAsia="Batang"/>
          <w:spacing w:val="-2"/>
          <w:szCs w:val="20"/>
        </w:rPr>
        <w:t>. En el traslado, varios policías “h[</w:t>
      </w:r>
      <w:proofErr w:type="spellStart"/>
      <w:r w:rsidRPr="00660A10">
        <w:rPr>
          <w:rFonts w:eastAsia="Batang"/>
          <w:spacing w:val="-2"/>
          <w:szCs w:val="20"/>
        </w:rPr>
        <w:t>icieron</w:t>
      </w:r>
      <w:proofErr w:type="spellEnd"/>
      <w:r w:rsidRPr="00660A10">
        <w:rPr>
          <w:rFonts w:eastAsia="Batang"/>
          <w:spacing w:val="-2"/>
          <w:szCs w:val="20"/>
        </w:rPr>
        <w:t xml:space="preserve">] de [ella] lo que </w:t>
      </w:r>
      <w:proofErr w:type="spellStart"/>
      <w:r w:rsidRPr="00660A10">
        <w:rPr>
          <w:rFonts w:eastAsia="Batang"/>
          <w:spacing w:val="-2"/>
          <w:szCs w:val="20"/>
        </w:rPr>
        <w:t>qu</w:t>
      </w:r>
      <w:proofErr w:type="spellEnd"/>
      <w:r w:rsidRPr="00660A10">
        <w:rPr>
          <w:rFonts w:eastAsia="Batang"/>
          <w:spacing w:val="-2"/>
          <w:szCs w:val="20"/>
        </w:rPr>
        <w:t>[</w:t>
      </w:r>
      <w:proofErr w:type="spellStart"/>
      <w:r w:rsidRPr="00660A10">
        <w:rPr>
          <w:rFonts w:eastAsia="Batang"/>
          <w:spacing w:val="-2"/>
          <w:szCs w:val="20"/>
        </w:rPr>
        <w:t>isieron</w:t>
      </w:r>
      <w:proofErr w:type="spellEnd"/>
      <w:r w:rsidRPr="00660A10">
        <w:rPr>
          <w:rFonts w:eastAsia="Batang"/>
          <w:spacing w:val="-2"/>
          <w:szCs w:val="20"/>
        </w:rPr>
        <w:t>]”, le apretaron los senos, halaron los pezones y le tocaron los genitales por encima del pantalón. Luego en el CEPRESO la golpearon nuevamente y lanzaron violentamente contra una pared.</w:t>
      </w:r>
    </w:p>
    <w:p w14:paraId="4024EA72" w14:textId="7F1EF726" w:rsidR="001A1E43" w:rsidRPr="00660A10" w:rsidRDefault="001A1E43" w:rsidP="00AB7BFF">
      <w:pPr>
        <w:tabs>
          <w:tab w:val="left" w:pos="720"/>
          <w:tab w:val="num" w:pos="11028"/>
        </w:tabs>
        <w:autoSpaceDE w:val="0"/>
        <w:autoSpaceDN w:val="0"/>
        <w:adjustRightInd w:val="0"/>
        <w:spacing w:after="100" w:afterAutospacing="1"/>
        <w:ind w:left="720"/>
        <w:rPr>
          <w:rFonts w:eastAsia="Batang"/>
          <w:spacing w:val="-2"/>
          <w:szCs w:val="20"/>
        </w:rPr>
      </w:pPr>
      <w:r w:rsidRPr="00660A10">
        <w:rPr>
          <w:rFonts w:eastAsia="Batang"/>
          <w:spacing w:val="-2"/>
          <w:szCs w:val="20"/>
        </w:rPr>
        <w:t>4. Mariana Selvas Gómez: fue golpeada, pateada, insultada y halada del cabello al momento de su detención. En el traslado al penal, la acostaron boca bajo y le apilaron a múltiples personas encima por lo que se le dificultaba respirar. La golpearon, patearon y empujaron, le dieron puñetazos, la amenazaron con que la iban a matar, así como la insultaron por ser mujer. Un policía “le metió las manos entre las piernas y le frotó por encima del pantalón”, le pellizcó “las nalgas, la vagina, e incluso le metió sus dedos en la vagina”. Luego otro policía la manoseó, le metió las manos en la ropa, le rompió la ropa interior y le pellizcó los pezones. En el CEPRESO la siguieron golpeando e insultando hasta llegar a la sala de visitas.</w:t>
      </w:r>
    </w:p>
    <w:p w14:paraId="6342E650" w14:textId="2DDA416F" w:rsidR="001A1E43" w:rsidRPr="00660A10" w:rsidRDefault="001A1E43" w:rsidP="00AB7BFF">
      <w:pPr>
        <w:tabs>
          <w:tab w:val="left" w:pos="720"/>
          <w:tab w:val="num" w:pos="11028"/>
        </w:tabs>
        <w:autoSpaceDE w:val="0"/>
        <w:autoSpaceDN w:val="0"/>
        <w:adjustRightInd w:val="0"/>
        <w:spacing w:after="100" w:afterAutospacing="1"/>
        <w:ind w:left="720"/>
        <w:rPr>
          <w:rFonts w:eastAsia="Batang"/>
          <w:spacing w:val="-2"/>
          <w:szCs w:val="20"/>
        </w:rPr>
      </w:pPr>
      <w:r w:rsidRPr="00660A10">
        <w:rPr>
          <w:rFonts w:eastAsia="Batang"/>
          <w:spacing w:val="-2"/>
          <w:szCs w:val="20"/>
        </w:rPr>
        <w:t xml:space="preserve">5. Georgina Edith Rosales Gutiérrez: fue golpeada, halada del cabello, sometida a insultos </w:t>
      </w:r>
      <w:proofErr w:type="spellStart"/>
      <w:r w:rsidRPr="00660A10">
        <w:rPr>
          <w:rFonts w:eastAsia="Batang"/>
          <w:spacing w:val="-2"/>
          <w:szCs w:val="20"/>
        </w:rPr>
        <w:t>sexualizados</w:t>
      </w:r>
      <w:proofErr w:type="spellEnd"/>
      <w:r w:rsidRPr="00660A10">
        <w:rPr>
          <w:rFonts w:eastAsia="Batang"/>
          <w:spacing w:val="-2"/>
          <w:szCs w:val="20"/>
        </w:rPr>
        <w:t xml:space="preserve"> y maltratada al momento de su detención. Durante el traslado, fue golpeada nuevamente, empujada, amenazada de ser violada analmente y de muerte, manoseada por un policía “colocó sus manos entre sus glúteos, le apretó la vagina, la pellizcó y la lastimó, además le apretó los senos por debajo de la blusa”, le apilaron personas encima y nuevamente golpeada e insultada. En el CEPRESO, además de lo anterior, fue obligada a desnudarse frente a cuatro médicos para una revisión.</w:t>
      </w:r>
    </w:p>
    <w:p w14:paraId="188A6F2B" w14:textId="76715317" w:rsidR="001A1E43" w:rsidRPr="00660A10" w:rsidRDefault="001A1E43" w:rsidP="00AB7BFF">
      <w:pPr>
        <w:tabs>
          <w:tab w:val="left" w:pos="720"/>
          <w:tab w:val="num" w:pos="11028"/>
        </w:tabs>
        <w:autoSpaceDE w:val="0"/>
        <w:autoSpaceDN w:val="0"/>
        <w:adjustRightInd w:val="0"/>
        <w:spacing w:after="100" w:afterAutospacing="1"/>
        <w:ind w:left="720"/>
        <w:rPr>
          <w:rFonts w:eastAsia="Batang"/>
          <w:spacing w:val="-2"/>
          <w:szCs w:val="20"/>
        </w:rPr>
      </w:pPr>
      <w:r w:rsidRPr="00660A10">
        <w:rPr>
          <w:rFonts w:eastAsia="Batang"/>
          <w:spacing w:val="-2"/>
          <w:szCs w:val="20"/>
        </w:rPr>
        <w:t xml:space="preserve">6. Ana María Velasco Rodríguez: fue golpeada, halada del cabello, pateada, sometida a insultos </w:t>
      </w:r>
      <w:proofErr w:type="spellStart"/>
      <w:r w:rsidRPr="00660A10">
        <w:rPr>
          <w:rFonts w:eastAsia="Batang"/>
          <w:spacing w:val="-2"/>
          <w:szCs w:val="20"/>
        </w:rPr>
        <w:t>sexualizados</w:t>
      </w:r>
      <w:proofErr w:type="spellEnd"/>
      <w:r w:rsidRPr="00660A10">
        <w:rPr>
          <w:rFonts w:eastAsia="Batang"/>
          <w:spacing w:val="-2"/>
          <w:szCs w:val="20"/>
        </w:rPr>
        <w:t xml:space="preserve"> y maltratada al momento de su detención. En el trayecto, fue nuevamente golpeada, le tocaron “los pechos, la vagina y los glúteos” al mismo tiempo que la insultaban de “perra” y “puta”, un policía le introdujo su pene en la boca y la forzó a hacerle sexo oral y con la mano, mientras otros dos policías le tocaban los senos y la vagina. Luego, otro policía la forzó nuevamente a hacerle sexo oral y otros dos policías “la siguieron manoseando” y le metieron sus dedos en la vagina bruscamente, rompiendo su ropa interior, mientras la amenazaban con mayores violaciones. En el CEPRESO, además de lo anterior, nuevamente la golpearon, empujaron y patearon.</w:t>
      </w:r>
    </w:p>
    <w:p w14:paraId="11D791E0" w14:textId="7706B798" w:rsidR="001A1E43" w:rsidRPr="00660A10" w:rsidRDefault="001A1E43" w:rsidP="00AB7BFF">
      <w:pPr>
        <w:tabs>
          <w:tab w:val="left" w:pos="720"/>
          <w:tab w:val="num" w:pos="11028"/>
        </w:tabs>
        <w:autoSpaceDE w:val="0"/>
        <w:autoSpaceDN w:val="0"/>
        <w:adjustRightInd w:val="0"/>
        <w:spacing w:after="100" w:afterAutospacing="1"/>
        <w:ind w:left="720"/>
        <w:rPr>
          <w:rFonts w:eastAsia="Batang"/>
          <w:spacing w:val="-2"/>
          <w:szCs w:val="20"/>
        </w:rPr>
      </w:pPr>
      <w:r w:rsidRPr="00660A10">
        <w:rPr>
          <w:rFonts w:eastAsia="Batang"/>
          <w:spacing w:val="-2"/>
          <w:szCs w:val="20"/>
        </w:rPr>
        <w:t xml:space="preserve">7. </w:t>
      </w:r>
      <w:proofErr w:type="spellStart"/>
      <w:r w:rsidRPr="00660A10">
        <w:rPr>
          <w:rFonts w:eastAsia="Batang"/>
          <w:spacing w:val="-2"/>
          <w:szCs w:val="20"/>
        </w:rPr>
        <w:t>Suhelen</w:t>
      </w:r>
      <w:proofErr w:type="spellEnd"/>
      <w:r w:rsidRPr="00660A10">
        <w:rPr>
          <w:rFonts w:eastAsia="Batang"/>
          <w:spacing w:val="-2"/>
          <w:szCs w:val="20"/>
        </w:rPr>
        <w:t xml:space="preserve"> Gabriela Cuevas Jaramillo: fue golpeada, manoseada y sometida a insultos </w:t>
      </w:r>
      <w:proofErr w:type="spellStart"/>
      <w:r w:rsidRPr="00660A10">
        <w:rPr>
          <w:rFonts w:eastAsia="Batang"/>
          <w:spacing w:val="-2"/>
          <w:szCs w:val="20"/>
        </w:rPr>
        <w:t>sexualizados</w:t>
      </w:r>
      <w:proofErr w:type="spellEnd"/>
      <w:r w:rsidRPr="00660A10">
        <w:rPr>
          <w:rFonts w:eastAsia="Batang"/>
          <w:spacing w:val="-2"/>
          <w:szCs w:val="20"/>
        </w:rPr>
        <w:t xml:space="preserve"> al momento de su detención. Un policía la </w:t>
      </w:r>
      <w:proofErr w:type="spellStart"/>
      <w:r w:rsidRPr="00660A10">
        <w:rPr>
          <w:rFonts w:eastAsia="Batang"/>
          <w:spacing w:val="-2"/>
          <w:szCs w:val="20"/>
        </w:rPr>
        <w:t>semidesnudó</w:t>
      </w:r>
      <w:proofErr w:type="spellEnd"/>
      <w:r w:rsidRPr="00660A10">
        <w:rPr>
          <w:rFonts w:eastAsia="Batang"/>
          <w:spacing w:val="-2"/>
          <w:szCs w:val="20"/>
        </w:rPr>
        <w:t xml:space="preserve">, le tocaron el pecho, los </w:t>
      </w:r>
      <w:proofErr w:type="spellStart"/>
      <w:r w:rsidRPr="00660A10">
        <w:rPr>
          <w:rFonts w:eastAsia="Batang"/>
          <w:spacing w:val="-2"/>
          <w:szCs w:val="20"/>
        </w:rPr>
        <w:t>gluteos</w:t>
      </w:r>
      <w:proofErr w:type="spellEnd"/>
      <w:r w:rsidRPr="00660A10">
        <w:rPr>
          <w:rFonts w:eastAsia="Batang"/>
          <w:spacing w:val="-2"/>
          <w:szCs w:val="20"/>
        </w:rPr>
        <w:t xml:space="preserve"> y le pellizcaron los senos, así como trataron de quitarle los pantalones, pero cuando “</w:t>
      </w:r>
      <w:proofErr w:type="spellStart"/>
      <w:r w:rsidRPr="00660A10">
        <w:rPr>
          <w:rFonts w:eastAsia="Batang"/>
          <w:spacing w:val="-2"/>
          <w:szCs w:val="20"/>
        </w:rPr>
        <w:t>cerr</w:t>
      </w:r>
      <w:proofErr w:type="spellEnd"/>
      <w:r w:rsidRPr="00660A10">
        <w:rPr>
          <w:rFonts w:eastAsia="Batang"/>
          <w:spacing w:val="-2"/>
          <w:szCs w:val="20"/>
        </w:rPr>
        <w:t>[</w:t>
      </w:r>
      <w:proofErr w:type="spellStart"/>
      <w:r w:rsidRPr="00660A10">
        <w:rPr>
          <w:rFonts w:eastAsia="Batang"/>
          <w:spacing w:val="-2"/>
          <w:szCs w:val="20"/>
        </w:rPr>
        <w:t>ó</w:t>
      </w:r>
      <w:proofErr w:type="spellEnd"/>
      <w:r w:rsidRPr="00660A10">
        <w:rPr>
          <w:rFonts w:eastAsia="Batang"/>
          <w:spacing w:val="-2"/>
          <w:szCs w:val="20"/>
        </w:rPr>
        <w:t>] las piernas[, el policía s]e las abr[</w:t>
      </w:r>
      <w:proofErr w:type="spellStart"/>
      <w:r w:rsidRPr="00660A10">
        <w:rPr>
          <w:rFonts w:eastAsia="Batang"/>
          <w:spacing w:val="-2"/>
          <w:szCs w:val="20"/>
        </w:rPr>
        <w:t>ió</w:t>
      </w:r>
      <w:proofErr w:type="spellEnd"/>
      <w:r w:rsidRPr="00660A10">
        <w:rPr>
          <w:rFonts w:eastAsia="Batang"/>
          <w:spacing w:val="-2"/>
          <w:szCs w:val="20"/>
        </w:rPr>
        <w:t>] con las botas y [le] pate[</w:t>
      </w:r>
      <w:proofErr w:type="spellStart"/>
      <w:r w:rsidRPr="00660A10">
        <w:rPr>
          <w:rFonts w:eastAsia="Batang"/>
          <w:spacing w:val="-2"/>
          <w:szCs w:val="20"/>
        </w:rPr>
        <w:t>ó</w:t>
      </w:r>
      <w:proofErr w:type="spellEnd"/>
      <w:r w:rsidRPr="00660A10">
        <w:rPr>
          <w:rFonts w:eastAsia="Batang"/>
          <w:spacing w:val="-2"/>
          <w:szCs w:val="20"/>
        </w:rPr>
        <w:t xml:space="preserve">] la vagina”. Durante el traslado al penal, varios policías le pellizcaron los senos, le “jala[ron] el pantalón”, le apilaron a personas encima y la golpearon al azar. Le “jala[ron] el </w:t>
      </w:r>
      <w:proofErr w:type="spellStart"/>
      <w:r w:rsidRPr="00660A10">
        <w:rPr>
          <w:rFonts w:eastAsia="Batang"/>
          <w:spacing w:val="-2"/>
          <w:szCs w:val="20"/>
        </w:rPr>
        <w:t>brasier</w:t>
      </w:r>
      <w:proofErr w:type="spellEnd"/>
      <w:r w:rsidRPr="00660A10">
        <w:rPr>
          <w:rFonts w:eastAsia="Batang"/>
          <w:spacing w:val="-2"/>
          <w:szCs w:val="20"/>
        </w:rPr>
        <w:t xml:space="preserve">”, dejándola con los senos descubiertos, se los pellizcaron y mordieron, mientras la insultaban. Sintió que varios policías metieron sus dedos en su vagina, “incontables veces por que pasaban unos y lo hacían pasaban otros y lo hacían”. Fue amenazada de muerte y sometida a posiciones estresantes, semidesnuda y en presencia </w:t>
      </w:r>
      <w:r w:rsidRPr="00660A10">
        <w:rPr>
          <w:rFonts w:eastAsia="Batang"/>
          <w:spacing w:val="-2"/>
          <w:szCs w:val="20"/>
        </w:rPr>
        <w:lastRenderedPageBreak/>
        <w:t xml:space="preserve">de su pareja. En el CEPRESO, nuevamente fue </w:t>
      </w:r>
      <w:proofErr w:type="spellStart"/>
      <w:r w:rsidRPr="00660A10">
        <w:rPr>
          <w:rFonts w:eastAsia="Batang"/>
          <w:spacing w:val="-2"/>
          <w:szCs w:val="20"/>
        </w:rPr>
        <w:t>golepada</w:t>
      </w:r>
      <w:proofErr w:type="spellEnd"/>
      <w:r w:rsidRPr="00660A10">
        <w:rPr>
          <w:rFonts w:eastAsia="Batang"/>
          <w:spacing w:val="-2"/>
          <w:szCs w:val="20"/>
        </w:rPr>
        <w:t xml:space="preserve"> y obligada a desnudarse para una revisión.</w:t>
      </w:r>
    </w:p>
    <w:p w14:paraId="1603FC45" w14:textId="733C0B65" w:rsidR="001A1E43" w:rsidRPr="00660A10" w:rsidRDefault="001A1E43" w:rsidP="00AB7BFF">
      <w:pPr>
        <w:tabs>
          <w:tab w:val="left" w:pos="720"/>
          <w:tab w:val="num" w:pos="11028"/>
        </w:tabs>
        <w:autoSpaceDE w:val="0"/>
        <w:autoSpaceDN w:val="0"/>
        <w:adjustRightInd w:val="0"/>
        <w:spacing w:after="100" w:afterAutospacing="1"/>
        <w:ind w:left="720"/>
        <w:rPr>
          <w:rFonts w:eastAsia="Batang"/>
          <w:spacing w:val="-2"/>
          <w:szCs w:val="20"/>
        </w:rPr>
      </w:pPr>
      <w:r w:rsidRPr="00660A10">
        <w:rPr>
          <w:rFonts w:eastAsia="Batang"/>
          <w:spacing w:val="-2"/>
          <w:szCs w:val="20"/>
        </w:rPr>
        <w:t xml:space="preserve">8. Bárbara Italia Méndez Moreno: fue golpeada, sometida a insultos </w:t>
      </w:r>
      <w:proofErr w:type="spellStart"/>
      <w:r w:rsidRPr="00660A10">
        <w:rPr>
          <w:rFonts w:eastAsia="Batang"/>
          <w:spacing w:val="-2"/>
          <w:szCs w:val="20"/>
        </w:rPr>
        <w:t>sexualizados</w:t>
      </w:r>
      <w:proofErr w:type="spellEnd"/>
      <w:r w:rsidRPr="00660A10">
        <w:rPr>
          <w:rFonts w:eastAsia="Batang"/>
          <w:spacing w:val="-2"/>
          <w:szCs w:val="20"/>
        </w:rPr>
        <w:t>, maltratada y amenazada de muerte y de violación sexual al momento de su detención. Durante el traslado al penal, nuevamente fue golpeada, empujada, apilada encima de otras personas y desnudada. Además, fue penetrada digitalmente múltiples veces y con un objeto metálico por varios policías, varios policías le frotaron sus genitales contra los suyos y la dejaron desnuda y en una posición estresante y vulnerable durante el resto del trayecto. Describió que le pellizcaran los senos, mientras la golpeaban y le decían frases obscenas, entre ellas obligándola a decirle “vaquero” a uno de los policías que la estaba agrediendo. Al menos tres policías la penetraron con los dedos en la vagina, animándose unos a otros y en una ocasión dos policías le sujetaron la cadera mientras alentaban al otro policía a “</w:t>
      </w:r>
      <w:proofErr w:type="spellStart"/>
      <w:r w:rsidRPr="00660A10">
        <w:rPr>
          <w:rFonts w:eastAsia="Batang"/>
          <w:spacing w:val="-2"/>
          <w:szCs w:val="20"/>
        </w:rPr>
        <w:t>cogersela</w:t>
      </w:r>
      <w:proofErr w:type="spellEnd"/>
      <w:r w:rsidRPr="00660A10">
        <w:rPr>
          <w:rFonts w:eastAsia="Batang"/>
          <w:spacing w:val="-2"/>
          <w:szCs w:val="20"/>
        </w:rPr>
        <w:t>” y a ella la amenazaban, insultaban, golpeaban con puños y le forzaban la lengua en la boca. Le “restregaron” los genitales de policías en sus genitales externos “primero fue uno, después otro hizo lo mismo y pasó por segunda ocasión el primero”, y después fue penetrada nuevamente “pero esta vez con un objeto pequeño” que cree identificar como llaves, luego de lo cual la dejaron desnuda en una posición supremamente vulnerable el resto del camino al CEPRESO. En el penal, fue golpeada nuevamente además de insultada y negada asistencia médica.</w:t>
      </w:r>
    </w:p>
    <w:p w14:paraId="31F197E4" w14:textId="244FA499" w:rsidR="001A1E43" w:rsidRPr="00660A10" w:rsidRDefault="001A1E43" w:rsidP="00AB7BFF">
      <w:pPr>
        <w:tabs>
          <w:tab w:val="left" w:pos="720"/>
          <w:tab w:val="num" w:pos="11028"/>
        </w:tabs>
        <w:autoSpaceDE w:val="0"/>
        <w:autoSpaceDN w:val="0"/>
        <w:adjustRightInd w:val="0"/>
        <w:spacing w:after="100" w:afterAutospacing="1"/>
        <w:ind w:left="720"/>
        <w:rPr>
          <w:rFonts w:eastAsia="Batang"/>
          <w:spacing w:val="-2"/>
          <w:szCs w:val="20"/>
        </w:rPr>
      </w:pPr>
      <w:r w:rsidRPr="00660A10">
        <w:rPr>
          <w:rFonts w:eastAsia="Batang"/>
          <w:spacing w:val="-2"/>
          <w:szCs w:val="20"/>
        </w:rPr>
        <w:t>9. María Cristina Sánchez Hernández: fue golpeada y amenazada de muerte al momento de su detención. Durante el traslado al penal, la golpearon mientras la interrogaban y fue obligada a cantar y a contar chistes obscenos, la manosearon, le tocaron y apretaron los senos y entre las piernas, así como vio cómo forzaban a otra mujer a hacer sexo oral. Al llegar al CEPRESO, la patearon, insultaron y amenazaron nuevamente.</w:t>
      </w:r>
    </w:p>
    <w:p w14:paraId="1C5CE1D8" w14:textId="6BB8EFA9" w:rsidR="001A1E43" w:rsidRPr="00660A10" w:rsidRDefault="001A1E43" w:rsidP="00AB7BFF">
      <w:pPr>
        <w:tabs>
          <w:tab w:val="left" w:pos="720"/>
          <w:tab w:val="num" w:pos="11028"/>
        </w:tabs>
        <w:autoSpaceDE w:val="0"/>
        <w:autoSpaceDN w:val="0"/>
        <w:adjustRightInd w:val="0"/>
        <w:spacing w:after="100" w:afterAutospacing="1"/>
        <w:ind w:left="720"/>
        <w:rPr>
          <w:rFonts w:eastAsia="Batang"/>
          <w:spacing w:val="-2"/>
          <w:szCs w:val="20"/>
        </w:rPr>
      </w:pPr>
      <w:r w:rsidRPr="00660A10">
        <w:rPr>
          <w:rFonts w:eastAsia="Batang"/>
          <w:spacing w:val="-2"/>
          <w:szCs w:val="20"/>
        </w:rPr>
        <w:t xml:space="preserve">10. Angélica Patricia Torres Linares: fue golpeada, sometida a insultos </w:t>
      </w:r>
      <w:proofErr w:type="spellStart"/>
      <w:r w:rsidRPr="00660A10">
        <w:rPr>
          <w:rFonts w:eastAsia="Batang"/>
          <w:spacing w:val="-2"/>
          <w:szCs w:val="20"/>
        </w:rPr>
        <w:t>sexualizados</w:t>
      </w:r>
      <w:proofErr w:type="spellEnd"/>
      <w:r w:rsidRPr="00660A10">
        <w:rPr>
          <w:rFonts w:eastAsia="Batang"/>
          <w:spacing w:val="-2"/>
          <w:szCs w:val="20"/>
        </w:rPr>
        <w:t>, amenazada de muerte y violación sexual y maltratada al momento de su detención. Durante los traslados, la golpearon e insultaron nuevamente, le apretaron fuertemente los senos, la manosearon y le tocaron los glúteos y genitales por encima del pantalón. En el CEPRESO, nuevamente fue golpeada, amenazada de violación sexual, y un policía le tocó “la vulva con los dedos, para posteriormente penetrar[la]”.</w:t>
      </w:r>
    </w:p>
    <w:p w14:paraId="617067F7" w14:textId="3FB2A4F5" w:rsidR="001A1E43" w:rsidRPr="00660A10" w:rsidRDefault="001A1E43" w:rsidP="00AB7BFF">
      <w:pPr>
        <w:tabs>
          <w:tab w:val="left" w:pos="720"/>
          <w:tab w:val="num" w:pos="11028"/>
        </w:tabs>
        <w:autoSpaceDE w:val="0"/>
        <w:autoSpaceDN w:val="0"/>
        <w:adjustRightInd w:val="0"/>
        <w:spacing w:after="100" w:afterAutospacing="1"/>
        <w:ind w:left="720"/>
        <w:rPr>
          <w:rFonts w:eastAsia="Batang"/>
          <w:spacing w:val="-2"/>
          <w:szCs w:val="20"/>
        </w:rPr>
      </w:pPr>
      <w:r w:rsidRPr="00660A10">
        <w:rPr>
          <w:rFonts w:eastAsia="Batang"/>
          <w:spacing w:val="-2"/>
          <w:szCs w:val="20"/>
        </w:rPr>
        <w:t xml:space="preserve">11. Claudia Hernández Martínez: fue golpeada, insultada y maltratada al momento de su detención. Además de lo anterior, durante el traslado, policías le removieron la ropa interior y varios policías le introdujeron sus dedos “violenta y repetidamente en la vagina”, mientras otros le quitaron el </w:t>
      </w:r>
      <w:proofErr w:type="spellStart"/>
      <w:r w:rsidRPr="00660A10">
        <w:rPr>
          <w:rFonts w:eastAsia="Batang"/>
          <w:spacing w:val="-2"/>
          <w:szCs w:val="20"/>
        </w:rPr>
        <w:t>brasier</w:t>
      </w:r>
      <w:proofErr w:type="spellEnd"/>
      <w:r w:rsidRPr="00660A10">
        <w:rPr>
          <w:rFonts w:eastAsia="Batang"/>
          <w:spacing w:val="-2"/>
          <w:szCs w:val="20"/>
        </w:rPr>
        <w:t>, lamieron sus senos y jalaron sus pezones, entre otras formas de violencia sexual. En el CEPRESO, continuaron golpeando, la forzaron a ver una violación sexual, le halaron el cabello y sufrió un nuevo intento de violación sexual.</w:t>
      </w:r>
    </w:p>
    <w:p w14:paraId="393D1C01" w14:textId="7CE54BA1"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188.</w:t>
      </w:r>
      <w:r w:rsidRPr="00660A10">
        <w:rPr>
          <w:rFonts w:eastAsia="Batang"/>
          <w:spacing w:val="-2"/>
          <w:szCs w:val="20"/>
        </w:rPr>
        <w:tab/>
        <w:t xml:space="preserve">De lo anterior, se desprende que las once mujeres de este caso fueron golpeadas, insultadas, maltratadas y sometidas a diversas formas de violencia sexual por múltiples policías al momento de su detención, durante sus traslados y al momento de su ingreso al CEPRESO. La Corte nota que, en este caso, sobresale la naturaleza sexual o </w:t>
      </w:r>
      <w:proofErr w:type="spellStart"/>
      <w:r w:rsidRPr="00660A10">
        <w:rPr>
          <w:rFonts w:eastAsia="Batang"/>
          <w:spacing w:val="-2"/>
          <w:szCs w:val="20"/>
        </w:rPr>
        <w:t>sexualizada</w:t>
      </w:r>
      <w:proofErr w:type="spellEnd"/>
      <w:r w:rsidRPr="00660A10">
        <w:rPr>
          <w:rFonts w:eastAsia="Batang"/>
          <w:spacing w:val="-2"/>
          <w:szCs w:val="20"/>
        </w:rPr>
        <w:t xml:space="preserve"> de toda la violencia ejercida contra las víctimas. Los tocamientos, manoseos, pellizcos y golpes se infringieron en partes íntimas y, típicamente reservadas al ámbito de la privacidad de cada persona, como los senos, genitales y boca. Además, muchas de ellas fueron sometidas a desnudos forzados en los autobuses o camiones en que fueron trasladados al CEPRESO o al entrar al penal</w:t>
      </w:r>
      <w:r w:rsidR="006A660B" w:rsidRPr="00660A10">
        <w:rPr>
          <w:rFonts w:eastAsia="Batang"/>
          <w:spacing w:val="-2"/>
          <w:szCs w:val="20"/>
        </w:rPr>
        <w:t>.</w:t>
      </w:r>
      <w:r w:rsidRPr="00660A10">
        <w:rPr>
          <w:rFonts w:eastAsia="Batang"/>
          <w:spacing w:val="-2"/>
          <w:szCs w:val="20"/>
        </w:rPr>
        <w:t xml:space="preserve"> Asimismo, los insultos, abusos verbales y amenazas a los que fueron sometidas las </w:t>
      </w:r>
      <w:r w:rsidRPr="00660A10">
        <w:rPr>
          <w:rFonts w:eastAsia="Batang"/>
          <w:spacing w:val="-2"/>
          <w:szCs w:val="20"/>
        </w:rPr>
        <w:lastRenderedPageBreak/>
        <w:t xml:space="preserve">mujeres tuvieron connotaciones altamente sexuales y discriminatorias por razones de género. Si bien estas formas de violencia se examinan con mayor detalle infra </w:t>
      </w:r>
      <w:r w:rsidR="00632C28">
        <w:rPr>
          <w:rFonts w:eastAsia="Batang"/>
          <w:spacing w:val="-2"/>
          <w:szCs w:val="20"/>
        </w:rPr>
        <w:t>[...]</w:t>
      </w:r>
      <w:r w:rsidRPr="00660A10">
        <w:rPr>
          <w:rFonts w:eastAsia="Batang"/>
          <w:spacing w:val="-2"/>
          <w:szCs w:val="20"/>
        </w:rPr>
        <w:t xml:space="preserve">, la Corte considera que el conjunto de conductas y acciones violentas desplegadas por los agentes estatales en contra de las once mujeres víctimas de este caso tuvo naturaleza sexual por lo cual constituyó violencia sexual. </w:t>
      </w:r>
    </w:p>
    <w:p w14:paraId="4FD0946C" w14:textId="455DF6FB"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189.</w:t>
      </w:r>
      <w:r w:rsidRPr="00660A10">
        <w:rPr>
          <w:rFonts w:eastAsia="Batang"/>
          <w:spacing w:val="-2"/>
          <w:szCs w:val="20"/>
        </w:rPr>
        <w:tab/>
        <w:t xml:space="preserve">Adicionalmente, conforme fue alegado por la Comisión y los representantes, reconocido por el Estado y descrito por las víctimas, la Corte constata que (i) Norma Aidé Jiménez Osorio, (ii) Mariana Selvas Gómez, (iii) Ana María Velasco Rodríguez, (iv) </w:t>
      </w:r>
      <w:proofErr w:type="spellStart"/>
      <w:r w:rsidRPr="00660A10">
        <w:rPr>
          <w:rFonts w:eastAsia="Batang"/>
          <w:spacing w:val="-2"/>
          <w:szCs w:val="20"/>
        </w:rPr>
        <w:t>Suhelen</w:t>
      </w:r>
      <w:proofErr w:type="spellEnd"/>
      <w:r w:rsidRPr="00660A10">
        <w:rPr>
          <w:rFonts w:eastAsia="Batang"/>
          <w:spacing w:val="-2"/>
          <w:szCs w:val="20"/>
        </w:rPr>
        <w:t xml:space="preserve"> Gabriela Cuevas Jaramillo, (v) Bárbara Italia Méndez Moreno, (vi) Angélica Patricia Torres Linares y (vii) Claudia Hernández Martínez, además fueron víctimas de violaciones sexuales, en la medida en que sufrieron formas específicas de violencia sexual que incluyeron la penetración de sus cuerpos (vagina, ano y boca) por parte de los policías, en algunos casos de forma conjunta o coordinada, con sus dedos, miembros genitales masculinos y, en un caso, con un objeto </w:t>
      </w:r>
      <w:r w:rsidR="00632C28">
        <w:rPr>
          <w:rFonts w:eastAsia="Batang"/>
          <w:spacing w:val="-2"/>
          <w:szCs w:val="20"/>
        </w:rPr>
        <w:t>[...]</w:t>
      </w:r>
      <w:r w:rsidRPr="00660A10">
        <w:rPr>
          <w:rFonts w:eastAsia="Batang"/>
          <w:spacing w:val="-2"/>
          <w:szCs w:val="20"/>
        </w:rPr>
        <w:t>.</w:t>
      </w:r>
    </w:p>
    <w:p w14:paraId="5B2A7ED8" w14:textId="6D34FF19"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190.</w:t>
      </w:r>
      <w:r w:rsidRPr="00660A10">
        <w:rPr>
          <w:rFonts w:eastAsia="Batang"/>
          <w:spacing w:val="-2"/>
          <w:szCs w:val="20"/>
        </w:rPr>
        <w:tab/>
        <w:t>Una vez determinado que las once mujeres de este caso fueron víctimas de violencia sexual, y siete de ellas además de violación sexual, corresponde a la Corte determinar si esta violencia además constituyó tortura.</w:t>
      </w:r>
    </w:p>
    <w:p w14:paraId="28FC0E8F" w14:textId="60376428" w:rsidR="001A1E43" w:rsidRPr="00660A10" w:rsidRDefault="00660A10" w:rsidP="00660A10">
      <w:pPr>
        <w:tabs>
          <w:tab w:val="left" w:pos="720"/>
          <w:tab w:val="num" w:pos="11028"/>
        </w:tabs>
        <w:autoSpaceDE w:val="0"/>
        <w:autoSpaceDN w:val="0"/>
        <w:adjustRightInd w:val="0"/>
        <w:spacing w:after="100" w:afterAutospacing="1"/>
        <w:rPr>
          <w:rFonts w:eastAsia="Batang"/>
          <w:b/>
          <w:bCs/>
          <w:spacing w:val="-2"/>
          <w:sz w:val="18"/>
          <w:szCs w:val="18"/>
        </w:rPr>
      </w:pPr>
      <w:r>
        <w:rPr>
          <w:rFonts w:eastAsia="Batang"/>
          <w:b/>
          <w:bCs/>
          <w:spacing w:val="-2"/>
          <w:sz w:val="18"/>
          <w:szCs w:val="18"/>
        </w:rPr>
        <w:t>[</w:t>
      </w:r>
      <w:r w:rsidR="001A1E43" w:rsidRPr="00660A10">
        <w:rPr>
          <w:rFonts w:eastAsia="Batang"/>
          <w:b/>
          <w:bCs/>
          <w:spacing w:val="-2"/>
          <w:sz w:val="18"/>
          <w:szCs w:val="18"/>
        </w:rPr>
        <w:t>B.2.b Tortura</w:t>
      </w:r>
      <w:r>
        <w:rPr>
          <w:rFonts w:eastAsia="Batang"/>
          <w:b/>
          <w:bCs/>
          <w:spacing w:val="-2"/>
          <w:sz w:val="18"/>
          <w:szCs w:val="18"/>
        </w:rPr>
        <w:t>]</w:t>
      </w:r>
    </w:p>
    <w:p w14:paraId="40E1FD06" w14:textId="34EF49F8"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191.</w:t>
      </w:r>
      <w:r w:rsidRPr="00660A10">
        <w:rPr>
          <w:rFonts w:eastAsia="Batang"/>
          <w:spacing w:val="-2"/>
          <w:szCs w:val="20"/>
        </w:rPr>
        <w:tab/>
        <w:t>De conformidad con la jurisprudencia de la Corte a la luz del artículo 5.2 de la Convención Americana debe entenderse como “tortura”, todo acto de maltrato que sea: i) sea intencional; ii) cause severos sufrimientos físicos o mentales, y iii) se cometa con cualquier fin o propósito</w:t>
      </w:r>
      <w:r w:rsidR="006A660B" w:rsidRPr="00660A10">
        <w:rPr>
          <w:rFonts w:eastAsia="Batang"/>
          <w:spacing w:val="-2"/>
          <w:szCs w:val="20"/>
        </w:rPr>
        <w:t>.</w:t>
      </w:r>
    </w:p>
    <w:p w14:paraId="38B4AAF8" w14:textId="146E5A38"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192.</w:t>
      </w:r>
      <w:r w:rsidRPr="00660A10">
        <w:rPr>
          <w:rFonts w:eastAsia="Batang"/>
          <w:spacing w:val="-2"/>
          <w:szCs w:val="20"/>
        </w:rPr>
        <w:tab/>
        <w:t>La Corte recuerda que se ha conformado un régimen jurídico internacional de prohibición absoluta de todas las formas de tortura, tanto física como psicológica, y respecto de esta última, se ha reconocido que las amenazas y el peligro real de someter a una persona a graves lesiones físicas produce, en determinadas circunstancias, una angustia moral de tal grado que puede ser considerada “tortura psicológica”</w:t>
      </w:r>
      <w:r w:rsidR="006A660B" w:rsidRPr="00660A10">
        <w:rPr>
          <w:rFonts w:eastAsia="Batang"/>
          <w:spacing w:val="-2"/>
          <w:szCs w:val="20"/>
        </w:rPr>
        <w:t>.</w:t>
      </w:r>
    </w:p>
    <w:p w14:paraId="2357B3F5" w14:textId="223DE963"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193.</w:t>
      </w:r>
      <w:r w:rsidRPr="00660A10">
        <w:rPr>
          <w:rFonts w:eastAsia="Batang"/>
          <w:spacing w:val="-2"/>
          <w:szCs w:val="20"/>
        </w:rPr>
        <w:tab/>
        <w:t>Asimismo, la jurisprudencia de la Corte ha determinado en numerosos casos que la violación sexual es una forma de tortura</w:t>
      </w:r>
      <w:r w:rsidR="006A660B" w:rsidRPr="00660A10">
        <w:rPr>
          <w:rFonts w:eastAsia="Batang"/>
          <w:spacing w:val="-2"/>
          <w:szCs w:val="20"/>
        </w:rPr>
        <w:t>.</w:t>
      </w:r>
      <w:r w:rsidRPr="00660A10">
        <w:rPr>
          <w:rFonts w:eastAsia="Batang"/>
          <w:spacing w:val="-2"/>
          <w:szCs w:val="20"/>
        </w:rPr>
        <w:t xml:space="preserve"> Este Tribunal ha considerado que es inherente a la violación sexual el sufrimiento severo de la víctima, y en términos generales, la violación sexual, al igual que la tortura, persigue, entre otros, los fines de intimidar, degradar, humillar, castigar o controlar a la persona que la sufre</w:t>
      </w:r>
      <w:r w:rsidR="006A660B" w:rsidRPr="00660A10">
        <w:rPr>
          <w:rFonts w:eastAsia="Batang"/>
          <w:spacing w:val="-2"/>
          <w:szCs w:val="20"/>
        </w:rPr>
        <w:t>.</w:t>
      </w:r>
      <w:r w:rsidRPr="00660A10">
        <w:rPr>
          <w:rFonts w:eastAsia="Batang"/>
          <w:spacing w:val="-2"/>
          <w:szCs w:val="20"/>
        </w:rPr>
        <w:t xml:space="preserve"> Para calificar una violación sexual como tortura deberá atenerse a la intencionalidad, a la severidad del sufrimiento y a la finalidad del acto, tomando en consideración las circunstancias específicas de cada caso</w:t>
      </w:r>
      <w:r w:rsidR="006A660B" w:rsidRPr="00660A10">
        <w:rPr>
          <w:rFonts w:eastAsia="Batang"/>
          <w:spacing w:val="-2"/>
          <w:szCs w:val="20"/>
        </w:rPr>
        <w:t>.</w:t>
      </w:r>
      <w:r w:rsidRPr="00660A10">
        <w:rPr>
          <w:rFonts w:eastAsia="Batang"/>
          <w:spacing w:val="-2"/>
          <w:szCs w:val="20"/>
        </w:rPr>
        <w:t xml:space="preserve"> </w:t>
      </w:r>
    </w:p>
    <w:p w14:paraId="0984E648" w14:textId="29FAF880"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194.</w:t>
      </w:r>
      <w:r w:rsidRPr="00660A10">
        <w:rPr>
          <w:rFonts w:eastAsia="Batang"/>
          <w:spacing w:val="-2"/>
          <w:szCs w:val="20"/>
        </w:rPr>
        <w:tab/>
        <w:t xml:space="preserve">A fin de establecer si las agresiones sufridas por las once mujeres en este caso constituyeron actos de tortura, corresponde examinar si se trataron de actos: i) intencionales, ii) que causaron severos sufrimientos físicos o mentales, y iii) fueron cometidos con cualquier fin o propósito. </w:t>
      </w:r>
    </w:p>
    <w:p w14:paraId="4A82FD9F" w14:textId="77777777"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195.</w:t>
      </w:r>
      <w:r w:rsidRPr="00660A10">
        <w:rPr>
          <w:rFonts w:eastAsia="Batang"/>
          <w:spacing w:val="-2"/>
          <w:szCs w:val="20"/>
        </w:rPr>
        <w:tab/>
        <w:t>En el presente caso, es claro que los policías actuaron deliberadamente en contra de las once mujeres. Dada la naturaleza sexual de la violencia ejercida, la repetición y similitud de los actos cometidos en contra de las distintas mujeres, así como las amenazas e insultos que profirieron en su contra, para la Corte es evidente que dichos actos fueron intencionales.</w:t>
      </w:r>
    </w:p>
    <w:p w14:paraId="60BDEF83" w14:textId="5B962026"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196.</w:t>
      </w:r>
      <w:r w:rsidRPr="00660A10">
        <w:rPr>
          <w:rFonts w:eastAsia="Batang"/>
          <w:spacing w:val="-2"/>
          <w:szCs w:val="20"/>
        </w:rPr>
        <w:tab/>
        <w:t xml:space="preserve">Por otra parte, en cuanto a la severidad del sufrimiento, este Tribunal ha reconocido que la violencia sexual cometida por agentes estatales, mientras las </w:t>
      </w:r>
      <w:r w:rsidRPr="00660A10">
        <w:rPr>
          <w:rFonts w:eastAsia="Batang"/>
          <w:spacing w:val="-2"/>
          <w:szCs w:val="20"/>
        </w:rPr>
        <w:lastRenderedPageBreak/>
        <w:t>víctimas se encuentran bajo su custodia, es un acto grave y reprobable, en el cual el agente abusa de su poder y se aprovecha de la vulnerabilidad de la víctima, por lo que puede causar consecuencias psicológicas severas para las víctimas</w:t>
      </w:r>
      <w:r w:rsidR="006A660B" w:rsidRPr="00660A10">
        <w:rPr>
          <w:rFonts w:eastAsia="Batang"/>
          <w:spacing w:val="-2"/>
          <w:szCs w:val="20"/>
        </w:rPr>
        <w:t>.</w:t>
      </w:r>
      <w:r w:rsidRPr="00660A10">
        <w:rPr>
          <w:rFonts w:eastAsia="Batang"/>
          <w:spacing w:val="-2"/>
          <w:szCs w:val="20"/>
        </w:rPr>
        <w:t xml:space="preserve"> Además, resalta que en este caso, las víctimas fueron reiteradamente amenazadas, en el curso de su detención y traslados al penal, de que serían asesinadas, violadas sexualmente o receptoras de peores abusos de los que ya se les venía infligiendo. Asimismo, respecto a las violaciones sexuales, esta Corte ha reconocido que constituyen experiencias sumamente traumáticas que tiene severas consecuencias y causa gran daño físico y psicológico que deja a la víctima “humillada física y emocionalmente”, situación difícilmente superable por el paso del tiempo, a diferencia de lo que acontece en otras experiencias traumáticas</w:t>
      </w:r>
      <w:r w:rsidR="006A660B" w:rsidRPr="00660A10">
        <w:rPr>
          <w:rFonts w:eastAsia="Batang"/>
          <w:spacing w:val="-2"/>
          <w:szCs w:val="20"/>
        </w:rPr>
        <w:t>.</w:t>
      </w:r>
      <w:r w:rsidRPr="00660A10">
        <w:rPr>
          <w:rFonts w:eastAsia="Batang"/>
          <w:spacing w:val="-2"/>
          <w:szCs w:val="20"/>
        </w:rPr>
        <w:t xml:space="preserve"> De ello se desprende que es inherente a la violación sexual el sufrimiento severo de la víctima, aun cuando no exista evidencia de lesiones o enfermedades físicas</w:t>
      </w:r>
      <w:r w:rsidR="006A660B" w:rsidRPr="00660A10">
        <w:rPr>
          <w:rFonts w:eastAsia="Batang"/>
          <w:spacing w:val="-2"/>
          <w:szCs w:val="20"/>
        </w:rPr>
        <w:t>.</w:t>
      </w:r>
      <w:r w:rsidRPr="00660A10">
        <w:rPr>
          <w:rFonts w:eastAsia="Batang"/>
          <w:spacing w:val="-2"/>
          <w:szCs w:val="20"/>
        </w:rPr>
        <w:t xml:space="preserve"> Las mujeres víctimas de violación sexual también experimentan severos daños y secuelas psicológicas y aun sociales</w:t>
      </w:r>
      <w:r w:rsidR="006A660B" w:rsidRPr="00660A10">
        <w:rPr>
          <w:rFonts w:eastAsia="Batang"/>
          <w:spacing w:val="-2"/>
          <w:szCs w:val="20"/>
        </w:rPr>
        <w:t>.</w:t>
      </w:r>
      <w:r w:rsidRPr="00660A10">
        <w:rPr>
          <w:rFonts w:eastAsia="Batang"/>
          <w:spacing w:val="-2"/>
          <w:szCs w:val="20"/>
        </w:rPr>
        <w:t xml:space="preserve"> Como se desprende de sus declaraciones, la violencia a la que fueron sometidas por los agentes estatales en el marco de sus detenciones los días 3 y 4 de mayo de 2006 les generaron severos sufrimientos, cuyas secuelas persisten hasta el día de hoy conforme ha sido corroborado en los exámenes psicológicos y, en aplicación del Protocolo de Estambul, que se les han practicado </w:t>
      </w:r>
      <w:r w:rsidR="00632C28">
        <w:rPr>
          <w:rFonts w:eastAsia="Batang"/>
          <w:spacing w:val="-2"/>
          <w:szCs w:val="20"/>
        </w:rPr>
        <w:t>[...]</w:t>
      </w:r>
      <w:r w:rsidRPr="00660A10">
        <w:rPr>
          <w:rFonts w:eastAsia="Batang"/>
          <w:spacing w:val="-2"/>
          <w:szCs w:val="20"/>
        </w:rPr>
        <w:t>.</w:t>
      </w:r>
    </w:p>
    <w:p w14:paraId="3CA1D27A" w14:textId="52B7EB72"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197.</w:t>
      </w:r>
      <w:r w:rsidRPr="00660A10">
        <w:rPr>
          <w:rFonts w:eastAsia="Batang"/>
          <w:spacing w:val="-2"/>
          <w:szCs w:val="20"/>
        </w:rPr>
        <w:tab/>
        <w:t xml:space="preserve">Por último, en cuanto al propósito la Corte constata que se desprende de las declaraciones de las víctimas, así como de las investigaciones realizadas por la CNDH y la SCJN que la violencia ejercida contra las once mujeres tenía el objetivo de humillarlas, a ellas y a quienes asumían eran sus compañeros de grupo; de atemorizarlas, intimidarlas e inhibirlas de volver a participar de la vida política o expresar su desacuerdo en la esfera pública, pues no les correspondía salir de sus hogares, único lugar en el que supuestamente pertenecían de acuerdo a su imaginario y visión estereotipada de los roles sociales </w:t>
      </w:r>
      <w:r w:rsidR="00632C28">
        <w:rPr>
          <w:rFonts w:eastAsia="Batang"/>
          <w:spacing w:val="-2"/>
          <w:szCs w:val="20"/>
        </w:rPr>
        <w:t>[...]</w:t>
      </w:r>
      <w:r w:rsidRPr="00660A10">
        <w:rPr>
          <w:rFonts w:eastAsia="Batang"/>
          <w:spacing w:val="-2"/>
          <w:szCs w:val="20"/>
        </w:rPr>
        <w:t>; pero además tenía el distintivo propósito de castigarlas por osar cuestionar su autoridad, así como en retaliación por las supuestas lesiones sufridas por sus compañeros policías. Al respecto, la SCJN resaltó que “una de las causas que generaría los abusos sexuales reclamados pudo ser la circunstancia de que algunos policías, al saber de la agresión que sufrieron de manera previa sus compañeros, estaban afectados en su estado de ánimo y querían castigar a quienes creían que eran o estaban relacionados con los responsables”</w:t>
      </w:r>
      <w:r w:rsidR="006A660B" w:rsidRPr="00660A10">
        <w:rPr>
          <w:rFonts w:eastAsia="Batang"/>
          <w:spacing w:val="-2"/>
          <w:szCs w:val="20"/>
        </w:rPr>
        <w:t>.</w:t>
      </w:r>
      <w:r w:rsidRPr="00660A10">
        <w:rPr>
          <w:rFonts w:eastAsia="Batang"/>
          <w:spacing w:val="-2"/>
          <w:szCs w:val="20"/>
        </w:rPr>
        <w:t xml:space="preserve"> </w:t>
      </w:r>
    </w:p>
    <w:p w14:paraId="55D3CF13" w14:textId="5654CE68"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198.</w:t>
      </w:r>
      <w:r w:rsidRPr="00660A10">
        <w:rPr>
          <w:rFonts w:eastAsia="Batang"/>
          <w:spacing w:val="-2"/>
          <w:szCs w:val="20"/>
        </w:rPr>
        <w:tab/>
        <w:t xml:space="preserve">Por tanto, la Corte concluye que el conjunto de abusos y agresiones sufridas por cada una de las once mujeres de este caso, incluyendo pero no limitándose a las violaciones sexuales, constituyeron actos de tortura por parte de agentes estatales en contra de </w:t>
      </w:r>
      <w:r w:rsidR="00D81F66" w:rsidRPr="00660A10">
        <w:rPr>
          <w:rFonts w:eastAsia="Batang"/>
          <w:spacing w:val="-2"/>
          <w:szCs w:val="20"/>
        </w:rPr>
        <w:t>[...]</w:t>
      </w:r>
      <w:r w:rsidRPr="00660A10">
        <w:rPr>
          <w:rFonts w:eastAsia="Batang"/>
          <w:spacing w:val="-2"/>
          <w:szCs w:val="20"/>
        </w:rPr>
        <w:t>.</w:t>
      </w:r>
    </w:p>
    <w:p w14:paraId="78EAD5DF" w14:textId="6A40FF51"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199.</w:t>
      </w:r>
      <w:r w:rsidRPr="00660A10">
        <w:rPr>
          <w:rFonts w:eastAsia="Batang"/>
          <w:spacing w:val="-2"/>
          <w:szCs w:val="20"/>
        </w:rPr>
        <w:tab/>
        <w:t>El Tribunal destaca que las torturas perpetradas en este caso fueron cometidas en el transcurso de un operativo policial en el cual las mujeres se hallaban sujetas al completo control del poder de agentes del Estado y en una situación de absoluta indefensión. Lejos de actuar como garantes de los derechos consagrados en la Convención a las personas bajo su custodia</w:t>
      </w:r>
      <w:r w:rsidR="006A660B" w:rsidRPr="00660A10">
        <w:rPr>
          <w:rFonts w:eastAsia="Batang"/>
          <w:spacing w:val="-2"/>
          <w:szCs w:val="20"/>
        </w:rPr>
        <w:t>,</w:t>
      </w:r>
      <w:r w:rsidRPr="00660A10">
        <w:rPr>
          <w:rFonts w:eastAsia="Batang"/>
          <w:spacing w:val="-2"/>
          <w:szCs w:val="20"/>
        </w:rPr>
        <w:t xml:space="preserve"> los agentes de seguridad del Estado mexicano personalmente abusaron, de manera repetida y cómplice, de la situación de vulnerabilidad de las víctimas. </w:t>
      </w:r>
    </w:p>
    <w:p w14:paraId="1A594197" w14:textId="68A7B42A" w:rsidR="001A1E43" w:rsidRPr="00660A10" w:rsidRDefault="00D81F66" w:rsidP="00660A10">
      <w:pPr>
        <w:tabs>
          <w:tab w:val="left" w:pos="720"/>
          <w:tab w:val="num" w:pos="11028"/>
        </w:tabs>
        <w:autoSpaceDE w:val="0"/>
        <w:autoSpaceDN w:val="0"/>
        <w:adjustRightInd w:val="0"/>
        <w:spacing w:after="100" w:afterAutospacing="1"/>
        <w:rPr>
          <w:rFonts w:eastAsia="Batang"/>
          <w:b/>
          <w:bCs/>
          <w:spacing w:val="-2"/>
          <w:sz w:val="18"/>
          <w:szCs w:val="18"/>
        </w:rPr>
      </w:pPr>
      <w:r w:rsidRPr="00660A10">
        <w:rPr>
          <w:rFonts w:eastAsia="Batang"/>
          <w:b/>
          <w:bCs/>
          <w:spacing w:val="-2"/>
          <w:sz w:val="18"/>
          <w:szCs w:val="18"/>
        </w:rPr>
        <w:t>[</w:t>
      </w:r>
      <w:r w:rsidR="001A1E43" w:rsidRPr="00660A10">
        <w:rPr>
          <w:rFonts w:eastAsia="Batang"/>
          <w:b/>
          <w:bCs/>
          <w:spacing w:val="-2"/>
          <w:sz w:val="18"/>
          <w:szCs w:val="18"/>
        </w:rPr>
        <w:t>B.2.c Empleo de la tortura y violencia sexual como un arma de control social represivo</w:t>
      </w:r>
      <w:r w:rsidRPr="00660A10">
        <w:rPr>
          <w:rFonts w:eastAsia="Batang"/>
          <w:b/>
          <w:bCs/>
          <w:spacing w:val="-2"/>
          <w:sz w:val="18"/>
          <w:szCs w:val="18"/>
        </w:rPr>
        <w:t>]</w:t>
      </w:r>
    </w:p>
    <w:p w14:paraId="48B1C479" w14:textId="56D57667"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200.</w:t>
      </w:r>
      <w:r w:rsidRPr="00660A10">
        <w:rPr>
          <w:rFonts w:eastAsia="Batang"/>
          <w:spacing w:val="-2"/>
          <w:szCs w:val="20"/>
        </w:rPr>
        <w:tab/>
        <w:t>Ahora bien, la Corte observa con preocupación que la gravedad de la violencia sexual en este caso, además de su calificación como tortura, surge también por el hecho que se utilizó como una forma intencional y dirigida de control social. En el marco de conflictos armados, el Consejo de Seguridad de Naciones Unidas</w:t>
      </w:r>
      <w:r w:rsidR="006A660B" w:rsidRPr="00660A10">
        <w:rPr>
          <w:rFonts w:eastAsia="Batang"/>
          <w:spacing w:val="-2"/>
          <w:szCs w:val="20"/>
        </w:rPr>
        <w:t>,</w:t>
      </w:r>
      <w:r w:rsidRPr="00660A10">
        <w:rPr>
          <w:rFonts w:eastAsia="Batang"/>
          <w:spacing w:val="-2"/>
          <w:szCs w:val="20"/>
        </w:rPr>
        <w:t xml:space="preserve"> tribunales penales internacionales  y tribunales nacionales  han reconocido que la violencia sexual </w:t>
      </w:r>
      <w:r w:rsidRPr="00660A10">
        <w:rPr>
          <w:rFonts w:eastAsia="Batang"/>
          <w:spacing w:val="-2"/>
          <w:szCs w:val="20"/>
        </w:rPr>
        <w:lastRenderedPageBreak/>
        <w:t xml:space="preserve">con frecuencia ha sido utilizada como una táctica de guerra “destinada a humillar, dominar, atemorizar, dispersar o reasentar por la fuerza a miembros civiles de una comunidad o grupo </w:t>
      </w:r>
      <w:proofErr w:type="spellStart"/>
      <w:r w:rsidRPr="00660A10">
        <w:rPr>
          <w:rFonts w:eastAsia="Batang"/>
          <w:spacing w:val="-2"/>
          <w:szCs w:val="20"/>
        </w:rPr>
        <w:t>étnico</w:t>
      </w:r>
      <w:proofErr w:type="spellEnd"/>
      <w:r w:rsidRPr="00660A10">
        <w:rPr>
          <w:rFonts w:eastAsia="Batang"/>
          <w:spacing w:val="-2"/>
          <w:szCs w:val="20"/>
        </w:rPr>
        <w:t>”</w:t>
      </w:r>
      <w:r w:rsidR="006A660B" w:rsidRPr="00660A10">
        <w:rPr>
          <w:rFonts w:eastAsia="Batang"/>
          <w:spacing w:val="-2"/>
          <w:szCs w:val="20"/>
        </w:rPr>
        <w:t>.</w:t>
      </w:r>
      <w:r w:rsidRPr="00660A10">
        <w:rPr>
          <w:rFonts w:eastAsia="Batang"/>
          <w:spacing w:val="-2"/>
          <w:szCs w:val="20"/>
        </w:rPr>
        <w:t xml:space="preserve"> Esta Corte se ha referido a la forma como la violencia sexual se ha utilizado en los conflictos armados como un medio simbólico para humillar a la parte contraria o como un medio de castigo y represión. En este sentido, ha resaltado cómo la utilización del poder estatal para violar los derechos de las mujeres en un conflicto interno, además de afectarles a ellas de forma directa, puede tener el objetivo de causar un efecto en la sociedad a través de esas violaciones y dar un mensaje o lección, pues las consecuencias de la violencia sexual suelen trascender de la víctima</w:t>
      </w:r>
      <w:r w:rsidR="006A660B" w:rsidRPr="00660A10">
        <w:rPr>
          <w:rFonts w:eastAsia="Batang"/>
          <w:spacing w:val="-2"/>
          <w:szCs w:val="20"/>
        </w:rPr>
        <w:t>.</w:t>
      </w:r>
      <w:r w:rsidRPr="00660A10">
        <w:rPr>
          <w:rFonts w:eastAsia="Batang"/>
          <w:spacing w:val="-2"/>
          <w:szCs w:val="20"/>
        </w:rPr>
        <w:t xml:space="preserve"> </w:t>
      </w:r>
    </w:p>
    <w:p w14:paraId="1E459C24" w14:textId="446FDA60"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201.</w:t>
      </w:r>
      <w:r w:rsidRPr="00660A10">
        <w:rPr>
          <w:rFonts w:eastAsia="Batang"/>
          <w:spacing w:val="-2"/>
          <w:szCs w:val="20"/>
        </w:rPr>
        <w:tab/>
        <w:t>La Comisión Africana de Derechos Humanos y de los Pueblos también resaltó cómo la violencia sexual es utilizada también en contextos donde no hay un conflicto armado, al referirse a la violencia sexual cometida contra las mujeres en el marco de las protestas de 2005 en Egipto. Allí consideró que el acoso, los insultos sexistas y la violencia dirigida a las mujeres por ser mujeres estaba destinada a silenciarlas, a evitar que expresaran opiniones políticas y participaran en los asuntos públicos</w:t>
      </w:r>
      <w:r w:rsidR="006A660B" w:rsidRPr="00660A10">
        <w:rPr>
          <w:rFonts w:eastAsia="Batang"/>
          <w:spacing w:val="-2"/>
          <w:szCs w:val="20"/>
        </w:rPr>
        <w:t>.</w:t>
      </w:r>
    </w:p>
    <w:p w14:paraId="3209145B" w14:textId="3A2E424E"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202.</w:t>
      </w:r>
      <w:r w:rsidRPr="00660A10">
        <w:rPr>
          <w:rFonts w:eastAsia="Batang"/>
          <w:spacing w:val="-2"/>
          <w:szCs w:val="20"/>
        </w:rPr>
        <w:tab/>
        <w:t>De manera similar, la violencia sexual en el presente caso fue utilizada por parte de agentes estatales como una táctica o estrategia de control, dominio e imposición de poder. De hecho, de manera similar a como ha ocurrido en los casos referidos, la violencia sexual fue aplicada en público, con múltiples testigos, como un espectáculo macabro y de intimidación en que los demás detenidos fueron forzados a escuchar, y en algunos casos ver, lo que se hacía al cuerpo de las mujeres.</w:t>
      </w:r>
    </w:p>
    <w:p w14:paraId="49889B55" w14:textId="202A8EA5"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203.</w:t>
      </w:r>
      <w:r w:rsidRPr="00660A10">
        <w:rPr>
          <w:rFonts w:eastAsia="Batang"/>
          <w:spacing w:val="-2"/>
          <w:szCs w:val="20"/>
        </w:rPr>
        <w:tab/>
        <w:t xml:space="preserve">En este sentido, la Corte resalta cómo (i) Norma Aidé Jiménez Osorio relató que en el trayecto podía escuchar los quejidos de hombres y de mujeres pidiendo que no las violaran </w:t>
      </w:r>
      <w:r w:rsidR="00632C28">
        <w:rPr>
          <w:rFonts w:eastAsia="Batang"/>
          <w:spacing w:val="-2"/>
          <w:szCs w:val="20"/>
        </w:rPr>
        <w:t>[...]</w:t>
      </w:r>
      <w:r w:rsidRPr="00660A10">
        <w:rPr>
          <w:rFonts w:eastAsia="Batang"/>
          <w:spacing w:val="-2"/>
          <w:szCs w:val="20"/>
        </w:rPr>
        <w:t xml:space="preserve">; (ii) María Patricia Romero Hernández, a quien los policías golpearon y amenazaron frente a su hijo y su padre, relató que fue abusada sexualmente por varios policías “a escasos metros de [su] hijo, de [su] papá”, lo cual la obligó a “callar [… porque si no la] podían escuchar, [y solo pensaba en que] no se enterara [su] familia” </w:t>
      </w:r>
      <w:r w:rsidR="00632C28">
        <w:rPr>
          <w:rFonts w:eastAsia="Batang"/>
          <w:spacing w:val="-2"/>
          <w:szCs w:val="20"/>
        </w:rPr>
        <w:t>[...]</w:t>
      </w:r>
      <w:r w:rsidRPr="00660A10">
        <w:rPr>
          <w:rFonts w:eastAsia="Batang"/>
          <w:spacing w:val="-2"/>
          <w:szCs w:val="20"/>
        </w:rPr>
        <w:t xml:space="preserve">; (iii) </w:t>
      </w:r>
      <w:proofErr w:type="spellStart"/>
      <w:r w:rsidRPr="00660A10">
        <w:rPr>
          <w:rFonts w:eastAsia="Batang"/>
          <w:spacing w:val="-2"/>
          <w:szCs w:val="20"/>
        </w:rPr>
        <w:t>Suhelen</w:t>
      </w:r>
      <w:proofErr w:type="spellEnd"/>
      <w:r w:rsidRPr="00660A10">
        <w:rPr>
          <w:rFonts w:eastAsia="Batang"/>
          <w:spacing w:val="-2"/>
          <w:szCs w:val="20"/>
        </w:rPr>
        <w:t xml:space="preserve"> Gabriela Cuevas Jaramillo relató que había sido detenida con su pareja y que, cuando uno de los policías se dio cuenta de que iba con él, le “dijo ‘así te la coges cabrón’?”, mientras le daba cachetadas, además de que durante el trayecto al penal podía escuchar a otras mujeres oponiendo resistencia a agresiones sexuales </w:t>
      </w:r>
      <w:r w:rsidR="00632C28">
        <w:rPr>
          <w:rFonts w:eastAsia="Batang"/>
          <w:spacing w:val="-2"/>
          <w:szCs w:val="20"/>
        </w:rPr>
        <w:t>[...]</w:t>
      </w:r>
      <w:r w:rsidRPr="00660A10">
        <w:rPr>
          <w:rFonts w:eastAsia="Batang"/>
          <w:spacing w:val="-2"/>
          <w:szCs w:val="20"/>
        </w:rPr>
        <w:t xml:space="preserve">; (iv) Bárbara Italia Méndez Moreno relató cómo fue violada sexualmente por varios policías, que se incitaban y animaban unos a otros, mientras se encontraba acostada sobre las otras dos personas y al mismo tiempo que podía escuchar a otra mujer suplicar a gritos que dejaran de agredirla </w:t>
      </w:r>
      <w:r w:rsidR="00632C28">
        <w:rPr>
          <w:rFonts w:eastAsia="Batang"/>
          <w:spacing w:val="-2"/>
          <w:szCs w:val="20"/>
        </w:rPr>
        <w:t>[...]</w:t>
      </w:r>
      <w:r w:rsidRPr="00660A10">
        <w:rPr>
          <w:rFonts w:eastAsia="Batang"/>
          <w:spacing w:val="-2"/>
          <w:szCs w:val="20"/>
        </w:rPr>
        <w:t xml:space="preserve">, y (v) María Cristina Sánchez Hernández relató cómo fue testigo de una violación sexual, en el que otra mujer fue obligada a hacer sexo oral </w:t>
      </w:r>
      <w:r w:rsidR="00632C28">
        <w:rPr>
          <w:rFonts w:eastAsia="Batang"/>
          <w:spacing w:val="-2"/>
          <w:szCs w:val="20"/>
        </w:rPr>
        <w:t>[...]</w:t>
      </w:r>
      <w:r w:rsidRPr="00660A10">
        <w:rPr>
          <w:rFonts w:eastAsia="Batang"/>
          <w:spacing w:val="-2"/>
          <w:szCs w:val="20"/>
        </w:rPr>
        <w:t xml:space="preserve">. Todo ello parecería indicar que el propósito era precisamente que los demás manifestantes vieran o supieran lo que ocurría a sus mujeres cuando se reta su autoridad, bajo una concepción machista de las mujeres como una posesión u objeto a dominar para doblegar al grupo que se está tratando de controlar. </w:t>
      </w:r>
    </w:p>
    <w:p w14:paraId="7B90D3B4" w14:textId="6D66202E"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204.</w:t>
      </w:r>
      <w:r w:rsidRPr="00660A10">
        <w:rPr>
          <w:rFonts w:eastAsia="Batang"/>
          <w:spacing w:val="-2"/>
          <w:szCs w:val="20"/>
        </w:rPr>
        <w:tab/>
        <w:t xml:space="preserve">Por tanto, la Corte concluye que, en el presente caso, los agentes policiales instrumentalizaron los cuerpos de las mujeres detenidas como herramientas para transmitir su mensaje de represión y desaprobación de los medios de protesta empleados por los manifestantes. Cosificaron a las mujeres para humillar, atemorizar e intimidar las voces de disidencia a su potestad de mando. La violencia sexual fue utilizada como un arma más en la represión de la protesta, como si junto con los gases lacrimógenos y el equipo anti motín, constituyeran sencillamente una táctica adicional para alcanzar el propósito de dispersar la protesta y asegurarse de que no volviera a cuestionarse la autoridad del Estado. Este tipo de conductas en el mantenimiento del orden público, más que reprochable, es absolutamente inaceptable. La violencia sexual </w:t>
      </w:r>
      <w:r w:rsidRPr="00660A10">
        <w:rPr>
          <w:rFonts w:eastAsia="Batang"/>
          <w:spacing w:val="-2"/>
          <w:szCs w:val="20"/>
        </w:rPr>
        <w:lastRenderedPageBreak/>
        <w:t xml:space="preserve">no tiene cabida y jamás se debe utilizar como una forma de control del orden público por parte de los cuerpos de seguridad en un Estado obligado por la Convención Americana, la Convención de Belém do Pará y la Convención Interamericana contra la Tortura a adoptar, “por todos los medios apropiados y sin dilaciones, políticas orientadas a prevenir, sancionar y erradicar” la violencia contra las mujeres. </w:t>
      </w:r>
    </w:p>
    <w:p w14:paraId="4224DB1C" w14:textId="3EF780F6" w:rsidR="001A1E43" w:rsidRPr="00660A10" w:rsidRDefault="00D81F66" w:rsidP="00660A10">
      <w:pPr>
        <w:tabs>
          <w:tab w:val="left" w:pos="720"/>
          <w:tab w:val="num" w:pos="11028"/>
        </w:tabs>
        <w:autoSpaceDE w:val="0"/>
        <w:autoSpaceDN w:val="0"/>
        <w:adjustRightInd w:val="0"/>
        <w:spacing w:after="100" w:afterAutospacing="1"/>
        <w:rPr>
          <w:rFonts w:eastAsia="Batang"/>
          <w:b/>
          <w:bCs/>
          <w:spacing w:val="-2"/>
          <w:sz w:val="18"/>
          <w:szCs w:val="18"/>
        </w:rPr>
      </w:pPr>
      <w:r w:rsidRPr="00660A10">
        <w:rPr>
          <w:rFonts w:eastAsia="Batang"/>
          <w:b/>
          <w:bCs/>
          <w:spacing w:val="-2"/>
          <w:sz w:val="18"/>
          <w:szCs w:val="18"/>
        </w:rPr>
        <w:t>[</w:t>
      </w:r>
      <w:r w:rsidR="001A1E43" w:rsidRPr="00660A10">
        <w:rPr>
          <w:rFonts w:eastAsia="Batang"/>
          <w:b/>
          <w:bCs/>
          <w:spacing w:val="-2"/>
          <w:sz w:val="18"/>
          <w:szCs w:val="18"/>
        </w:rPr>
        <w:t>B.2.d Violencia médica</w:t>
      </w:r>
      <w:r w:rsidRPr="00660A10">
        <w:rPr>
          <w:rFonts w:eastAsia="Batang"/>
          <w:b/>
          <w:bCs/>
          <w:spacing w:val="-2"/>
          <w:sz w:val="18"/>
          <w:szCs w:val="18"/>
        </w:rPr>
        <w:t>]</w:t>
      </w:r>
    </w:p>
    <w:p w14:paraId="7EF3B2CC" w14:textId="291F3820"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205.</w:t>
      </w:r>
      <w:r w:rsidRPr="00660A10">
        <w:rPr>
          <w:rFonts w:eastAsia="Batang"/>
          <w:spacing w:val="-2"/>
          <w:szCs w:val="20"/>
        </w:rPr>
        <w:tab/>
        <w:t>Por otra parte, tanto la Comisión como los representantes alegaron violaciones específicas a la integridad personal, en virtud del trato recibido por las víctimas por los médicos al llegar por el penal</w:t>
      </w:r>
      <w:r w:rsidR="006A660B" w:rsidRPr="00660A10">
        <w:rPr>
          <w:rFonts w:eastAsia="Batang"/>
          <w:spacing w:val="-2"/>
          <w:szCs w:val="20"/>
        </w:rPr>
        <w:t>.</w:t>
      </w:r>
      <w:r w:rsidRPr="00660A10">
        <w:rPr>
          <w:rFonts w:eastAsia="Batang"/>
          <w:spacing w:val="-2"/>
          <w:szCs w:val="20"/>
        </w:rPr>
        <w:t xml:space="preserve"> Al respecto, se observa que varias de las víctimas resaltaron un trato denigrante por parte de los primeros médicos en atenderlas al llegar al penal. Por ejemplo, (i) Norma Aidé Jiménez Osorio, relató que los médicos se negaron a hacerle examen ginecológico por falta de ginecólogo, así como de reportar o registrar la violación sexual, además de indicarle de forma burlona “pues si quieres yo te reviso, pero yo no soy ginecólogo”; (ii) Bárbara Italia Méndez Moreno, expresó que enfrentarse a la “violencia de los médicos fue realmente demoledor”, ya que les indicó que requería atención médica a raíz de las agresiones sexuales, y los médicos se negaron a atenderla o revisarla. Señaló que le suturaron la cabeza sin limpiarla ni anestesiarla, lo que le causó “un dolor realmente profundo”, y que los médicos se burlaron de ella, y (iii) Claudia Martínez Hernández resaltó que fue llevada a la madrugada a la enfermería, donde recibió burlas e insultos por uno de los médicos, quien le dijo: “yo ni creo que las hayan tocado, ¡pinches viejas revoltosas!, ¡mugrosas!”. Agregó que el médico no la revisó clínicamente y se negó a darle atención ginecológica. Después fue llevada a una médica legista, quien tampoco le dio atención de ningún tipo pese a sus quejas </w:t>
      </w:r>
      <w:r w:rsidR="00632C28">
        <w:rPr>
          <w:rFonts w:eastAsia="Batang"/>
          <w:spacing w:val="-2"/>
          <w:szCs w:val="20"/>
        </w:rPr>
        <w:t>[...]</w:t>
      </w:r>
      <w:r w:rsidRPr="00660A10">
        <w:rPr>
          <w:rFonts w:eastAsia="Batang"/>
          <w:spacing w:val="-2"/>
          <w:szCs w:val="20"/>
        </w:rPr>
        <w:t xml:space="preserve">. </w:t>
      </w:r>
    </w:p>
    <w:p w14:paraId="56066A12" w14:textId="57718990"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206.</w:t>
      </w:r>
      <w:r w:rsidRPr="00660A10">
        <w:rPr>
          <w:rFonts w:eastAsia="Batang"/>
          <w:spacing w:val="-2"/>
          <w:szCs w:val="20"/>
        </w:rPr>
        <w:tab/>
        <w:t>La Corte ha reconocido cómo ciertos tratos crueles, inhumanos o degradantes e inclusive torturas se pueden dar en el ámbito de los servicios de salud</w:t>
      </w:r>
      <w:r w:rsidR="006A660B" w:rsidRPr="00660A10">
        <w:rPr>
          <w:rFonts w:eastAsia="Batang"/>
          <w:spacing w:val="-2"/>
          <w:szCs w:val="20"/>
        </w:rPr>
        <w:t>.</w:t>
      </w:r>
      <w:r w:rsidRPr="00660A10">
        <w:rPr>
          <w:rFonts w:eastAsia="Batang"/>
          <w:spacing w:val="-2"/>
          <w:szCs w:val="20"/>
        </w:rPr>
        <w:t xml:space="preserve"> De igual forma, ha hecho hincapié en el rol de importancia que tienen los médicos y otros profesionales de la salud en salvaguardar la integridad personal y prevenir la tortura y otros malos tratos</w:t>
      </w:r>
      <w:r w:rsidR="006A660B" w:rsidRPr="00660A10">
        <w:rPr>
          <w:rFonts w:eastAsia="Batang"/>
          <w:spacing w:val="-2"/>
          <w:szCs w:val="20"/>
        </w:rPr>
        <w:t>.</w:t>
      </w:r>
      <w:r w:rsidRPr="00660A10">
        <w:rPr>
          <w:rFonts w:eastAsia="Batang"/>
          <w:spacing w:val="-2"/>
          <w:szCs w:val="20"/>
        </w:rPr>
        <w:t xml:space="preserve"> Particularmente en casos como el presente, la evidencia obtenida a través de los exámenes médicos tiene un rol crucial durante las investigaciones</w:t>
      </w:r>
      <w:r w:rsidR="006A660B" w:rsidRPr="00660A10">
        <w:rPr>
          <w:rFonts w:eastAsia="Batang"/>
          <w:spacing w:val="-2"/>
          <w:szCs w:val="20"/>
        </w:rPr>
        <w:t>.</w:t>
      </w:r>
      <w:r w:rsidRPr="00660A10">
        <w:rPr>
          <w:rFonts w:eastAsia="Batang"/>
          <w:spacing w:val="-2"/>
          <w:szCs w:val="20"/>
        </w:rPr>
        <w:t xml:space="preserve"> </w:t>
      </w:r>
    </w:p>
    <w:p w14:paraId="1AF15B21" w14:textId="28CFFEB8"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207.</w:t>
      </w:r>
      <w:r w:rsidRPr="00660A10">
        <w:rPr>
          <w:rFonts w:eastAsia="Batang"/>
          <w:spacing w:val="-2"/>
          <w:szCs w:val="20"/>
        </w:rPr>
        <w:tab/>
        <w:t xml:space="preserve">En el presente caso, la Corte observa que los médicos que atendieron a las mujeres víctimas del presente caso incurrieron en un trato denigrante y estereotipado, el cual resultó particularmente grave, por la posición de poder en que se encontraban, por el incumplimiento de su deber de cuidado y la complicidad que mostraron al negarse a registrar las lesiones sufridas, pero más importante aún por la particular situación de vulnerabilidad en la que se encontraban teniendo en cuenta que habían sido víctimas de tortura sexual por parte de agentes policiales y estos médicos en muchos casos resultaban la primera persona a quien intentaron denunciar las violaciones cometidas y que, al negarse a registrarlas o revisarlas comprometieron significativamente las investigaciones posteriores, como se explica infra </w:t>
      </w:r>
      <w:r w:rsidR="00632C28">
        <w:rPr>
          <w:rFonts w:eastAsia="Batang"/>
          <w:spacing w:val="-2"/>
          <w:szCs w:val="20"/>
        </w:rPr>
        <w:t>[...]</w:t>
      </w:r>
      <w:r w:rsidRPr="00660A10">
        <w:rPr>
          <w:rFonts w:eastAsia="Batang"/>
          <w:spacing w:val="-2"/>
          <w:szCs w:val="20"/>
        </w:rPr>
        <w:t xml:space="preserve">. Este Tribunal estima que el trato recibido por parte de los médicos constituye un elemento adicional de la violencia sexual y discriminatoria a la que fueron sometidas las víctimas. </w:t>
      </w:r>
    </w:p>
    <w:p w14:paraId="3841C6AC" w14:textId="6E9E8ABA" w:rsidR="001A1E43" w:rsidRPr="00660A10" w:rsidRDefault="00D81F66" w:rsidP="00660A10">
      <w:pPr>
        <w:tabs>
          <w:tab w:val="left" w:pos="720"/>
          <w:tab w:val="num" w:pos="11028"/>
        </w:tabs>
        <w:autoSpaceDE w:val="0"/>
        <w:autoSpaceDN w:val="0"/>
        <w:adjustRightInd w:val="0"/>
        <w:spacing w:after="100" w:afterAutospacing="1"/>
        <w:rPr>
          <w:rFonts w:eastAsia="Batang"/>
          <w:b/>
          <w:bCs/>
          <w:spacing w:val="-2"/>
          <w:sz w:val="18"/>
          <w:szCs w:val="18"/>
        </w:rPr>
      </w:pPr>
      <w:r w:rsidRPr="00660A10">
        <w:rPr>
          <w:rFonts w:eastAsia="Batang"/>
          <w:b/>
          <w:bCs/>
          <w:spacing w:val="-2"/>
          <w:sz w:val="18"/>
          <w:szCs w:val="18"/>
        </w:rPr>
        <w:t>[</w:t>
      </w:r>
      <w:r w:rsidR="001A1E43" w:rsidRPr="00660A10">
        <w:rPr>
          <w:rFonts w:eastAsia="Batang"/>
          <w:b/>
          <w:bCs/>
          <w:spacing w:val="-2"/>
          <w:sz w:val="18"/>
          <w:szCs w:val="18"/>
        </w:rPr>
        <w:t>B.2.e Conclusión</w:t>
      </w:r>
      <w:r w:rsidRPr="00660A10">
        <w:rPr>
          <w:rFonts w:eastAsia="Batang"/>
          <w:b/>
          <w:bCs/>
          <w:spacing w:val="-2"/>
          <w:sz w:val="18"/>
          <w:szCs w:val="18"/>
        </w:rPr>
        <w:t>]</w:t>
      </w:r>
    </w:p>
    <w:p w14:paraId="28469CBE" w14:textId="77777777" w:rsidR="001A1E43" w:rsidRPr="00660A10"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208.</w:t>
      </w:r>
      <w:r w:rsidRPr="00660A10">
        <w:rPr>
          <w:rFonts w:eastAsia="Batang"/>
          <w:spacing w:val="-2"/>
          <w:szCs w:val="20"/>
        </w:rPr>
        <w:tab/>
        <w:t xml:space="preserve">Por lo expuesto, el Tribunal considera que el trato al cual fueron sometidas las mujeres por los médicos que las atendieron no solamente fue denigrante y estereotipado, sino que formó parte de la violencia sexual de la cual fueron víctimas. </w:t>
      </w:r>
    </w:p>
    <w:p w14:paraId="015332D9" w14:textId="3AA0F384" w:rsidR="001A1E43" w:rsidRPr="003D49EB" w:rsidRDefault="001A1E43" w:rsidP="00660A10">
      <w:pPr>
        <w:tabs>
          <w:tab w:val="left" w:pos="720"/>
          <w:tab w:val="num" w:pos="11028"/>
        </w:tabs>
        <w:autoSpaceDE w:val="0"/>
        <w:autoSpaceDN w:val="0"/>
        <w:adjustRightInd w:val="0"/>
        <w:spacing w:after="100" w:afterAutospacing="1"/>
        <w:rPr>
          <w:rFonts w:eastAsia="Batang"/>
          <w:spacing w:val="-2"/>
          <w:szCs w:val="20"/>
        </w:rPr>
      </w:pPr>
      <w:r w:rsidRPr="00660A10">
        <w:rPr>
          <w:rFonts w:eastAsia="Batang"/>
          <w:spacing w:val="-2"/>
          <w:szCs w:val="20"/>
        </w:rPr>
        <w:t>209.</w:t>
      </w:r>
      <w:r w:rsidRPr="00660A10">
        <w:rPr>
          <w:rFonts w:eastAsia="Batang"/>
          <w:spacing w:val="-2"/>
          <w:szCs w:val="20"/>
        </w:rPr>
        <w:tab/>
        <w:t xml:space="preserve">Adicionalmente, concluye que las once mujeres víctimas del caso fueron sometidas a tortura y violencia sexual, incluyendo violación sexual en el caso de las siete mujeres referidas supra. Asimismo, la Corte encuentra que la gravedad de la </w:t>
      </w:r>
      <w:r w:rsidRPr="00660A10">
        <w:rPr>
          <w:rFonts w:eastAsia="Batang"/>
          <w:spacing w:val="-2"/>
          <w:szCs w:val="20"/>
        </w:rPr>
        <w:lastRenderedPageBreak/>
        <w:t>violencia sexual en este caso se ve extremada porque esta forma especialmente reprochable y discriminatoria de violencia fue utilizada por agentes estatales como una forma de control del orden público para humillar, inhibir e imponer su dominación sobre un sector de la población civil que los policías, lejos de proteger, trataron como un enemigo que debían doblegar, sin importar si para ello usaban a las mujeres detenidas como una herramienta más en su estrategia de orden público.</w:t>
      </w:r>
    </w:p>
    <w:p w14:paraId="32E01F88" w14:textId="07A0C13F" w:rsidR="003F0DE2" w:rsidRDefault="00820A3C" w:rsidP="009A4683">
      <w:pPr>
        <w:pStyle w:val="Ttulo2"/>
      </w:pPr>
      <w:bookmarkStart w:id="51" w:name="_Toc530497989"/>
      <w:bookmarkStart w:id="52" w:name="_Toc88914989"/>
      <w:r w:rsidRPr="003D49EB">
        <w:t>Afectaciones del derecho a la integridad personal de familiares de víctimas de violaciones a derechos humanos</w:t>
      </w:r>
      <w:bookmarkEnd w:id="51"/>
      <w:bookmarkEnd w:id="52"/>
      <w:r w:rsidRPr="003D49EB">
        <w:t xml:space="preserve"> </w:t>
      </w:r>
    </w:p>
    <w:p w14:paraId="3D224D5A" w14:textId="77777777" w:rsidR="00660A10" w:rsidRPr="00660A10" w:rsidRDefault="00660A10" w:rsidP="00660A10">
      <w:pPr>
        <w:rPr>
          <w:lang w:val="es-CR"/>
        </w:rPr>
      </w:pPr>
    </w:p>
    <w:p w14:paraId="6E502DDC" w14:textId="7B086577" w:rsidR="0046573A" w:rsidRPr="003D49EB" w:rsidRDefault="007A0CC8" w:rsidP="009A4683">
      <w:pPr>
        <w:spacing w:after="100" w:afterAutospacing="1"/>
        <w:rPr>
          <w:b/>
          <w:szCs w:val="20"/>
        </w:rPr>
      </w:pPr>
      <w:r w:rsidRPr="007A0CC8">
        <w:rPr>
          <w:b/>
          <w:szCs w:val="20"/>
        </w:rPr>
        <w:t xml:space="preserve">Corte IDH. Caso </w:t>
      </w:r>
      <w:proofErr w:type="spellStart"/>
      <w:r w:rsidRPr="007A0CC8">
        <w:rPr>
          <w:b/>
          <w:szCs w:val="20"/>
        </w:rPr>
        <w:t>Aloeboetoe</w:t>
      </w:r>
      <w:proofErr w:type="spellEnd"/>
      <w:r w:rsidRPr="007A0CC8">
        <w:rPr>
          <w:b/>
          <w:szCs w:val="20"/>
        </w:rPr>
        <w:t xml:space="preserve"> y otros Vs. Surinam. Reparaciones y Costas. Sentencia de 10 de septiembre de 1993. Serie C No. 15.</w:t>
      </w:r>
      <w:r>
        <w:rPr>
          <w:rStyle w:val="Refdenotaalpie"/>
          <w:b/>
          <w:szCs w:val="20"/>
        </w:rPr>
        <w:footnoteReference w:id="57"/>
      </w:r>
    </w:p>
    <w:p w14:paraId="14FC39D3" w14:textId="77777777" w:rsidR="00583AC4" w:rsidRPr="003D49EB" w:rsidRDefault="00583AC4" w:rsidP="009A4683">
      <w:pPr>
        <w:spacing w:after="100" w:afterAutospacing="1"/>
        <w:rPr>
          <w:szCs w:val="20"/>
        </w:rPr>
      </w:pPr>
      <w:r w:rsidRPr="003D49EB">
        <w:rPr>
          <w:szCs w:val="20"/>
        </w:rPr>
        <w:t>76.</w:t>
      </w:r>
      <w:r w:rsidRPr="003D49EB">
        <w:rPr>
          <w:szCs w:val="20"/>
        </w:rPr>
        <w:tab/>
        <w:t>Entre los llamados dependientes de las víctimas figuran los padres de éstas.</w:t>
      </w:r>
      <w:r w:rsidR="008B18CE" w:rsidRPr="003D49EB">
        <w:rPr>
          <w:szCs w:val="20"/>
        </w:rPr>
        <w:t xml:space="preserve"> </w:t>
      </w:r>
      <w:r w:rsidRPr="003D49EB">
        <w:rPr>
          <w:szCs w:val="20"/>
        </w:rPr>
        <w:t xml:space="preserve">Los padres de </w:t>
      </w:r>
      <w:proofErr w:type="spellStart"/>
      <w:r w:rsidRPr="003D49EB">
        <w:rPr>
          <w:szCs w:val="20"/>
        </w:rPr>
        <w:t>Mikuwendje</w:t>
      </w:r>
      <w:proofErr w:type="spellEnd"/>
      <w:r w:rsidRPr="003D49EB">
        <w:rPr>
          <w:szCs w:val="20"/>
        </w:rPr>
        <w:t xml:space="preserve"> </w:t>
      </w:r>
      <w:proofErr w:type="spellStart"/>
      <w:r w:rsidRPr="003D49EB">
        <w:rPr>
          <w:szCs w:val="20"/>
        </w:rPr>
        <w:t>Aloeboetoe</w:t>
      </w:r>
      <w:proofErr w:type="spellEnd"/>
      <w:r w:rsidRPr="003D49EB">
        <w:rPr>
          <w:szCs w:val="20"/>
        </w:rPr>
        <w:t xml:space="preserve"> y de </w:t>
      </w:r>
      <w:proofErr w:type="spellStart"/>
      <w:r w:rsidRPr="003D49EB">
        <w:rPr>
          <w:szCs w:val="20"/>
        </w:rPr>
        <w:t>Asipee</w:t>
      </w:r>
      <w:proofErr w:type="spellEnd"/>
      <w:r w:rsidRPr="003D49EB">
        <w:rPr>
          <w:szCs w:val="20"/>
        </w:rPr>
        <w:t xml:space="preserve"> Adame ya han sido declarados sucesores […] y obtendrán una indemnización por daño moral.</w:t>
      </w:r>
      <w:r w:rsidR="008B18CE" w:rsidRPr="003D49EB">
        <w:rPr>
          <w:szCs w:val="20"/>
        </w:rPr>
        <w:t xml:space="preserve"> </w:t>
      </w:r>
      <w:r w:rsidRPr="003D49EB">
        <w:rPr>
          <w:szCs w:val="20"/>
        </w:rPr>
        <w:t>Pero esa no es la situación de los padres de las otras cinco víctimas.</w:t>
      </w:r>
      <w:r w:rsidR="008B18CE" w:rsidRPr="003D49EB">
        <w:rPr>
          <w:szCs w:val="20"/>
        </w:rPr>
        <w:t xml:space="preserve"> </w:t>
      </w:r>
      <w:r w:rsidRPr="003D49EB">
        <w:rPr>
          <w:szCs w:val="20"/>
        </w:rPr>
        <w:t>No obstante, en este caso particular, se puede admitir la presunción de que los padres han sufrido moralmente por la muerte cruel de sus hijos, pues es propio de la naturaleza humana que toda persona experimente dolor ante el suplicio de su hijo.</w:t>
      </w:r>
    </w:p>
    <w:p w14:paraId="2B431285" w14:textId="77777777" w:rsidR="00583AC4" w:rsidRPr="003D49EB" w:rsidRDefault="00583AC4" w:rsidP="009A4683">
      <w:pPr>
        <w:spacing w:after="100" w:afterAutospacing="1"/>
        <w:rPr>
          <w:szCs w:val="20"/>
        </w:rPr>
      </w:pPr>
      <w:r w:rsidRPr="003D49EB">
        <w:rPr>
          <w:szCs w:val="20"/>
        </w:rPr>
        <w:t>77.</w:t>
      </w:r>
      <w:r w:rsidRPr="003D49EB">
        <w:rPr>
          <w:szCs w:val="20"/>
        </w:rPr>
        <w:tab/>
        <w:t xml:space="preserve">Por estas razones, la Corte considera procedente que los padres de las víctimas que no han sido declarados sucesores, participen en </w:t>
      </w:r>
      <w:r w:rsidR="00C33713" w:rsidRPr="003D49EB">
        <w:rPr>
          <w:szCs w:val="20"/>
        </w:rPr>
        <w:t>la distribución por daño moral.</w:t>
      </w:r>
    </w:p>
    <w:p w14:paraId="472A3B01" w14:textId="2C1BECF3" w:rsidR="00CE15B5" w:rsidRPr="003D49EB" w:rsidRDefault="007A0CC8" w:rsidP="009A4683">
      <w:pPr>
        <w:spacing w:after="100" w:afterAutospacing="1"/>
        <w:rPr>
          <w:b/>
          <w:bCs/>
          <w:szCs w:val="20"/>
        </w:rPr>
      </w:pPr>
      <w:r w:rsidRPr="007A0CC8">
        <w:rPr>
          <w:b/>
          <w:bCs/>
          <w:szCs w:val="20"/>
        </w:rPr>
        <w:t>Corte IDH. Caso Blake Vs. Guatemala. Fondo. Sentencia de 24 de enero de 1998. Serie C No. 36</w:t>
      </w:r>
      <w:r>
        <w:rPr>
          <w:b/>
          <w:bCs/>
          <w:szCs w:val="20"/>
        </w:rPr>
        <w:t>.</w:t>
      </w:r>
      <w:r>
        <w:rPr>
          <w:rStyle w:val="Refdenotaalpie"/>
          <w:b/>
          <w:bCs/>
          <w:szCs w:val="20"/>
        </w:rPr>
        <w:footnoteReference w:id="58"/>
      </w:r>
    </w:p>
    <w:p w14:paraId="3A26622A" w14:textId="03DD9315" w:rsidR="00CE15B5" w:rsidRPr="003D49EB" w:rsidRDefault="00CE15B5" w:rsidP="009A4683">
      <w:pPr>
        <w:spacing w:after="100" w:afterAutospacing="1"/>
        <w:rPr>
          <w:b/>
          <w:i/>
          <w:szCs w:val="20"/>
        </w:rPr>
      </w:pPr>
      <w:r w:rsidRPr="003D49EB">
        <w:rPr>
          <w:szCs w:val="20"/>
          <w:lang w:val="es-CR"/>
        </w:rPr>
        <w:t>114.</w:t>
      </w:r>
      <w:r w:rsidRPr="003D49EB">
        <w:rPr>
          <w:szCs w:val="20"/>
          <w:lang w:val="es-CR"/>
        </w:rPr>
        <w:tab/>
        <w:t>Esta cuestión que plantea la Comisión, sólo puede ser examinada en relación con los familiares del señor Nicholas Blake, ya que la violación de la integridad psíquica y moral de dichos familiares, es una consecuencia directa de su desaparición forzada.</w:t>
      </w:r>
      <w:r w:rsidR="008B18CE" w:rsidRPr="003D49EB">
        <w:rPr>
          <w:szCs w:val="20"/>
          <w:lang w:val="es-CR"/>
        </w:rPr>
        <w:t xml:space="preserve"> </w:t>
      </w:r>
      <w:r w:rsidRPr="003D49EB">
        <w:rPr>
          <w:szCs w:val="20"/>
          <w:lang w:val="es-CR"/>
        </w:rPr>
        <w:t xml:space="preserve">Las circunstancias de dicha desaparición generan sufrimiento y angustia, además de un sentimiento de inseguridad, frustración e impotencia ante la abstención de las autoridades públicas de investigar los hechos. </w:t>
      </w:r>
      <w:r w:rsidR="006E5C73">
        <w:rPr>
          <w:b/>
          <w:i/>
          <w:szCs w:val="20"/>
          <w:lang w:val="es-CR"/>
        </w:rPr>
        <w:t>En similar sentido, ver entre otros</w:t>
      </w:r>
      <w:r w:rsidRPr="003D49EB">
        <w:rPr>
          <w:b/>
          <w:i/>
          <w:szCs w:val="20"/>
          <w:lang w:val="es-CR"/>
        </w:rPr>
        <w:t xml:space="preserve">: </w:t>
      </w:r>
      <w:r w:rsidRPr="003D49EB">
        <w:rPr>
          <w:b/>
          <w:i/>
          <w:szCs w:val="20"/>
        </w:rPr>
        <w:t xml:space="preserve">Caso </w:t>
      </w:r>
      <w:proofErr w:type="spellStart"/>
      <w:r w:rsidRPr="003D49EB">
        <w:rPr>
          <w:b/>
          <w:i/>
          <w:szCs w:val="20"/>
        </w:rPr>
        <w:t>Bámaca</w:t>
      </w:r>
      <w:proofErr w:type="spellEnd"/>
      <w:r w:rsidRPr="003D49EB">
        <w:rPr>
          <w:b/>
          <w:i/>
          <w:szCs w:val="20"/>
        </w:rPr>
        <w:t xml:space="preserve"> Velásquez vs. Guatemala. Sentencia de 25 de noviembre de 2000, párr. 160. </w:t>
      </w:r>
    </w:p>
    <w:p w14:paraId="6D90C610" w14:textId="4E804756" w:rsidR="003F0DE2" w:rsidRPr="00A17B11" w:rsidRDefault="00FF6B9C" w:rsidP="009A4683">
      <w:pPr>
        <w:spacing w:after="100" w:afterAutospacing="1"/>
        <w:rPr>
          <w:b/>
          <w:szCs w:val="20"/>
        </w:rPr>
      </w:pPr>
      <w:r w:rsidRPr="00A17B11">
        <w:rPr>
          <w:b/>
          <w:szCs w:val="20"/>
        </w:rPr>
        <w:t>Corte IDH. Caso de los “Niños de la Calle” (Villagrán Morales y otros) Vs. Guatemala. Fondo. Sentencia de 19 de noviembre de 1999. Serie C No. 63</w:t>
      </w:r>
      <w:r w:rsidR="003F0DE2" w:rsidRPr="00A17B11">
        <w:rPr>
          <w:b/>
          <w:szCs w:val="20"/>
        </w:rPr>
        <w:t xml:space="preserve">. </w:t>
      </w:r>
    </w:p>
    <w:p w14:paraId="660B47B9" w14:textId="77777777" w:rsidR="003F0DE2" w:rsidRPr="003D49EB" w:rsidRDefault="003F0DE2" w:rsidP="009A4683">
      <w:pPr>
        <w:spacing w:after="100" w:afterAutospacing="1"/>
        <w:rPr>
          <w:szCs w:val="20"/>
          <w:lang w:val="es-ES_tradnl"/>
        </w:rPr>
      </w:pPr>
      <w:r w:rsidRPr="003D49EB">
        <w:rPr>
          <w:szCs w:val="20"/>
          <w:lang w:val="es-ES_tradnl"/>
        </w:rPr>
        <w:t>173.</w:t>
      </w:r>
      <w:r w:rsidRPr="003D49EB">
        <w:rPr>
          <w:szCs w:val="20"/>
          <w:lang w:val="es-ES_tradnl"/>
        </w:rPr>
        <w:tab/>
        <w:t>Es evidente, asimismo,</w:t>
      </w:r>
      <w:r w:rsidRPr="003D49EB">
        <w:rPr>
          <w:b/>
          <w:szCs w:val="20"/>
          <w:lang w:val="es-ES_tradnl"/>
        </w:rPr>
        <w:t xml:space="preserve"> </w:t>
      </w:r>
      <w:r w:rsidRPr="003D49EB">
        <w:rPr>
          <w:szCs w:val="20"/>
          <w:lang w:val="es-ES_tradnl"/>
        </w:rPr>
        <w:t xml:space="preserve">que las autoridades nacionales no tomaron providencias para establecer la identidad de las víctimas, las cuales permanecieron </w:t>
      </w:r>
      <w:r w:rsidRPr="003D49EB">
        <w:rPr>
          <w:szCs w:val="20"/>
          <w:lang w:val="es-ES_tradnl"/>
        </w:rPr>
        <w:lastRenderedPageBreak/>
        <w:t xml:space="preserve">registradas como XX hasta que sus familiares se apersonaron a reconocerlos, a pesar de que tres de los jóvenes (Henry Giovanni Contreras, Federico Clemente Figueroa </w:t>
      </w:r>
      <w:proofErr w:type="spellStart"/>
      <w:r w:rsidRPr="003D49EB">
        <w:rPr>
          <w:szCs w:val="20"/>
          <w:lang w:val="es-ES_tradnl"/>
        </w:rPr>
        <w:t>Túnchez</w:t>
      </w:r>
      <w:proofErr w:type="spellEnd"/>
      <w:r w:rsidRPr="003D49EB">
        <w:rPr>
          <w:szCs w:val="20"/>
          <w:lang w:val="es-ES_tradnl"/>
        </w:rPr>
        <w:t xml:space="preserve"> y </w:t>
      </w:r>
      <w:proofErr w:type="spellStart"/>
      <w:r w:rsidRPr="003D49EB">
        <w:rPr>
          <w:szCs w:val="20"/>
          <w:lang w:val="es-ES_tradnl"/>
        </w:rPr>
        <w:t>Jovito</w:t>
      </w:r>
      <w:proofErr w:type="spellEnd"/>
      <w:r w:rsidRPr="003D49EB">
        <w:rPr>
          <w:szCs w:val="20"/>
          <w:lang w:val="es-ES_tradnl"/>
        </w:rPr>
        <w:t xml:space="preserve"> Josué Juárez Cifuentes) tenían antecedentes penales consignados en los “archivos delincuenciales”.</w:t>
      </w:r>
      <w:r w:rsidR="008B18CE" w:rsidRPr="003D49EB">
        <w:rPr>
          <w:szCs w:val="20"/>
          <w:lang w:val="es-ES_tradnl"/>
        </w:rPr>
        <w:t xml:space="preserve"> </w:t>
      </w:r>
      <w:r w:rsidRPr="003D49EB">
        <w:rPr>
          <w:szCs w:val="20"/>
          <w:lang w:val="es-ES_tradnl"/>
        </w:rPr>
        <w:t>La negligencia por parte del Estado así puesta de manifiesto, debe sumarse al hecho de que las autoridades no hicieron esfuerzos adecuados para localizar a los parientes inmediatos de las víctimas, notificarles la muerte de éstas, entregarles los cadáveres y proporcionarles información sobre el desarrollo de las investigaciones.</w:t>
      </w:r>
      <w:r w:rsidR="008B18CE" w:rsidRPr="003D49EB">
        <w:rPr>
          <w:szCs w:val="20"/>
          <w:lang w:val="es-ES_tradnl"/>
        </w:rPr>
        <w:t xml:space="preserve"> </w:t>
      </w:r>
      <w:r w:rsidRPr="003D49EB">
        <w:rPr>
          <w:szCs w:val="20"/>
          <w:lang w:val="es-ES_tradnl"/>
        </w:rPr>
        <w:t>El conjunto de esas omisiones postergó y, en algunos casos, negó a los familiares la oportunidad de dar a los jóvenes una sepultura acorde con sus tradiciones, valores o creencias y, por lo tanto, intensificó sus sufrimientos.</w:t>
      </w:r>
      <w:r w:rsidR="008B18CE" w:rsidRPr="003D49EB">
        <w:rPr>
          <w:szCs w:val="20"/>
          <w:lang w:val="es-ES_tradnl"/>
        </w:rPr>
        <w:t xml:space="preserve"> </w:t>
      </w:r>
      <w:r w:rsidRPr="003D49EB">
        <w:rPr>
          <w:szCs w:val="20"/>
          <w:lang w:val="es-ES_tradnl"/>
        </w:rPr>
        <w:t xml:space="preserve">A ello se agrega el sentimiento de inseguridad e impotencia que le causó a esos parientes la abstención de las autoridades públicas en investigar a cabalidad los correspondientes delitos y castigar a sus responsables. </w:t>
      </w:r>
    </w:p>
    <w:p w14:paraId="59CB8468" w14:textId="77777777" w:rsidR="003F0DE2" w:rsidRPr="003D49EB" w:rsidRDefault="003F0DE2" w:rsidP="009A4683">
      <w:pPr>
        <w:spacing w:after="100" w:afterAutospacing="1"/>
        <w:rPr>
          <w:szCs w:val="20"/>
          <w:lang w:val="es-ES_tradnl"/>
        </w:rPr>
      </w:pPr>
      <w:r w:rsidRPr="003D49EB">
        <w:rPr>
          <w:szCs w:val="20"/>
          <w:lang w:val="es-ES_tradnl"/>
        </w:rPr>
        <w:t>174.</w:t>
      </w:r>
      <w:r w:rsidRPr="003D49EB">
        <w:rPr>
          <w:szCs w:val="20"/>
          <w:lang w:val="es-ES_tradnl"/>
        </w:rPr>
        <w:tab/>
        <w:t xml:space="preserve">La Corte debe destacar entre las conductas de los agentes estatales que intervinieron en los hechos del caso y que produjeron un impacto sobre sus familiares, la correspondiente al tratamiento que se dio a los cuerpos de los jóvenes cuyos cadáveres aparecieron en los Bosques de San Nicolás, Henry Giovanni Contreras, Federico Clemente Figueroa </w:t>
      </w:r>
      <w:proofErr w:type="spellStart"/>
      <w:r w:rsidRPr="003D49EB">
        <w:rPr>
          <w:szCs w:val="20"/>
          <w:lang w:val="es-ES_tradnl"/>
        </w:rPr>
        <w:t>Túnchez</w:t>
      </w:r>
      <w:proofErr w:type="spellEnd"/>
      <w:r w:rsidRPr="003D49EB">
        <w:rPr>
          <w:szCs w:val="20"/>
          <w:lang w:val="es-ES_tradnl"/>
        </w:rPr>
        <w:t xml:space="preserve">, Julio Roberto </w:t>
      </w:r>
      <w:proofErr w:type="spellStart"/>
      <w:r w:rsidRPr="003D49EB">
        <w:rPr>
          <w:szCs w:val="20"/>
          <w:lang w:val="es-ES_tradnl"/>
        </w:rPr>
        <w:t>Caal</w:t>
      </w:r>
      <w:proofErr w:type="spellEnd"/>
      <w:r w:rsidRPr="003D49EB">
        <w:rPr>
          <w:szCs w:val="20"/>
          <w:lang w:val="es-ES_tradnl"/>
        </w:rPr>
        <w:t xml:space="preserve"> Sandoval y </w:t>
      </w:r>
      <w:proofErr w:type="spellStart"/>
      <w:r w:rsidRPr="003D49EB">
        <w:rPr>
          <w:szCs w:val="20"/>
          <w:lang w:val="es-ES_tradnl"/>
        </w:rPr>
        <w:t>Jovito</w:t>
      </w:r>
      <w:proofErr w:type="spellEnd"/>
      <w:r w:rsidRPr="003D49EB">
        <w:rPr>
          <w:szCs w:val="20"/>
          <w:lang w:val="es-ES_tradnl"/>
        </w:rPr>
        <w:t xml:space="preserve"> Josué Juárez Cifuentes.</w:t>
      </w:r>
      <w:r w:rsidR="008B18CE" w:rsidRPr="003D49EB">
        <w:rPr>
          <w:szCs w:val="20"/>
          <w:lang w:val="es-ES_tradnl"/>
        </w:rPr>
        <w:t xml:space="preserve"> </w:t>
      </w:r>
      <w:r w:rsidRPr="003D49EB">
        <w:rPr>
          <w:szCs w:val="20"/>
          <w:lang w:val="es-ES_tradnl"/>
        </w:rPr>
        <w:t>Estas personas no sólo fueron víctimas de la violencia extrema correspondiente a su eliminación física, sino que, además, sus cuerpos fueron abandonados en un paraje deshabitado, quedaron expuestos a las inclemencias del tiempo</w:t>
      </w:r>
      <w:r w:rsidR="008B18CE" w:rsidRPr="003D49EB">
        <w:rPr>
          <w:szCs w:val="20"/>
          <w:lang w:val="es-ES_tradnl"/>
        </w:rPr>
        <w:t xml:space="preserve"> </w:t>
      </w:r>
      <w:r w:rsidRPr="003D49EB">
        <w:rPr>
          <w:szCs w:val="20"/>
          <w:lang w:val="es-ES_tradnl"/>
        </w:rPr>
        <w:t>y a la acción de los animales y hubieran podido permanecer así durante varios días, si no hubieran sido encontrados fortuitamente.</w:t>
      </w:r>
      <w:r w:rsidR="008B18CE" w:rsidRPr="003D49EB">
        <w:rPr>
          <w:szCs w:val="20"/>
          <w:lang w:val="es-ES_tradnl"/>
        </w:rPr>
        <w:t xml:space="preserve"> </w:t>
      </w:r>
      <w:r w:rsidRPr="003D49EB">
        <w:rPr>
          <w:szCs w:val="20"/>
          <w:lang w:val="es-ES_tradnl"/>
        </w:rPr>
        <w:t>En el presente caso, es evidente que el tratamiento que se dio a los restos de las víctimas, que eran sagrados para sus deudos y, en particular, para sus madres, constituyó para éstas un trato cruel e inhumano.</w:t>
      </w:r>
    </w:p>
    <w:p w14:paraId="6FA381D0" w14:textId="77777777" w:rsidR="003F0DE2" w:rsidRPr="003D49EB" w:rsidRDefault="003F0DE2" w:rsidP="009A4683">
      <w:pPr>
        <w:spacing w:after="100" w:afterAutospacing="1"/>
        <w:rPr>
          <w:szCs w:val="20"/>
          <w:lang w:val="es-ES_tradnl"/>
        </w:rPr>
      </w:pPr>
      <w:r w:rsidRPr="003D49EB">
        <w:rPr>
          <w:szCs w:val="20"/>
          <w:lang w:val="es-ES_tradnl"/>
        </w:rPr>
        <w:t>176.</w:t>
      </w:r>
      <w:r w:rsidRPr="003D49EB">
        <w:rPr>
          <w:szCs w:val="20"/>
          <w:lang w:val="es-ES_tradnl"/>
        </w:rPr>
        <w:tab/>
        <w:t>La Corte Europea ha tenido oportunidad de pronunciarse sobre la condición de víctima de tratamientos inhumanos y degradantes de una madre como resultado de la detención y desaparición de su hijo a manos de las autoridades.</w:t>
      </w:r>
      <w:r w:rsidR="008B18CE" w:rsidRPr="003D49EB">
        <w:rPr>
          <w:szCs w:val="20"/>
          <w:lang w:val="es-ES_tradnl"/>
        </w:rPr>
        <w:t xml:space="preserve"> </w:t>
      </w:r>
      <w:r w:rsidRPr="003D49EB">
        <w:rPr>
          <w:szCs w:val="20"/>
          <w:lang w:val="es-ES_tradnl"/>
        </w:rPr>
        <w:t>Para determinar si se había violado o no el artículo 3 de la Convención Europea, correspondiente al artículo 5 de la Convención Americana, la Corte Europea ha valorado las circunstancias del caso, la gravedad del maltrato y el hecho de no contar con información oficial para esclarecer el mismo.</w:t>
      </w:r>
      <w:r w:rsidR="008B18CE" w:rsidRPr="003D49EB">
        <w:rPr>
          <w:szCs w:val="20"/>
          <w:lang w:val="es-ES_tradnl"/>
        </w:rPr>
        <w:t xml:space="preserve"> </w:t>
      </w:r>
      <w:r w:rsidRPr="003D49EB">
        <w:rPr>
          <w:szCs w:val="20"/>
          <w:lang w:val="es-ES_tradnl"/>
        </w:rPr>
        <w:t>En virtud de esas consideraciones y de que se trataba de la madre de la víctima de una violación de derechos humanos, la Corte Europea concluyó que también ella había sido víctima y que el Estado era responsable de la violación del artículo 3 mencionado.</w:t>
      </w:r>
    </w:p>
    <w:p w14:paraId="14BC630A" w14:textId="77777777" w:rsidR="009B0099" w:rsidRPr="00A17B11" w:rsidRDefault="009B0099" w:rsidP="00A17B11">
      <w:pPr>
        <w:spacing w:after="100" w:afterAutospacing="1"/>
        <w:rPr>
          <w:b/>
          <w:szCs w:val="20"/>
        </w:rPr>
      </w:pPr>
      <w:r w:rsidRPr="00A17B11">
        <w:rPr>
          <w:b/>
          <w:szCs w:val="20"/>
        </w:rPr>
        <w:t xml:space="preserve">Corte IDH. Caso </w:t>
      </w:r>
      <w:proofErr w:type="spellStart"/>
      <w:r w:rsidRPr="00A17B11">
        <w:rPr>
          <w:b/>
          <w:szCs w:val="20"/>
        </w:rPr>
        <w:t>Bámaca</w:t>
      </w:r>
      <w:proofErr w:type="spellEnd"/>
      <w:r w:rsidRPr="00A17B11">
        <w:rPr>
          <w:b/>
          <w:szCs w:val="20"/>
        </w:rPr>
        <w:t xml:space="preserve"> Velásquez Vs. Guatemala. Fondo. Sentencia de 25 de noviembre de 2000. Serie C No. 70. </w:t>
      </w:r>
    </w:p>
    <w:p w14:paraId="2523D9BA" w14:textId="533AE051" w:rsidR="003F0DE2" w:rsidRPr="003D49EB" w:rsidRDefault="003F0DE2" w:rsidP="009A4683">
      <w:pPr>
        <w:spacing w:after="100" w:afterAutospacing="1"/>
        <w:rPr>
          <w:szCs w:val="20"/>
          <w:lang w:val="es-ES_tradnl"/>
        </w:rPr>
      </w:pPr>
      <w:r w:rsidRPr="003D49EB">
        <w:rPr>
          <w:szCs w:val="20"/>
          <w:lang w:val="es-ES_tradnl"/>
        </w:rPr>
        <w:t>160.</w:t>
      </w:r>
      <w:r w:rsidRPr="003D49EB">
        <w:rPr>
          <w:szCs w:val="20"/>
          <w:lang w:val="es-ES_tradnl"/>
        </w:rPr>
        <w:tab/>
        <w:t xml:space="preserve">Esta Corte ha señalado, en otras oportunidades, que los familiares de las víctimas de violaciones de los derechos humanos pueden ser, a su vez, víctimas. En un caso que involucraba la desaparición forzada de una persona, el Tribunal afirmó que la violación de la integridad psíquica y moral de dichos familiares es una consecuencia directa, precisamente, de la desaparición forzada. </w:t>
      </w:r>
      <w:r w:rsidR="00CE15B5" w:rsidRPr="003D49EB">
        <w:rPr>
          <w:szCs w:val="20"/>
          <w:lang w:val="es-ES_tradnl"/>
        </w:rPr>
        <w:t>[…]</w:t>
      </w:r>
    </w:p>
    <w:p w14:paraId="6B64875D" w14:textId="1A30216B" w:rsidR="003F0DE2" w:rsidRPr="003D49EB" w:rsidRDefault="003F0DE2" w:rsidP="009A4683">
      <w:pPr>
        <w:spacing w:after="100" w:afterAutospacing="1"/>
        <w:rPr>
          <w:b/>
          <w:szCs w:val="20"/>
          <w:lang w:val="es-ES_tradnl"/>
        </w:rPr>
      </w:pPr>
      <w:r w:rsidRPr="003D49EB">
        <w:rPr>
          <w:szCs w:val="20"/>
          <w:lang w:val="es-ES_tradnl"/>
        </w:rPr>
        <w:t>161.</w:t>
      </w:r>
      <w:r w:rsidRPr="003D49EB">
        <w:rPr>
          <w:szCs w:val="20"/>
          <w:lang w:val="es-ES_tradnl"/>
        </w:rPr>
        <w:tab/>
        <w:t>Esta Corte incluso llegó a afirmar, en el reciente caso de los “</w:t>
      </w:r>
      <w:r w:rsidRPr="003D49EB">
        <w:rPr>
          <w:i/>
          <w:szCs w:val="20"/>
          <w:lang w:val="es-ES_tradnl"/>
        </w:rPr>
        <w:t>Niños de la Calle”</w:t>
      </w:r>
      <w:r w:rsidRPr="003D49EB">
        <w:rPr>
          <w:szCs w:val="20"/>
          <w:lang w:val="es-ES_tradnl"/>
        </w:rPr>
        <w:t>, que las madres de las víctimas sufrieron por la negligencia de las autoridades para establecer la identidad de aquéllas; porque dichos agentes estatales “no hicieron esfuerzos adecuados para localizar a los parientes inmediatos” de las víctimas</w:t>
      </w:r>
      <w:r w:rsidR="008B18CE" w:rsidRPr="003D49EB">
        <w:rPr>
          <w:szCs w:val="20"/>
          <w:lang w:val="es-ES_tradnl"/>
        </w:rPr>
        <w:t xml:space="preserve"> </w:t>
      </w:r>
      <w:r w:rsidRPr="003D49EB">
        <w:rPr>
          <w:szCs w:val="20"/>
          <w:lang w:val="es-ES_tradnl"/>
        </w:rPr>
        <w:t xml:space="preserve">y notificarles sus muertes, postergando la oportunidad de darles “sepultura acorde con sus tradiciones”; porque las autoridades públicas se abstuvieron de investigar los delitos correspondientes y de sancionar a los responsables de éstos. El sufrimiento de los familiares de las víctimas responde además, en este caso, al tratamiento que </w:t>
      </w:r>
      <w:r w:rsidRPr="003D49EB">
        <w:rPr>
          <w:szCs w:val="20"/>
          <w:lang w:val="es-ES_tradnl"/>
        </w:rPr>
        <w:lastRenderedPageBreak/>
        <w:t>se les dio a los cadáveres ya que éstos aparecieron después de varios días, abandonados en un paraje deshabitado con muestras de violencia extrema, expuestos a las inclemencias del tiempo y a la acción de los animales. Este tratamiento</w:t>
      </w:r>
      <w:r w:rsidR="00CE15B5" w:rsidRPr="003D49EB">
        <w:rPr>
          <w:szCs w:val="20"/>
          <w:lang w:val="es-ES_tradnl"/>
        </w:rPr>
        <w:t xml:space="preserve"> a los restos de las víctimas, </w:t>
      </w:r>
      <w:r w:rsidRPr="003D49EB">
        <w:rPr>
          <w:szCs w:val="20"/>
          <w:lang w:val="es-ES_tradnl"/>
        </w:rPr>
        <w:t>“que eran sagrados para sus deudos y, en particular, para [sus madres], constituyó para éstas un trato cruel e inhumano”.</w:t>
      </w:r>
    </w:p>
    <w:p w14:paraId="0AA9EFFA" w14:textId="77777777" w:rsidR="003F0DE2" w:rsidRPr="003D49EB" w:rsidRDefault="003F0DE2" w:rsidP="009A4683">
      <w:pPr>
        <w:spacing w:after="100" w:afterAutospacing="1"/>
        <w:rPr>
          <w:szCs w:val="20"/>
          <w:lang w:val="es-ES_tradnl"/>
        </w:rPr>
      </w:pPr>
      <w:r w:rsidRPr="003D49EB">
        <w:rPr>
          <w:szCs w:val="20"/>
          <w:lang w:val="es-ES_tradnl"/>
        </w:rPr>
        <w:t>162.</w:t>
      </w:r>
      <w:r w:rsidRPr="003D49EB">
        <w:rPr>
          <w:szCs w:val="20"/>
          <w:lang w:val="es-ES_tradnl"/>
        </w:rPr>
        <w:tab/>
        <w:t>La jurisprudencia de la Corte Europea de Derechos Humanos también ha aceptado que cuando se violan derechos fundamentales de una persona humana, tales como el derecho a la vida o el derecho a la integridad física, las personas más cercanas a la víctima también pueden ser consideradas como víctimas. Dicha Corte tuvo la oportunidad de pronunciarse sobre la condición de víctima de tratos crueles, inhumanos y degradantes de una madre como resultado de la detención y desaparición de su hijo, para lo cual valoró las circunstancias del caso, la gravedad del maltrato y el hecho de no contar con información oficial para esclarecer los hechos. En razón de estas consideraciones, la Corte Europea concluyó que también esta persona había sido víctima y que el Estado era responsable de la violación del artículo 3 de la Convención Europea.</w:t>
      </w:r>
    </w:p>
    <w:p w14:paraId="34680098" w14:textId="77777777" w:rsidR="003F0DE2" w:rsidRPr="003D49EB" w:rsidRDefault="003F0DE2" w:rsidP="009A4683">
      <w:pPr>
        <w:spacing w:after="100" w:afterAutospacing="1"/>
        <w:rPr>
          <w:szCs w:val="20"/>
          <w:lang w:val="es-ES_tradnl"/>
        </w:rPr>
      </w:pPr>
      <w:r w:rsidRPr="003D49EB">
        <w:rPr>
          <w:szCs w:val="20"/>
          <w:lang w:val="es-ES_tradnl"/>
        </w:rPr>
        <w:t>163.</w:t>
      </w:r>
      <w:r w:rsidRPr="003D49EB">
        <w:rPr>
          <w:szCs w:val="20"/>
          <w:lang w:val="es-ES_tradnl"/>
        </w:rPr>
        <w:tab/>
        <w:t>Recientemente dicha Corte desarrolló aún más el concepto, resaltando que entre los extremos a ser considerados se encuentran también los siguientes: la proximidad del vínculo familiar, las circunstancias particulares de la relación con la víctima, el grado en el cual el familiar fue testigo de los eventos relacionados con la desaparición, la forma en que el familiar se involucró respecto a los intentos de obtener información sobre la desaparición de la víctima y la respuesta ofrecida por el Estado a las gestiones incoadas.</w:t>
      </w:r>
    </w:p>
    <w:p w14:paraId="14EB9898" w14:textId="77777777" w:rsidR="003F0DE2" w:rsidRPr="003D49EB" w:rsidRDefault="003F0DE2" w:rsidP="009A4683">
      <w:pPr>
        <w:spacing w:after="100" w:afterAutospacing="1"/>
        <w:rPr>
          <w:szCs w:val="20"/>
          <w:lang w:val="es-ES_tradnl"/>
        </w:rPr>
      </w:pPr>
      <w:r w:rsidRPr="003D49EB">
        <w:rPr>
          <w:szCs w:val="20"/>
          <w:lang w:val="es-ES_tradnl"/>
        </w:rPr>
        <w:t>164.</w:t>
      </w:r>
      <w:r w:rsidRPr="003D49EB">
        <w:rPr>
          <w:szCs w:val="20"/>
          <w:lang w:val="es-ES_tradnl"/>
        </w:rPr>
        <w:tab/>
        <w:t xml:space="preserve">En el mismo sentido, el Comité de Derechos Humanos de las Naciones Unidas, de acuerdo con el Pacto Internacional de Derechos Civiles y Políticos, ha afirmado que los familiares de detenidos desaparecidos deben ser considerados como víctimas, entre otras violaciones, por malos tratos. El Comité de Derechos Humanos, en el caso </w:t>
      </w:r>
      <w:r w:rsidRPr="003D49EB">
        <w:rPr>
          <w:i/>
          <w:szCs w:val="20"/>
          <w:lang w:val="es-ES_tradnl"/>
        </w:rPr>
        <w:t>Quinteros c. Uruguay</w:t>
      </w:r>
      <w:r w:rsidRPr="003D49EB">
        <w:rPr>
          <w:szCs w:val="20"/>
          <w:lang w:val="es-ES_tradnl"/>
        </w:rPr>
        <w:t xml:space="preserve"> (1983), ya ha señalado que </w:t>
      </w:r>
    </w:p>
    <w:p w14:paraId="2D49BCBD" w14:textId="62933893" w:rsidR="003F0DE2" w:rsidRPr="003D49EB" w:rsidRDefault="003F0DE2" w:rsidP="00AB7BFF">
      <w:pPr>
        <w:spacing w:after="100" w:afterAutospacing="1"/>
        <w:ind w:left="1416" w:right="-7"/>
        <w:rPr>
          <w:sz w:val="18"/>
          <w:szCs w:val="18"/>
          <w:lang w:val="es-ES_tradnl"/>
        </w:rPr>
      </w:pPr>
      <w:proofErr w:type="spellStart"/>
      <w:r w:rsidRPr="003D49EB">
        <w:rPr>
          <w:sz w:val="18"/>
          <w:szCs w:val="18"/>
          <w:lang w:val="es-ES_tradnl"/>
        </w:rPr>
        <w:t>comprend</w:t>
      </w:r>
      <w:proofErr w:type="spellEnd"/>
      <w:r w:rsidRPr="003D49EB">
        <w:rPr>
          <w:sz w:val="18"/>
          <w:szCs w:val="18"/>
          <w:lang w:val="es-ES_tradnl"/>
        </w:rPr>
        <w:t>[</w:t>
      </w:r>
      <w:proofErr w:type="spellStart"/>
      <w:r w:rsidRPr="003D49EB">
        <w:rPr>
          <w:sz w:val="18"/>
          <w:szCs w:val="18"/>
          <w:lang w:val="es-ES_tradnl"/>
        </w:rPr>
        <w:t>ía</w:t>
      </w:r>
      <w:proofErr w:type="spellEnd"/>
      <w:r w:rsidRPr="003D49EB">
        <w:rPr>
          <w:sz w:val="18"/>
          <w:szCs w:val="18"/>
          <w:lang w:val="es-ES_tradnl"/>
        </w:rPr>
        <w:t xml:space="preserve">] el profundo pesar y la angustia que </w:t>
      </w:r>
      <w:proofErr w:type="spellStart"/>
      <w:r w:rsidRPr="003D49EB">
        <w:rPr>
          <w:sz w:val="18"/>
          <w:szCs w:val="18"/>
          <w:lang w:val="es-ES_tradnl"/>
        </w:rPr>
        <w:t>padec</w:t>
      </w:r>
      <w:proofErr w:type="spellEnd"/>
      <w:r w:rsidRPr="003D49EB">
        <w:rPr>
          <w:sz w:val="18"/>
          <w:szCs w:val="18"/>
          <w:lang w:val="es-ES_tradnl"/>
        </w:rPr>
        <w:t>[</w:t>
      </w:r>
      <w:proofErr w:type="spellStart"/>
      <w:r w:rsidRPr="003D49EB">
        <w:rPr>
          <w:sz w:val="18"/>
          <w:szCs w:val="18"/>
          <w:lang w:val="es-ES_tradnl"/>
        </w:rPr>
        <w:t>ió</w:t>
      </w:r>
      <w:proofErr w:type="spellEnd"/>
      <w:r w:rsidRPr="003D49EB">
        <w:rPr>
          <w:sz w:val="18"/>
          <w:szCs w:val="18"/>
          <w:lang w:val="es-ES_tradnl"/>
        </w:rPr>
        <w:t>] la autora de la comunicación como consecuencia de la desaparición de su hija y la continua incertidumbre sobre su suerte y su paradero.</w:t>
      </w:r>
      <w:r w:rsidR="008B18CE" w:rsidRPr="003D49EB">
        <w:rPr>
          <w:sz w:val="18"/>
          <w:szCs w:val="18"/>
          <w:lang w:val="es-ES_tradnl"/>
        </w:rPr>
        <w:t xml:space="preserve"> </w:t>
      </w:r>
      <w:r w:rsidRPr="003D49EB">
        <w:rPr>
          <w:sz w:val="18"/>
          <w:szCs w:val="18"/>
          <w:lang w:val="es-ES_tradnl"/>
        </w:rPr>
        <w:t>La autora tiene derecho a saber lo que ha sucedido a su hija.</w:t>
      </w:r>
      <w:r w:rsidR="008B18CE" w:rsidRPr="003D49EB">
        <w:rPr>
          <w:sz w:val="18"/>
          <w:szCs w:val="18"/>
          <w:lang w:val="es-ES_tradnl"/>
        </w:rPr>
        <w:t xml:space="preserve"> </w:t>
      </w:r>
      <w:r w:rsidRPr="003D49EB">
        <w:rPr>
          <w:sz w:val="18"/>
          <w:szCs w:val="18"/>
          <w:lang w:val="es-ES_tradnl"/>
        </w:rPr>
        <w:t>En ese sentido es también una víctima de las violaciones del Pacto [Internacional de Derechos Civiles y Políticos], en particular del artículo 7 [correspondiente al artículo 5 de la Convención Americana], soportadas por su hija.</w:t>
      </w:r>
    </w:p>
    <w:p w14:paraId="00DA5703" w14:textId="77777777" w:rsidR="003F0DE2" w:rsidRPr="003D49EB" w:rsidRDefault="003F0DE2" w:rsidP="009A4683">
      <w:pPr>
        <w:spacing w:after="100" w:afterAutospacing="1"/>
        <w:rPr>
          <w:szCs w:val="20"/>
          <w:lang w:val="es-ES_tradnl"/>
        </w:rPr>
      </w:pPr>
      <w:r w:rsidRPr="003D49EB">
        <w:rPr>
          <w:szCs w:val="20"/>
          <w:lang w:val="es-ES_tradnl"/>
        </w:rPr>
        <w:t>165.</w:t>
      </w:r>
      <w:r w:rsidRPr="003D49EB">
        <w:rPr>
          <w:szCs w:val="20"/>
          <w:lang w:val="es-ES_tradnl"/>
        </w:rPr>
        <w:tab/>
        <w:t xml:space="preserve">La Corte ha valorado las circunstancias del presente caso, particularmente la continua obstrucción a los esfuerzos de Jennifer </w:t>
      </w:r>
      <w:proofErr w:type="spellStart"/>
      <w:r w:rsidRPr="003D49EB">
        <w:rPr>
          <w:szCs w:val="20"/>
          <w:lang w:val="es-ES_tradnl"/>
        </w:rPr>
        <w:t>Harbury</w:t>
      </w:r>
      <w:proofErr w:type="spellEnd"/>
      <w:r w:rsidRPr="003D49EB">
        <w:rPr>
          <w:szCs w:val="20"/>
          <w:lang w:val="es-ES_tradnl"/>
        </w:rPr>
        <w:t xml:space="preserve"> por conocer la verdad de los hechos, y sobre todo el ocultamiento del cadáver de </w:t>
      </w:r>
      <w:proofErr w:type="spellStart"/>
      <w:r w:rsidRPr="003D49EB">
        <w:rPr>
          <w:szCs w:val="20"/>
          <w:lang w:val="es-ES_tradnl"/>
        </w:rPr>
        <w:t>Bámaca</w:t>
      </w:r>
      <w:proofErr w:type="spellEnd"/>
      <w:r w:rsidRPr="003D49EB">
        <w:rPr>
          <w:szCs w:val="20"/>
          <w:lang w:val="es-ES_tradnl"/>
        </w:rPr>
        <w:t xml:space="preserve"> Velásquez y los obstáculos que interpusieron diversas autoridades públicas a las diligencias de exhumación intentadas, así como la negativa oficial de brindar información al respecto. Con base en dichas circunstancias, la Corte considera que los padecimientos a los que fue sometida Jennifer </w:t>
      </w:r>
      <w:proofErr w:type="spellStart"/>
      <w:r w:rsidRPr="003D49EB">
        <w:rPr>
          <w:szCs w:val="20"/>
          <w:lang w:val="es-ES_tradnl"/>
        </w:rPr>
        <w:t>Harbury</w:t>
      </w:r>
      <w:proofErr w:type="spellEnd"/>
      <w:r w:rsidRPr="003D49EB">
        <w:rPr>
          <w:szCs w:val="20"/>
          <w:lang w:val="es-ES_tradnl"/>
        </w:rPr>
        <w:t xml:space="preserve"> constituyeron claramente tratos crueles, inhumanos y degradantes violatorios del artículo 5.1 y 5.2 de la Convención. La Corte entiende además que la falta de conocimiento sobre el paradero de </w:t>
      </w:r>
      <w:proofErr w:type="spellStart"/>
      <w:r w:rsidRPr="003D49EB">
        <w:rPr>
          <w:szCs w:val="20"/>
          <w:lang w:val="es-ES_tradnl"/>
        </w:rPr>
        <w:t>Bámaca</w:t>
      </w:r>
      <w:proofErr w:type="spellEnd"/>
      <w:r w:rsidRPr="003D49EB">
        <w:rPr>
          <w:szCs w:val="20"/>
          <w:lang w:val="es-ES_tradnl"/>
        </w:rPr>
        <w:t xml:space="preserve"> Velásquez causó una profunda angustia en los familiares de éste, mencionados por la Comisión, por lo que considera a éstos también víctimas de la violación del artículo citado. </w:t>
      </w:r>
    </w:p>
    <w:p w14:paraId="5348B1FB" w14:textId="033717AA" w:rsidR="003F0DE2" w:rsidRPr="003D49EB" w:rsidRDefault="00BA6752" w:rsidP="009A4683">
      <w:pPr>
        <w:spacing w:after="100" w:afterAutospacing="1"/>
        <w:rPr>
          <w:b/>
          <w:szCs w:val="20"/>
        </w:rPr>
      </w:pPr>
      <w:r w:rsidRPr="003D49EB">
        <w:rPr>
          <w:b/>
          <w:szCs w:val="20"/>
        </w:rPr>
        <w:t>Corte IDH. Caso 19 Comerciantes Vs. Colombia. Fondo, Reparaciones y Costas. Sentencia de 5 de julio de 2004. Serie C No. 109.</w:t>
      </w:r>
      <w:r w:rsidR="003F0DE2" w:rsidRPr="003D49EB">
        <w:rPr>
          <w:b/>
          <w:szCs w:val="20"/>
        </w:rPr>
        <w:t xml:space="preserve"> </w:t>
      </w:r>
    </w:p>
    <w:p w14:paraId="26E0C440" w14:textId="479929A7" w:rsidR="003F0DE2" w:rsidRPr="003D49EB" w:rsidRDefault="003F0DE2" w:rsidP="009A4683">
      <w:pPr>
        <w:spacing w:after="100" w:afterAutospacing="1"/>
        <w:rPr>
          <w:szCs w:val="20"/>
        </w:rPr>
      </w:pPr>
      <w:r w:rsidRPr="003D49EB">
        <w:rPr>
          <w:szCs w:val="20"/>
        </w:rPr>
        <w:lastRenderedPageBreak/>
        <w:t>112.a)</w:t>
      </w:r>
      <w:r w:rsidRPr="003D49EB">
        <w:rPr>
          <w:szCs w:val="20"/>
        </w:rPr>
        <w:tab/>
        <w:t>Los familiares de las presuntas víctimas han sufrido daños materiales e inmateriales como consecuencia directa de la desaparición forzada y muerte de las mismas, por la falta de apoyo de las autoridades estatales en la búsqueda inmediata de los desaparecidos, el miedo a iniciar o continuar con las búsquedas de sus familiares por verse envueltos en amenazas o atentados, y por las amenazas y atentados que recibieron quienes continuaron buscando a las presuntas víctimas, todo lo cual ha afectado su salud física y psicológica, ha impactado sus relaciones sociales y laborales, ha alterado la dinámica de sus familias y, en algunos casos, ha puesto en riesgo la vida e integridad personal de algunos de sus miembros</w:t>
      </w:r>
      <w:r w:rsidR="006A660B" w:rsidRPr="003D49EB">
        <w:rPr>
          <w:szCs w:val="20"/>
        </w:rPr>
        <w:t>.</w:t>
      </w:r>
    </w:p>
    <w:p w14:paraId="17D596EE" w14:textId="3419F330" w:rsidR="003F0DE2" w:rsidRPr="003D49EB" w:rsidRDefault="003F0DE2" w:rsidP="009A4683">
      <w:pPr>
        <w:spacing w:after="100" w:afterAutospacing="1"/>
        <w:rPr>
          <w:szCs w:val="20"/>
        </w:rPr>
      </w:pPr>
      <w:r w:rsidRPr="003D49EB">
        <w:rPr>
          <w:szCs w:val="20"/>
        </w:rPr>
        <w:t>249.</w:t>
      </w:r>
      <w:r w:rsidRPr="003D49EB">
        <w:rPr>
          <w:szCs w:val="20"/>
        </w:rPr>
        <w:tab/>
        <w:t>En cuanto a los familiares inmediatos de los 19 comerciantes, la Corte ha presumido que los sufrimientos o muerte de una persona acarrean a sus hijos, cónyuge o compañera, padres y hermanos un daño inmaterial, por lo cual no es necesario demostrarlo.</w:t>
      </w:r>
      <w:r w:rsidR="008B18CE" w:rsidRPr="003D49EB">
        <w:rPr>
          <w:szCs w:val="20"/>
        </w:rPr>
        <w:t xml:space="preserve"> </w:t>
      </w:r>
      <w:r w:rsidRPr="003D49EB">
        <w:rPr>
          <w:szCs w:val="20"/>
        </w:rPr>
        <w:t>Tal y como ha dicho la Corte, “se puede admitir la presunción de que los padres han sufrido moralmente por la muerte cruel de sus hijos, pues es propio de la naturaleza humana que toda persona experimente dolor ante el suplicio de su hijo”, así como también se puede presumir que la muerte de una persona ocasiona a sus hermanos un daño inmaterial. Según ha establecido la Corte, el sufrimiento ocasionado a la víctima “se extiende a los miembros más íntimos de la familia, en especial aquellos que estuvieron en contacto afectivo estrecho con la víctima”.</w:t>
      </w:r>
      <w:r w:rsidR="008B18CE" w:rsidRPr="003D49EB">
        <w:rPr>
          <w:b/>
          <w:szCs w:val="20"/>
        </w:rPr>
        <w:t xml:space="preserve"> </w:t>
      </w:r>
    </w:p>
    <w:p w14:paraId="50F6BF7B" w14:textId="77777777" w:rsidR="00C24F2D" w:rsidRPr="005A434D" w:rsidRDefault="00C24F2D" w:rsidP="005A434D">
      <w:pPr>
        <w:spacing w:after="100" w:afterAutospacing="1"/>
        <w:rPr>
          <w:b/>
          <w:szCs w:val="20"/>
        </w:rPr>
      </w:pPr>
      <w:r w:rsidRPr="005A434D">
        <w:rPr>
          <w:b/>
          <w:szCs w:val="20"/>
        </w:rPr>
        <w:t xml:space="preserve">Corte IDH. Caso Tibi Vs. Ecuador. Excepciones Preliminares, Fondo, Reparaciones y Costas. Sentencia de 7 de septiembre de 2004. Serie C No. 114. </w:t>
      </w:r>
    </w:p>
    <w:p w14:paraId="7CA1F998" w14:textId="4CD2E061" w:rsidR="003F0DE2" w:rsidRPr="003D49EB" w:rsidRDefault="003F0DE2" w:rsidP="009A4683">
      <w:pPr>
        <w:spacing w:after="100" w:afterAutospacing="1"/>
        <w:rPr>
          <w:szCs w:val="20"/>
          <w:lang w:val="es-ES_tradnl"/>
        </w:rPr>
      </w:pPr>
      <w:r w:rsidRPr="003D49EB">
        <w:rPr>
          <w:szCs w:val="20"/>
          <w:lang w:val="es-ES_tradnl"/>
        </w:rPr>
        <w:t>160.</w:t>
      </w:r>
      <w:r w:rsidRPr="003D49EB">
        <w:rPr>
          <w:szCs w:val="20"/>
          <w:lang w:val="es-ES_tradnl"/>
        </w:rPr>
        <w:tab/>
        <w:t xml:space="preserve">Esta Corte observa que la señora Beatrice </w:t>
      </w:r>
      <w:proofErr w:type="spellStart"/>
      <w:r w:rsidRPr="003D49EB">
        <w:rPr>
          <w:szCs w:val="20"/>
          <w:lang w:val="es-ES_tradnl"/>
        </w:rPr>
        <w:t>Baruet</w:t>
      </w:r>
      <w:proofErr w:type="spellEnd"/>
      <w:r w:rsidRPr="003D49EB">
        <w:rPr>
          <w:szCs w:val="20"/>
          <w:lang w:val="es-ES_tradnl"/>
        </w:rPr>
        <w:t xml:space="preserve">, sus hijas Sarah y Jeanne Camila </w:t>
      </w:r>
      <w:proofErr w:type="spellStart"/>
      <w:r w:rsidRPr="003D49EB">
        <w:rPr>
          <w:szCs w:val="20"/>
          <w:lang w:val="es-ES_tradnl"/>
        </w:rPr>
        <w:t>Vachon</w:t>
      </w:r>
      <w:proofErr w:type="spellEnd"/>
      <w:r w:rsidRPr="003D49EB">
        <w:rPr>
          <w:szCs w:val="20"/>
          <w:lang w:val="es-ES_tradnl"/>
        </w:rPr>
        <w:t xml:space="preserve">, </w:t>
      </w:r>
      <w:proofErr w:type="spellStart"/>
      <w:r w:rsidRPr="003D49EB">
        <w:rPr>
          <w:szCs w:val="20"/>
          <w:lang w:val="es-ES_tradnl"/>
        </w:rPr>
        <w:t>Lisianne</w:t>
      </w:r>
      <w:proofErr w:type="spellEnd"/>
      <w:r w:rsidRPr="003D49EB">
        <w:rPr>
          <w:szCs w:val="20"/>
          <w:lang w:val="es-ES_tradnl"/>
        </w:rPr>
        <w:t xml:space="preserve"> Judith Tibi, hija de ella y el señor Tibi y </w:t>
      </w:r>
      <w:proofErr w:type="spellStart"/>
      <w:r w:rsidRPr="003D49EB">
        <w:rPr>
          <w:szCs w:val="20"/>
          <w:lang w:val="es-ES_tradnl"/>
        </w:rPr>
        <w:t>Valerian</w:t>
      </w:r>
      <w:proofErr w:type="spellEnd"/>
      <w:r w:rsidRPr="003D49EB">
        <w:rPr>
          <w:szCs w:val="20"/>
          <w:lang w:val="es-ES_tradnl"/>
        </w:rPr>
        <w:t xml:space="preserve"> </w:t>
      </w:r>
      <w:proofErr w:type="spellStart"/>
      <w:r w:rsidRPr="003D49EB">
        <w:rPr>
          <w:szCs w:val="20"/>
          <w:lang w:val="es-ES_tradnl"/>
        </w:rPr>
        <w:t>Edouard</w:t>
      </w:r>
      <w:proofErr w:type="spellEnd"/>
      <w:r w:rsidRPr="003D49EB">
        <w:rPr>
          <w:szCs w:val="20"/>
          <w:lang w:val="es-ES_tradnl"/>
        </w:rPr>
        <w:t xml:space="preserve"> Tibi, hijo del señor Tibi, vieron afectada su integridad personal como consecuencia de la detención ilegal y arbitraria, la falta del debido proceso y la tortura a que fue sometida la presunta víctima.</w:t>
      </w:r>
      <w:r w:rsidR="008B18CE" w:rsidRPr="003D49EB">
        <w:rPr>
          <w:szCs w:val="20"/>
          <w:lang w:val="es-ES_tradnl"/>
        </w:rPr>
        <w:t xml:space="preserve"> </w:t>
      </w:r>
      <w:r w:rsidRPr="003D49EB">
        <w:rPr>
          <w:szCs w:val="20"/>
          <w:lang w:val="es-ES_tradnl"/>
        </w:rPr>
        <w:t xml:space="preserve">Las afectaciones de éstos consistieron, entre otros, en la angustia que les produjo no conocer el paradero de la presunta víctima inmediatamente después de su detención; y en los sentimientos de impotencia e inseguridad por la negligencia de las autoridades estatales para hacer cesar la detención ilegal y arbitraria del señor Tibi; y el temor que sentían por la vida de la presunta víctima. </w:t>
      </w:r>
    </w:p>
    <w:p w14:paraId="6CF136B9" w14:textId="77777777" w:rsidR="003F0DE2" w:rsidRPr="003D49EB" w:rsidRDefault="003F0DE2" w:rsidP="009A4683">
      <w:pPr>
        <w:spacing w:after="100" w:afterAutospacing="1"/>
        <w:rPr>
          <w:szCs w:val="20"/>
          <w:lang w:val="es-ES_tradnl"/>
        </w:rPr>
      </w:pPr>
      <w:r w:rsidRPr="003D49EB">
        <w:rPr>
          <w:szCs w:val="20"/>
          <w:lang w:val="es-ES_tradnl"/>
        </w:rPr>
        <w:t>161.</w:t>
      </w:r>
      <w:r w:rsidRPr="003D49EB">
        <w:rPr>
          <w:szCs w:val="20"/>
          <w:lang w:val="es-ES_tradnl"/>
        </w:rPr>
        <w:tab/>
        <w:t xml:space="preserve">En el caso </w:t>
      </w:r>
      <w:r w:rsidRPr="003D49EB">
        <w:rPr>
          <w:i/>
          <w:iCs/>
          <w:szCs w:val="20"/>
          <w:lang w:val="es-ES_tradnl"/>
        </w:rPr>
        <w:t>sub judice</w:t>
      </w:r>
      <w:r w:rsidRPr="003D49EB">
        <w:rPr>
          <w:szCs w:val="20"/>
          <w:lang w:val="es-ES_tradnl"/>
        </w:rPr>
        <w:t xml:space="preserve"> está demostrado que numerosas circunstancias afectaron a los miembros del núcleo familiar del señor Daniel Tibi, tales como: los constantes viajes realizados por la señora </w:t>
      </w:r>
      <w:proofErr w:type="spellStart"/>
      <w:r w:rsidRPr="003D49EB">
        <w:rPr>
          <w:szCs w:val="20"/>
          <w:lang w:val="es-ES_tradnl"/>
        </w:rPr>
        <w:t>Baruet</w:t>
      </w:r>
      <w:proofErr w:type="spellEnd"/>
      <w:r w:rsidRPr="003D49EB">
        <w:rPr>
          <w:szCs w:val="20"/>
          <w:lang w:val="es-ES_tradnl"/>
        </w:rPr>
        <w:t xml:space="preserve">, en algunos casos con sus hijas, a más de seiscientos kilómetros de distancia desde la ciudad de Quito, donde tenían su residencia; el regreso de la menor Sarah </w:t>
      </w:r>
      <w:proofErr w:type="spellStart"/>
      <w:r w:rsidRPr="003D49EB">
        <w:rPr>
          <w:szCs w:val="20"/>
          <w:lang w:val="es-ES_tradnl"/>
        </w:rPr>
        <w:t>Vachon</w:t>
      </w:r>
      <w:proofErr w:type="spellEnd"/>
      <w:r w:rsidRPr="003D49EB">
        <w:rPr>
          <w:szCs w:val="20"/>
          <w:lang w:val="es-ES_tradnl"/>
        </w:rPr>
        <w:t xml:space="preserve"> a Francia, país en el que permaneció durante más de dos años lejos de su familia; las visitas a la Penitenciaría del Litoral de la menor Jeanne Camila </w:t>
      </w:r>
      <w:proofErr w:type="spellStart"/>
      <w:r w:rsidRPr="003D49EB">
        <w:rPr>
          <w:szCs w:val="20"/>
          <w:lang w:val="es-ES_tradnl"/>
        </w:rPr>
        <w:t>Vachon</w:t>
      </w:r>
      <w:proofErr w:type="spellEnd"/>
      <w:r w:rsidRPr="003D49EB">
        <w:rPr>
          <w:szCs w:val="20"/>
          <w:lang w:val="es-ES_tradnl"/>
        </w:rPr>
        <w:t xml:space="preserve">, quien después de presenciar un motín en la cárcel se negó a visitar a su padrastro nuevamente; la ausencia de una figura paternal sufrida por la menor </w:t>
      </w:r>
      <w:proofErr w:type="spellStart"/>
      <w:r w:rsidRPr="003D49EB">
        <w:rPr>
          <w:szCs w:val="20"/>
          <w:lang w:val="es-ES_tradnl"/>
        </w:rPr>
        <w:t>Lisianne</w:t>
      </w:r>
      <w:proofErr w:type="spellEnd"/>
      <w:r w:rsidRPr="003D49EB">
        <w:rPr>
          <w:szCs w:val="20"/>
          <w:lang w:val="es-ES_tradnl"/>
        </w:rPr>
        <w:t xml:space="preserve"> Judith Tibi durante sus dos primeros años de vida; y la falta de contacto del señor Tibi con su hijo </w:t>
      </w:r>
      <w:proofErr w:type="spellStart"/>
      <w:r w:rsidRPr="003D49EB">
        <w:rPr>
          <w:szCs w:val="20"/>
          <w:lang w:val="es-ES_tradnl"/>
        </w:rPr>
        <w:t>Valerian</w:t>
      </w:r>
      <w:proofErr w:type="spellEnd"/>
      <w:r w:rsidRPr="003D49EB">
        <w:rPr>
          <w:szCs w:val="20"/>
          <w:lang w:val="es-ES_tradnl"/>
        </w:rPr>
        <w:t xml:space="preserve"> </w:t>
      </w:r>
      <w:proofErr w:type="spellStart"/>
      <w:r w:rsidRPr="003D49EB">
        <w:rPr>
          <w:szCs w:val="20"/>
          <w:lang w:val="es-ES_tradnl"/>
        </w:rPr>
        <w:t>Edouard</w:t>
      </w:r>
      <w:proofErr w:type="spellEnd"/>
      <w:r w:rsidRPr="003D49EB">
        <w:rPr>
          <w:szCs w:val="20"/>
          <w:lang w:val="es-ES_tradnl"/>
        </w:rPr>
        <w:t xml:space="preserve"> Tibi.</w:t>
      </w:r>
      <w:r w:rsidR="008B18CE" w:rsidRPr="003D49EB">
        <w:rPr>
          <w:szCs w:val="20"/>
          <w:lang w:val="es-ES_tradnl"/>
        </w:rPr>
        <w:t xml:space="preserve"> </w:t>
      </w:r>
      <w:r w:rsidRPr="003D49EB">
        <w:rPr>
          <w:szCs w:val="20"/>
          <w:lang w:val="es-ES_tradnl"/>
        </w:rPr>
        <w:t xml:space="preserve">Algunas de estas circunstancias perduraron, incluso después de la liberación del señor Tibi y su regreso a Francia, por lo que esta Corte considera que la detención ilegal y arbitraria del señor Tibi contribuyó a la ruptura del núcleo familiar y a la frustración de los planes personales y familiares. </w:t>
      </w:r>
    </w:p>
    <w:p w14:paraId="7CCD56CE" w14:textId="541F74DF" w:rsidR="00CE15B5" w:rsidRPr="003D49EB" w:rsidRDefault="005A434D" w:rsidP="009A4683">
      <w:pPr>
        <w:spacing w:after="100" w:afterAutospacing="1"/>
        <w:rPr>
          <w:b/>
          <w:bCs/>
          <w:szCs w:val="20"/>
        </w:rPr>
      </w:pPr>
      <w:r w:rsidRPr="005A434D">
        <w:rPr>
          <w:b/>
          <w:bCs/>
          <w:szCs w:val="20"/>
          <w:lang w:val="es-ES"/>
        </w:rPr>
        <w:lastRenderedPageBreak/>
        <w:t xml:space="preserve">Corte IDH. Caso de las niñas </w:t>
      </w:r>
      <w:proofErr w:type="spellStart"/>
      <w:r w:rsidRPr="005A434D">
        <w:rPr>
          <w:b/>
          <w:bCs/>
          <w:szCs w:val="20"/>
          <w:lang w:val="es-ES"/>
        </w:rPr>
        <w:t>Yean</w:t>
      </w:r>
      <w:proofErr w:type="spellEnd"/>
      <w:r w:rsidRPr="005A434D">
        <w:rPr>
          <w:b/>
          <w:bCs/>
          <w:szCs w:val="20"/>
          <w:lang w:val="es-ES"/>
        </w:rPr>
        <w:t xml:space="preserve"> y </w:t>
      </w:r>
      <w:proofErr w:type="spellStart"/>
      <w:r w:rsidRPr="005A434D">
        <w:rPr>
          <w:b/>
          <w:bCs/>
          <w:szCs w:val="20"/>
          <w:lang w:val="es-ES"/>
        </w:rPr>
        <w:t>Bosico</w:t>
      </w:r>
      <w:proofErr w:type="spellEnd"/>
      <w:r w:rsidRPr="005A434D">
        <w:rPr>
          <w:b/>
          <w:bCs/>
          <w:szCs w:val="20"/>
          <w:lang w:val="es-ES"/>
        </w:rPr>
        <w:t xml:space="preserve"> Vs. República Dominicana. Sentencia de 8 de septiembre de 2005. Serie C No. 130</w:t>
      </w:r>
      <w:r>
        <w:rPr>
          <w:b/>
          <w:bCs/>
          <w:szCs w:val="20"/>
        </w:rPr>
        <w:t>.</w:t>
      </w:r>
      <w:r w:rsidRPr="005A434D">
        <w:rPr>
          <w:rFonts w:cstheme="majorBidi"/>
          <w:b/>
          <w:bCs/>
          <w:szCs w:val="22"/>
          <w:shd w:val="clear" w:color="auto" w:fill="FFFFFF"/>
          <w:vertAlign w:val="superscript"/>
          <w:lang w:val="es-ES" w:eastAsia="es-ES_tradnl"/>
        </w:rPr>
        <w:t xml:space="preserve"> </w:t>
      </w:r>
      <w:r w:rsidRPr="005A434D">
        <w:rPr>
          <w:b/>
          <w:bCs/>
          <w:szCs w:val="20"/>
          <w:vertAlign w:val="superscript"/>
          <w:lang w:val="es-ES"/>
        </w:rPr>
        <w:footnoteReference w:id="59"/>
      </w:r>
      <w:r w:rsidRPr="005A434D">
        <w:rPr>
          <w:rStyle w:val="AsuntodelcomentarioCar"/>
          <w:shd w:val="clear" w:color="auto" w:fill="FFFFFF"/>
          <w:lang w:val="es-ES" w:eastAsia="es-ES_tradnl"/>
        </w:rPr>
        <w:t xml:space="preserve"> </w:t>
      </w:r>
    </w:p>
    <w:p w14:paraId="6C8829EC" w14:textId="77777777" w:rsidR="00CE15B5" w:rsidRPr="003D49EB" w:rsidRDefault="00CE15B5" w:rsidP="009A4683">
      <w:pPr>
        <w:spacing w:after="100" w:afterAutospacing="1"/>
        <w:rPr>
          <w:szCs w:val="20"/>
        </w:rPr>
      </w:pPr>
      <w:r w:rsidRPr="003D49EB">
        <w:rPr>
          <w:szCs w:val="20"/>
          <w:lang w:val="es-ES_tradnl"/>
        </w:rPr>
        <w:t>205.</w:t>
      </w:r>
      <w:r w:rsidRPr="003D49EB">
        <w:rPr>
          <w:szCs w:val="20"/>
          <w:lang w:val="es-ES_tradnl"/>
        </w:rPr>
        <w:tab/>
        <w:t xml:space="preserve">En lo que se refiere a los familiares de las niñas </w:t>
      </w:r>
      <w:proofErr w:type="spellStart"/>
      <w:r w:rsidRPr="003D49EB">
        <w:rPr>
          <w:szCs w:val="20"/>
          <w:lang w:val="es-ES_tradnl"/>
        </w:rPr>
        <w:t>Dilcia</w:t>
      </w:r>
      <w:proofErr w:type="spellEnd"/>
      <w:r w:rsidRPr="003D49EB">
        <w:rPr>
          <w:szCs w:val="20"/>
          <w:lang w:val="es-ES_tradnl"/>
        </w:rPr>
        <w:t xml:space="preserve"> </w:t>
      </w:r>
      <w:proofErr w:type="spellStart"/>
      <w:r w:rsidRPr="003D49EB">
        <w:rPr>
          <w:szCs w:val="20"/>
          <w:lang w:val="es-ES_tradnl"/>
        </w:rPr>
        <w:t>Yean</w:t>
      </w:r>
      <w:proofErr w:type="spellEnd"/>
      <w:r w:rsidRPr="003D49EB">
        <w:rPr>
          <w:szCs w:val="20"/>
          <w:lang w:val="es-ES_tradnl"/>
        </w:rPr>
        <w:t xml:space="preserve"> y Violeta </w:t>
      </w:r>
      <w:proofErr w:type="spellStart"/>
      <w:r w:rsidRPr="003D49EB">
        <w:rPr>
          <w:szCs w:val="20"/>
          <w:lang w:val="es-ES_tradnl"/>
        </w:rPr>
        <w:t>Bosico</w:t>
      </w:r>
      <w:proofErr w:type="spellEnd"/>
      <w:r w:rsidRPr="003D49EB">
        <w:rPr>
          <w:szCs w:val="20"/>
          <w:lang w:val="es-ES_tradnl"/>
        </w:rPr>
        <w:t xml:space="preserve">, la Corte, con base en la Convención Americana y a la luz del referido principio </w:t>
      </w:r>
      <w:proofErr w:type="spellStart"/>
      <w:r w:rsidRPr="003D49EB">
        <w:rPr>
          <w:i/>
          <w:szCs w:val="20"/>
          <w:lang w:val="es-ES_tradnl"/>
        </w:rPr>
        <w:t>iura</w:t>
      </w:r>
      <w:proofErr w:type="spellEnd"/>
      <w:r w:rsidRPr="003D49EB">
        <w:rPr>
          <w:i/>
          <w:szCs w:val="20"/>
          <w:lang w:val="es-ES_tradnl"/>
        </w:rPr>
        <w:t xml:space="preserve"> </w:t>
      </w:r>
      <w:proofErr w:type="spellStart"/>
      <w:r w:rsidRPr="003D49EB">
        <w:rPr>
          <w:i/>
          <w:szCs w:val="20"/>
          <w:lang w:val="es-ES_tradnl"/>
        </w:rPr>
        <w:t>novit</w:t>
      </w:r>
      <w:proofErr w:type="spellEnd"/>
      <w:r w:rsidRPr="003D49EB">
        <w:rPr>
          <w:i/>
          <w:szCs w:val="20"/>
          <w:lang w:val="es-ES_tradnl"/>
        </w:rPr>
        <w:t xml:space="preserve"> curia</w:t>
      </w:r>
      <w:r w:rsidRPr="003D49EB">
        <w:rPr>
          <w:szCs w:val="20"/>
          <w:lang w:val="es-ES_tradnl"/>
        </w:rPr>
        <w:t xml:space="preserve">, </w:t>
      </w:r>
      <w:r w:rsidRPr="003D49EB">
        <w:rPr>
          <w:szCs w:val="20"/>
        </w:rPr>
        <w:t xml:space="preserve">considera que a las señoras </w:t>
      </w:r>
      <w:proofErr w:type="spellStart"/>
      <w:r w:rsidRPr="003D49EB">
        <w:rPr>
          <w:szCs w:val="20"/>
        </w:rPr>
        <w:t>Leonidas</w:t>
      </w:r>
      <w:proofErr w:type="spellEnd"/>
      <w:r w:rsidRPr="003D49EB">
        <w:rPr>
          <w:szCs w:val="20"/>
        </w:rPr>
        <w:t xml:space="preserve"> Oliven </w:t>
      </w:r>
      <w:proofErr w:type="spellStart"/>
      <w:r w:rsidRPr="003D49EB">
        <w:rPr>
          <w:szCs w:val="20"/>
        </w:rPr>
        <w:t>Yean</w:t>
      </w:r>
      <w:proofErr w:type="spellEnd"/>
      <w:r w:rsidRPr="003D49EB">
        <w:rPr>
          <w:szCs w:val="20"/>
        </w:rPr>
        <w:t xml:space="preserve"> y </w:t>
      </w:r>
      <w:proofErr w:type="spellStart"/>
      <w:r w:rsidRPr="003D49EB">
        <w:rPr>
          <w:szCs w:val="20"/>
        </w:rPr>
        <w:t>Tiramen</w:t>
      </w:r>
      <w:proofErr w:type="spellEnd"/>
      <w:r w:rsidRPr="003D49EB">
        <w:rPr>
          <w:szCs w:val="20"/>
        </w:rPr>
        <w:t xml:space="preserve"> </w:t>
      </w:r>
      <w:proofErr w:type="spellStart"/>
      <w:r w:rsidRPr="003D49EB">
        <w:rPr>
          <w:szCs w:val="20"/>
        </w:rPr>
        <w:t>Bosico</w:t>
      </w:r>
      <w:proofErr w:type="spellEnd"/>
      <w:r w:rsidRPr="003D49EB">
        <w:rPr>
          <w:szCs w:val="20"/>
        </w:rPr>
        <w:t xml:space="preserve"> </w:t>
      </w:r>
      <w:proofErr w:type="spellStart"/>
      <w:r w:rsidRPr="003D49EB">
        <w:rPr>
          <w:szCs w:val="20"/>
        </w:rPr>
        <w:t>Cofi</w:t>
      </w:r>
      <w:proofErr w:type="spellEnd"/>
      <w:r w:rsidRPr="003D49EB">
        <w:rPr>
          <w:szCs w:val="20"/>
        </w:rPr>
        <w:t xml:space="preserve">, madres de las niñas, y a la señora Teresa </w:t>
      </w:r>
      <w:proofErr w:type="spellStart"/>
      <w:r w:rsidRPr="003D49EB">
        <w:rPr>
          <w:szCs w:val="20"/>
        </w:rPr>
        <w:t>Tucent</w:t>
      </w:r>
      <w:proofErr w:type="spellEnd"/>
      <w:r w:rsidRPr="003D49EB">
        <w:rPr>
          <w:szCs w:val="20"/>
        </w:rPr>
        <w:t xml:space="preserve"> Mena, hermana de la niña Violeta, les causó incertidumbre e inseguridad la situación de vulnerabilidad que el Estado impuso a las niñas </w:t>
      </w:r>
      <w:proofErr w:type="spellStart"/>
      <w:r w:rsidRPr="003D49EB">
        <w:rPr>
          <w:szCs w:val="20"/>
        </w:rPr>
        <w:t>Yean</w:t>
      </w:r>
      <w:proofErr w:type="spellEnd"/>
      <w:r w:rsidRPr="003D49EB">
        <w:rPr>
          <w:szCs w:val="20"/>
        </w:rPr>
        <w:t xml:space="preserve"> y </w:t>
      </w:r>
      <w:proofErr w:type="spellStart"/>
      <w:r w:rsidRPr="003D49EB">
        <w:rPr>
          <w:szCs w:val="20"/>
        </w:rPr>
        <w:t>Bosico</w:t>
      </w:r>
      <w:proofErr w:type="spellEnd"/>
      <w:r w:rsidRPr="003D49EB">
        <w:rPr>
          <w:szCs w:val="20"/>
        </w:rPr>
        <w:t>, por el temor fundado de que fueran expulsadas de la República Dominicana, de la cual eran nacionales, en razón de la falta de las actas de nacimiento, y a las diversas dificultades que enfrentaron para obtenerlas.</w:t>
      </w:r>
    </w:p>
    <w:p w14:paraId="3EBD4423" w14:textId="77777777" w:rsidR="00CE15B5" w:rsidRPr="003D49EB" w:rsidRDefault="00CE15B5" w:rsidP="009A4683">
      <w:pPr>
        <w:spacing w:after="100" w:afterAutospacing="1"/>
        <w:rPr>
          <w:szCs w:val="20"/>
        </w:rPr>
      </w:pPr>
      <w:r w:rsidRPr="003D49EB">
        <w:rPr>
          <w:szCs w:val="20"/>
        </w:rPr>
        <w:t>206.</w:t>
      </w:r>
      <w:r w:rsidRPr="003D49EB">
        <w:rPr>
          <w:szCs w:val="20"/>
        </w:rPr>
        <w:tab/>
        <w:t xml:space="preserve">De lo expuesto anteriormente, la Corte considera que el Estado violó el derecho a la integridad personal consagrado en el artículo 5 de la Convención Americana, en relación con el 1.1 del mismo instrumento, en perjuicio de las señoras </w:t>
      </w:r>
      <w:proofErr w:type="spellStart"/>
      <w:r w:rsidRPr="003D49EB">
        <w:rPr>
          <w:szCs w:val="20"/>
        </w:rPr>
        <w:t>Leonidas</w:t>
      </w:r>
      <w:proofErr w:type="spellEnd"/>
      <w:r w:rsidRPr="003D49EB">
        <w:rPr>
          <w:szCs w:val="20"/>
        </w:rPr>
        <w:t xml:space="preserve"> Oliven </w:t>
      </w:r>
      <w:proofErr w:type="spellStart"/>
      <w:r w:rsidRPr="003D49EB">
        <w:rPr>
          <w:szCs w:val="20"/>
        </w:rPr>
        <w:t>Yean</w:t>
      </w:r>
      <w:proofErr w:type="spellEnd"/>
      <w:r w:rsidRPr="003D49EB">
        <w:rPr>
          <w:szCs w:val="20"/>
        </w:rPr>
        <w:t xml:space="preserve">, </w:t>
      </w:r>
      <w:proofErr w:type="spellStart"/>
      <w:r w:rsidRPr="003D49EB">
        <w:rPr>
          <w:szCs w:val="20"/>
        </w:rPr>
        <w:t>Tiramen</w:t>
      </w:r>
      <w:proofErr w:type="spellEnd"/>
      <w:r w:rsidRPr="003D49EB">
        <w:rPr>
          <w:szCs w:val="20"/>
        </w:rPr>
        <w:t xml:space="preserve"> </w:t>
      </w:r>
      <w:proofErr w:type="spellStart"/>
      <w:r w:rsidRPr="003D49EB">
        <w:rPr>
          <w:szCs w:val="20"/>
        </w:rPr>
        <w:t>Bosico</w:t>
      </w:r>
      <w:proofErr w:type="spellEnd"/>
      <w:r w:rsidRPr="003D49EB">
        <w:rPr>
          <w:szCs w:val="20"/>
        </w:rPr>
        <w:t xml:space="preserve"> </w:t>
      </w:r>
      <w:proofErr w:type="spellStart"/>
      <w:r w:rsidRPr="003D49EB">
        <w:rPr>
          <w:szCs w:val="20"/>
        </w:rPr>
        <w:t>Cofi</w:t>
      </w:r>
      <w:proofErr w:type="spellEnd"/>
      <w:r w:rsidRPr="003D49EB">
        <w:rPr>
          <w:szCs w:val="20"/>
        </w:rPr>
        <w:t xml:space="preserve"> y Teresa </w:t>
      </w:r>
      <w:proofErr w:type="spellStart"/>
      <w:r w:rsidRPr="003D49EB">
        <w:rPr>
          <w:szCs w:val="20"/>
        </w:rPr>
        <w:t>Tucent</w:t>
      </w:r>
      <w:proofErr w:type="spellEnd"/>
      <w:r w:rsidRPr="003D49EB">
        <w:rPr>
          <w:szCs w:val="20"/>
        </w:rPr>
        <w:t xml:space="preserve"> Mena.</w:t>
      </w:r>
    </w:p>
    <w:p w14:paraId="7DEBC0DD" w14:textId="78EF1CF9" w:rsidR="003F0DE2" w:rsidRPr="003D49EB" w:rsidRDefault="00FE3840" w:rsidP="009A4683">
      <w:pPr>
        <w:spacing w:after="100" w:afterAutospacing="1"/>
        <w:rPr>
          <w:b/>
          <w:szCs w:val="20"/>
        </w:rPr>
      </w:pPr>
      <w:r w:rsidRPr="00FE3840">
        <w:rPr>
          <w:b/>
          <w:szCs w:val="20"/>
        </w:rPr>
        <w:t xml:space="preserve">Corte IDH. Caso García </w:t>
      </w:r>
      <w:proofErr w:type="spellStart"/>
      <w:r w:rsidRPr="00FE3840">
        <w:rPr>
          <w:b/>
          <w:szCs w:val="20"/>
        </w:rPr>
        <w:t>Asto</w:t>
      </w:r>
      <w:proofErr w:type="spellEnd"/>
      <w:r w:rsidRPr="00FE3840">
        <w:rPr>
          <w:b/>
          <w:szCs w:val="20"/>
        </w:rPr>
        <w:t xml:space="preserve"> y Ramírez Rojas Vs. Perú. Sentencia de 25 de noviembre de 2005. Serie C No. 137</w:t>
      </w:r>
      <w:r w:rsidR="003F0DE2" w:rsidRPr="003D49EB">
        <w:rPr>
          <w:b/>
          <w:szCs w:val="20"/>
        </w:rPr>
        <w:t xml:space="preserve">. </w:t>
      </w:r>
    </w:p>
    <w:p w14:paraId="5852C96E" w14:textId="77777777" w:rsidR="003F0DE2" w:rsidRPr="003D49EB" w:rsidRDefault="003F0DE2" w:rsidP="009A4683">
      <w:pPr>
        <w:spacing w:after="100" w:afterAutospacing="1"/>
        <w:rPr>
          <w:szCs w:val="20"/>
        </w:rPr>
      </w:pPr>
      <w:r w:rsidRPr="003D49EB">
        <w:rPr>
          <w:szCs w:val="20"/>
        </w:rPr>
        <w:t>230.</w:t>
      </w:r>
      <w:r w:rsidRPr="003D49EB">
        <w:rPr>
          <w:szCs w:val="20"/>
        </w:rPr>
        <w:tab/>
        <w:t xml:space="preserve">El Tribunal ha tenido por probado que los familiares del señor Wilson García </w:t>
      </w:r>
      <w:proofErr w:type="spellStart"/>
      <w:r w:rsidRPr="003D49EB">
        <w:rPr>
          <w:szCs w:val="20"/>
        </w:rPr>
        <w:t>Asto</w:t>
      </w:r>
      <w:proofErr w:type="spellEnd"/>
      <w:r w:rsidRPr="003D49EB">
        <w:rPr>
          <w:szCs w:val="20"/>
        </w:rPr>
        <w:t xml:space="preserve"> han padecido grandes sufrimientos y constantes preocupaciones como consecuencia </w:t>
      </w:r>
      <w:r w:rsidRPr="003D49EB">
        <w:rPr>
          <w:szCs w:val="20"/>
          <w:lang w:val="es-PE"/>
        </w:rPr>
        <w:t>de las condiciones carcelarias degradantes e inhumanas en las que se encontraba</w:t>
      </w:r>
      <w:r w:rsidRPr="003D49EB">
        <w:rPr>
          <w:szCs w:val="20"/>
        </w:rPr>
        <w:t xml:space="preserve"> la presunta víctima, e</w:t>
      </w:r>
      <w:r w:rsidRPr="003D49EB">
        <w:rPr>
          <w:szCs w:val="20"/>
          <w:lang w:val="es-PE"/>
        </w:rPr>
        <w:t xml:space="preserve">l aislamiento al que estaba sometido, la lejanía y las dificultades de acceso a los diferentes penales en que se encontraba, los cuales </w:t>
      </w:r>
      <w:r w:rsidRPr="003D49EB">
        <w:rPr>
          <w:szCs w:val="20"/>
        </w:rPr>
        <w:t>constituyeron una vulneración de la integridad psíquica y moral de éstos.</w:t>
      </w:r>
      <w:r w:rsidRPr="003D49EB">
        <w:rPr>
          <w:szCs w:val="20"/>
          <w:lang w:val="es-PE"/>
        </w:rPr>
        <w:t xml:space="preserve"> […]. </w:t>
      </w:r>
    </w:p>
    <w:p w14:paraId="47F34832" w14:textId="77777777" w:rsidR="00EA36A9" w:rsidRPr="00081EFB" w:rsidRDefault="00EA36A9" w:rsidP="00081EFB">
      <w:pPr>
        <w:spacing w:after="100" w:afterAutospacing="1"/>
        <w:rPr>
          <w:b/>
          <w:szCs w:val="20"/>
        </w:rPr>
      </w:pPr>
      <w:r w:rsidRPr="00081EFB">
        <w:rPr>
          <w:b/>
          <w:szCs w:val="20"/>
        </w:rPr>
        <w:t>Corte IDH. Caso de la Masacre de Pueblo Bello Vs. Colombia. Sentencia de 31 de enero de 2006. Serie C No. 140.</w:t>
      </w:r>
    </w:p>
    <w:p w14:paraId="42260A7C" w14:textId="1409CEAF" w:rsidR="003F0DE2" w:rsidRPr="003D49EB" w:rsidRDefault="003F0DE2" w:rsidP="009A4683">
      <w:pPr>
        <w:spacing w:after="100" w:afterAutospacing="1"/>
        <w:rPr>
          <w:rStyle w:val="EnelmismoCar"/>
        </w:rPr>
      </w:pPr>
      <w:r w:rsidRPr="003D49EB">
        <w:rPr>
          <w:szCs w:val="20"/>
        </w:rPr>
        <w:t>154.</w:t>
      </w:r>
      <w:r w:rsidRPr="003D49EB">
        <w:rPr>
          <w:szCs w:val="20"/>
        </w:rPr>
        <w:tab/>
        <w:t>Esta Corte ha señalado, en reiteradas oportunidades, que los familiares de las víctimas de violaciones de los derechos humanos pueden ser, a su vez, víctimas.</w:t>
      </w:r>
      <w:r w:rsidR="008B18CE" w:rsidRPr="003D49EB">
        <w:rPr>
          <w:szCs w:val="20"/>
        </w:rPr>
        <w:t xml:space="preserve"> </w:t>
      </w:r>
      <w:r w:rsidRPr="003D49EB">
        <w:rPr>
          <w:szCs w:val="20"/>
        </w:rPr>
        <w:t xml:space="preserve">En esta línea, este Tribunal ha considerado violado el derecho a la integridad psíquica y moral de los familiares de las víctimas con motivo del sufrimiento propio que éstos han padecido como producto de las circunstancias particulares de las violaciones perpetradas contra sus seres queridos y a causa de las posteriores actuaciones u omisiones de las autoridades estatales frente a los hechos. </w:t>
      </w:r>
      <w:r w:rsidR="006E5C73">
        <w:rPr>
          <w:rStyle w:val="EnelmismoCar"/>
        </w:rPr>
        <w:t>En similar sentido, ver entre otros</w:t>
      </w:r>
      <w:r w:rsidRPr="003D49EB">
        <w:rPr>
          <w:rStyle w:val="EnelmismoCar"/>
        </w:rPr>
        <w:t>:</w:t>
      </w:r>
      <w:r w:rsidR="00ED5598" w:rsidRPr="003D49EB">
        <w:rPr>
          <w:rStyle w:val="EnelmismoCar"/>
        </w:rPr>
        <w:t xml:space="preserve"> Caso</w:t>
      </w:r>
      <w:r w:rsidRPr="003D49EB">
        <w:rPr>
          <w:rStyle w:val="EnelmismoCar"/>
        </w:rPr>
        <w:t xml:space="preserve"> </w:t>
      </w:r>
      <w:proofErr w:type="spellStart"/>
      <w:r w:rsidRPr="003D49EB">
        <w:rPr>
          <w:rStyle w:val="EnelmismoCar"/>
        </w:rPr>
        <w:t>Ximenes</w:t>
      </w:r>
      <w:proofErr w:type="spellEnd"/>
      <w:r w:rsidRPr="003D49EB">
        <w:rPr>
          <w:rStyle w:val="EnelmismoCar"/>
        </w:rPr>
        <w:t xml:space="preserve"> </w:t>
      </w:r>
      <w:proofErr w:type="spellStart"/>
      <w:r w:rsidRPr="003D49EB">
        <w:rPr>
          <w:rStyle w:val="EnelmismoCar"/>
        </w:rPr>
        <w:t>Lopes</w:t>
      </w:r>
      <w:proofErr w:type="spellEnd"/>
      <w:r w:rsidRPr="003D49EB">
        <w:rPr>
          <w:rStyle w:val="EnelmismoCar"/>
        </w:rPr>
        <w:t xml:space="preserve"> vs. Brasil. Sentencia de 4 de julio de 2006, párr. 156; Caso Penal Miguel Castro </w:t>
      </w:r>
      <w:proofErr w:type="spellStart"/>
      <w:r w:rsidRPr="003D49EB">
        <w:rPr>
          <w:rStyle w:val="EnelmismoCar"/>
        </w:rPr>
        <w:t>Castro</w:t>
      </w:r>
      <w:proofErr w:type="spellEnd"/>
      <w:r w:rsidRPr="003D49EB">
        <w:rPr>
          <w:rStyle w:val="EnelmismoCar"/>
        </w:rPr>
        <w:t xml:space="preserve"> vs. Perú. Sentencia de 25 de noviembre de 2006, párr. 335; Caso de la Masacre de la Rochela vs. Colombia. Sentencia de 11 de mayo de 2007, párr. 137; Caso Fernández Ortega y otros vs. México. Sentencia de 30 de agosto de 2010, párr. 143; Caso Rosendo Cantú y Otras vs. México. Sentencia de 31 de agosto de 2010, párr. 143; Caso Familia Barrios vs. Venezuela. Sentencia de 24 de noviembre de 2011, párr. 301</w:t>
      </w:r>
      <w:r w:rsidR="006A10E3" w:rsidRPr="003D49EB">
        <w:rPr>
          <w:rStyle w:val="EnelmismoCar"/>
        </w:rPr>
        <w:t xml:space="preserve">; Caso V.R.P., V.P.C. y otros Vs. Nicaragua. Excepciones Preliminares, Fondo, Reparaciones y Costas. Sentencia de 8 de marzo </w:t>
      </w:r>
      <w:r w:rsidR="006A10E3" w:rsidRPr="003D49EB">
        <w:rPr>
          <w:rStyle w:val="EnelmismoCar"/>
        </w:rPr>
        <w:lastRenderedPageBreak/>
        <w:t xml:space="preserve">de 2018, párr. 327; </w:t>
      </w:r>
      <w:r w:rsidR="006A10E3" w:rsidRPr="003D49EB">
        <w:rPr>
          <w:rStyle w:val="EnelmismoCar"/>
          <w:rFonts w:eastAsia="Batang"/>
        </w:rPr>
        <w:t>Corte IDH. Caso Poblete Vilches y otros Vs. Chile. Fondo, Reparaciones y Costas. Sentencia de 8 de marzo de 2018, párr. 204.</w:t>
      </w:r>
    </w:p>
    <w:p w14:paraId="486D06FF" w14:textId="77777777" w:rsidR="003F0DE2" w:rsidRPr="003D49EB" w:rsidRDefault="003F0DE2" w:rsidP="009A4683">
      <w:pPr>
        <w:spacing w:after="100" w:afterAutospacing="1"/>
        <w:rPr>
          <w:b/>
          <w:szCs w:val="20"/>
        </w:rPr>
      </w:pPr>
      <w:r w:rsidRPr="003D49EB">
        <w:rPr>
          <w:szCs w:val="20"/>
        </w:rPr>
        <w:t>155.</w:t>
      </w:r>
      <w:r w:rsidRPr="003D49EB">
        <w:rPr>
          <w:szCs w:val="20"/>
        </w:rPr>
        <w:tab/>
        <w:t>En el presente caso, la Corte tuvo por probado que los paramilitares que incursionaron en Pueblo Bello saquearon algunas viviendas, maltrataron a sus ocupantes y sacaron de sus casas a un número indeterminado de hombres, a quienes llevaron a la plaza del pueblo. Asimismo, algunos miembros del grupo armado ingresaron a la iglesia ubicada frente a dicha plaza, donde ordenaron a las mujeres y niños que permanecieran en el interior y a los hombres que salieran y se dirigieran a la plaza.</w:t>
      </w:r>
      <w:r w:rsidR="008B18CE" w:rsidRPr="003D49EB">
        <w:rPr>
          <w:szCs w:val="20"/>
        </w:rPr>
        <w:t xml:space="preserve"> </w:t>
      </w:r>
      <w:r w:rsidRPr="003D49EB">
        <w:rPr>
          <w:szCs w:val="20"/>
        </w:rPr>
        <w:t>Varios de ellos presenciaron cómo los paramilitares se llevaban a sus familiares y fueron testigos de cómo sus familiares fueron amarrados, amordazados y obligados a abordar los dos camiones utilizados para el transporte de los paramilitares […]. Estos hechos constituyen actos contrarios a la integridad personal de los familiares de las personas desaparecidas y privadas de la vida.</w:t>
      </w:r>
    </w:p>
    <w:p w14:paraId="19B23736" w14:textId="77777777" w:rsidR="003F0DE2" w:rsidRPr="003D49EB" w:rsidRDefault="003F0DE2" w:rsidP="009A4683">
      <w:pPr>
        <w:spacing w:after="100" w:afterAutospacing="1"/>
        <w:rPr>
          <w:szCs w:val="20"/>
        </w:rPr>
      </w:pPr>
      <w:r w:rsidRPr="003D49EB">
        <w:rPr>
          <w:szCs w:val="20"/>
        </w:rPr>
        <w:t>156.</w:t>
      </w:r>
      <w:r w:rsidRPr="003D49EB">
        <w:rPr>
          <w:szCs w:val="20"/>
        </w:rPr>
        <w:tab/>
        <w:t>En los días siguientes de sucedidos los hechos, los familiares se dedicaron a buscar a sus seres queridos y a denunciar lo acontecido.</w:t>
      </w:r>
      <w:r w:rsidR="008B18CE" w:rsidRPr="003D49EB">
        <w:rPr>
          <w:szCs w:val="20"/>
        </w:rPr>
        <w:t xml:space="preserve"> </w:t>
      </w:r>
      <w:r w:rsidRPr="003D49EB">
        <w:rPr>
          <w:szCs w:val="20"/>
        </w:rPr>
        <w:t>Acudieron no sólo a los retenes y bases militares, sino también se dirigieron a las autoridades municipales de Turbo, ciudad donde permanecieron en condiciones muy precarias por varios días en espera de alguna respuesta.</w:t>
      </w:r>
      <w:r w:rsidR="008B18CE" w:rsidRPr="003D49EB">
        <w:rPr>
          <w:szCs w:val="20"/>
        </w:rPr>
        <w:t xml:space="preserve"> </w:t>
      </w:r>
      <w:r w:rsidRPr="003D49EB">
        <w:rPr>
          <w:szCs w:val="20"/>
        </w:rPr>
        <w:t>Al no obtenerla, regresaron a Pueblo Bello.</w:t>
      </w:r>
    </w:p>
    <w:p w14:paraId="64FCCC89" w14:textId="77777777" w:rsidR="003F0DE2" w:rsidRPr="003D49EB" w:rsidRDefault="003F0DE2" w:rsidP="009A4683">
      <w:pPr>
        <w:spacing w:after="100" w:afterAutospacing="1"/>
        <w:rPr>
          <w:b/>
          <w:szCs w:val="20"/>
        </w:rPr>
      </w:pPr>
      <w:r w:rsidRPr="003D49EB">
        <w:rPr>
          <w:szCs w:val="20"/>
        </w:rPr>
        <w:t>157.</w:t>
      </w:r>
      <w:r w:rsidRPr="003D49EB">
        <w:rPr>
          <w:szCs w:val="20"/>
        </w:rPr>
        <w:tab/>
        <w:t>Más de tres meses después de sucedidos los hechos del caso, varios de los familiares de las presuntas víctimas acudieron al Hospital de Montería para realizar un reconocimiento de cadáveres.</w:t>
      </w:r>
      <w:r w:rsidR="008B18CE" w:rsidRPr="003D49EB">
        <w:rPr>
          <w:szCs w:val="20"/>
        </w:rPr>
        <w:t xml:space="preserve"> </w:t>
      </w:r>
      <w:r w:rsidRPr="003D49EB">
        <w:rPr>
          <w:szCs w:val="20"/>
        </w:rPr>
        <w:t>Sin embargo, no contaron con apoyo por parte de las autoridades y, en su gran mayoría, no pudieron reconocer a sus familiares pues únicamente seis de las personas desaparecidas</w:t>
      </w:r>
      <w:r w:rsidRPr="003D49EB">
        <w:rPr>
          <w:b/>
          <w:szCs w:val="20"/>
        </w:rPr>
        <w:t xml:space="preserve"> </w:t>
      </w:r>
      <w:r w:rsidRPr="003D49EB">
        <w:rPr>
          <w:szCs w:val="20"/>
        </w:rPr>
        <w:t xml:space="preserve">fueron identificadas […]. Las condiciones en que se encontraban los cuerpos, descompuestos y en bolsas de plástico colocadas en el suelo, así como el hecho de haber observado el estado y heridas de los cadáveres, ha ocasionado en los familiares de las personas desaparecidas y privadas de la vida un gran sufrimiento y dolor al suponer que sus seres queridos hubieran corrido la misma suerte que aquéllos. </w:t>
      </w:r>
    </w:p>
    <w:p w14:paraId="513F8D45" w14:textId="77777777" w:rsidR="003F0DE2" w:rsidRPr="003D49EB" w:rsidRDefault="003F0DE2" w:rsidP="009A4683">
      <w:pPr>
        <w:spacing w:after="100" w:afterAutospacing="1"/>
        <w:rPr>
          <w:szCs w:val="20"/>
        </w:rPr>
      </w:pPr>
      <w:r w:rsidRPr="003D49EB">
        <w:rPr>
          <w:szCs w:val="20"/>
        </w:rPr>
        <w:t>158.</w:t>
      </w:r>
      <w:r w:rsidRPr="003D49EB">
        <w:rPr>
          <w:szCs w:val="20"/>
        </w:rPr>
        <w:tab/>
        <w:t>En el presente caso, no se ha llevado a cabo una investigación completa y efectiva sobre los hechos de enero de 1990.</w:t>
      </w:r>
      <w:r w:rsidR="008B18CE" w:rsidRPr="003D49EB">
        <w:rPr>
          <w:szCs w:val="20"/>
        </w:rPr>
        <w:t xml:space="preserve"> </w:t>
      </w:r>
      <w:r w:rsidRPr="003D49EB">
        <w:rPr>
          <w:szCs w:val="20"/>
        </w:rPr>
        <w:t xml:space="preserve">Además, surge del expediente que son pocos los familiares que fueron llamados a declarar por parte de las autoridades y que, además, su participación en los procedimientos internos ha sido muy limitada […]. Ya en otras oportunidades el Tribunal ha considerado que la ausencia de recursos efectivos es una fuente de sufrimiento y angustia adicionales para las víctimas y sus familiares. </w:t>
      </w:r>
    </w:p>
    <w:p w14:paraId="0E1B6051" w14:textId="77777777" w:rsidR="003F0DE2" w:rsidRPr="003D49EB" w:rsidRDefault="003F0DE2" w:rsidP="009A4683">
      <w:pPr>
        <w:spacing w:after="100" w:afterAutospacing="1"/>
        <w:rPr>
          <w:szCs w:val="20"/>
        </w:rPr>
      </w:pPr>
      <w:r w:rsidRPr="003D49EB">
        <w:rPr>
          <w:szCs w:val="20"/>
        </w:rPr>
        <w:t>160.</w:t>
      </w:r>
      <w:r w:rsidRPr="003D49EB">
        <w:rPr>
          <w:szCs w:val="20"/>
        </w:rPr>
        <w:tab/>
        <w:t>Como se observa, los familiares de las personas presuntamente desaparecidas y privadas de la vida han sufrido graves daños como consecuencia de los hechos de enero de 1990, de la desaparición y/o privación de la vida</w:t>
      </w:r>
      <w:r w:rsidRPr="003D49EB">
        <w:rPr>
          <w:b/>
          <w:szCs w:val="20"/>
        </w:rPr>
        <w:t xml:space="preserve"> </w:t>
      </w:r>
      <w:r w:rsidRPr="003D49EB">
        <w:rPr>
          <w:szCs w:val="20"/>
        </w:rPr>
        <w:t xml:space="preserve">de las mismas, por la falta de eficacia en la búsqueda de los cuerpos de los desaparecidos y, en algunos casos, por el miedo de vivir en Pueblo Bello. Todo lo anterior, además de haber afectado su integridad física, psíquica y moral, ha impactado sus relaciones sociales y laborales, ha alterado la dinámica de sus familias […]. </w:t>
      </w:r>
    </w:p>
    <w:p w14:paraId="4B4ACB82" w14:textId="77777777" w:rsidR="003F0DE2" w:rsidRPr="003D49EB" w:rsidRDefault="003F0DE2" w:rsidP="009A4683">
      <w:pPr>
        <w:spacing w:after="100" w:afterAutospacing="1"/>
        <w:rPr>
          <w:szCs w:val="20"/>
        </w:rPr>
      </w:pPr>
      <w:r w:rsidRPr="003D49EB">
        <w:rPr>
          <w:szCs w:val="20"/>
        </w:rPr>
        <w:t>161.</w:t>
      </w:r>
      <w:r w:rsidRPr="003D49EB">
        <w:rPr>
          <w:szCs w:val="20"/>
        </w:rPr>
        <w:tab/>
        <w:t xml:space="preserve">Más allá de lo anterior, el hecho de que aún hoy, dieciséis años después de sucedidos los hechos, 37 de esas 43 personas continúen desaparecidas, ha ocasionado que los familiares no hayan contado con la posibilidad de honrar apropiadamente a sus seres queridos fallecidos. En casos que involucraban la desaparición forzada de personas, el Tribunal ha afirmado que la violación del derecho a la integridad psíquica y moral de los familiares de la víctima es una consecuencia directa, precisamente, de ese fenómeno, que les causa un severo </w:t>
      </w:r>
      <w:r w:rsidRPr="003D49EB">
        <w:rPr>
          <w:szCs w:val="20"/>
        </w:rPr>
        <w:lastRenderedPageBreak/>
        <w:t>sufrimiento por el hecho mismo, que se acrecienta por no haber sido establecida toda la verdad de los hechos y como un efecto de la impunidad parcial.</w:t>
      </w:r>
      <w:r w:rsidR="008B18CE" w:rsidRPr="003D49EB">
        <w:rPr>
          <w:szCs w:val="20"/>
        </w:rPr>
        <w:t xml:space="preserve"> </w:t>
      </w:r>
    </w:p>
    <w:p w14:paraId="0F6E0A07" w14:textId="2B4FAE21" w:rsidR="003F0DE2" w:rsidRPr="003D49EB" w:rsidRDefault="00EF65CE" w:rsidP="009A4683">
      <w:pPr>
        <w:spacing w:after="100" w:afterAutospacing="1"/>
        <w:rPr>
          <w:b/>
          <w:szCs w:val="20"/>
        </w:rPr>
      </w:pPr>
      <w:r w:rsidRPr="003D49EB">
        <w:rPr>
          <w:b/>
          <w:szCs w:val="20"/>
        </w:rPr>
        <w:t xml:space="preserve">Corte IDH. Caso de las Masacres de </w:t>
      </w:r>
      <w:proofErr w:type="spellStart"/>
      <w:r w:rsidRPr="003D49EB">
        <w:rPr>
          <w:b/>
          <w:szCs w:val="20"/>
        </w:rPr>
        <w:t>Ituango</w:t>
      </w:r>
      <w:proofErr w:type="spellEnd"/>
      <w:r w:rsidRPr="003D49EB">
        <w:rPr>
          <w:b/>
          <w:szCs w:val="20"/>
        </w:rPr>
        <w:t xml:space="preserve"> Vs. Colombia. Sentencia de 1 de julio de 2006. Serie C No. 148.</w:t>
      </w:r>
      <w:r w:rsidR="003F0DE2" w:rsidRPr="003D49EB">
        <w:rPr>
          <w:b/>
          <w:szCs w:val="20"/>
        </w:rPr>
        <w:t xml:space="preserve"> </w:t>
      </w:r>
    </w:p>
    <w:p w14:paraId="0B83732E" w14:textId="77777777" w:rsidR="003F0DE2" w:rsidRPr="003D49EB" w:rsidRDefault="003F0DE2" w:rsidP="009A4683">
      <w:pPr>
        <w:spacing w:after="100" w:afterAutospacing="1"/>
        <w:rPr>
          <w:szCs w:val="20"/>
        </w:rPr>
      </w:pPr>
      <w:r w:rsidRPr="003D49EB">
        <w:rPr>
          <w:szCs w:val="20"/>
        </w:rPr>
        <w:t>258.</w:t>
      </w:r>
      <w:r w:rsidRPr="003D49EB">
        <w:rPr>
          <w:szCs w:val="20"/>
        </w:rPr>
        <w:tab/>
        <w:t>Los familiares de las víctimas ejecutadas en La Granja y el Aro sufrieron un fuerte impacto psicológico y han padecido un profundo dolor y angustia como consecuencia directa de las ejecuciones de sus familiares, así como de las circunstancias propias de las masacres.</w:t>
      </w:r>
      <w:r w:rsidR="008B18CE" w:rsidRPr="003D49EB">
        <w:rPr>
          <w:szCs w:val="20"/>
        </w:rPr>
        <w:t xml:space="preserve"> </w:t>
      </w:r>
      <w:r w:rsidRPr="003D49EB">
        <w:rPr>
          <w:szCs w:val="20"/>
        </w:rPr>
        <w:t>Dentro de dichas circunstancias se encuentra el haber presenciado las ejecuciones de sus familiares por hombres fuertemente armados, escuchando los gritos de auxilio mientras eran objeto de tratos crueles e inhumanos, y el miedo causado por la violencia extrema con que fueron ejecutados. El Tribunal considera que todo lo anterior ha causado una afectación al tejido social de los familiares de las personas ejecutadas en La Granja y El Aro.</w:t>
      </w:r>
      <w:r w:rsidR="008B18CE" w:rsidRPr="003D49EB">
        <w:rPr>
          <w:szCs w:val="20"/>
        </w:rPr>
        <w:t xml:space="preserve"> </w:t>
      </w:r>
      <w:r w:rsidRPr="003D49EB">
        <w:rPr>
          <w:szCs w:val="20"/>
        </w:rPr>
        <w:t>Además, un aspecto que generó en los pobladores un grado mayor de indefensión y angustia fue la acusación que el grupo paramilitar hizo sobre las presuntas víctimas y sobre la población en general de ser colaboradores de la guerrilla.</w:t>
      </w:r>
    </w:p>
    <w:p w14:paraId="4CE66DDF" w14:textId="77777777" w:rsidR="003F0DE2" w:rsidRPr="003D49EB" w:rsidRDefault="003F0DE2" w:rsidP="009A4683">
      <w:pPr>
        <w:spacing w:after="100" w:afterAutospacing="1"/>
        <w:rPr>
          <w:szCs w:val="20"/>
        </w:rPr>
      </w:pPr>
      <w:r w:rsidRPr="003D49EB">
        <w:rPr>
          <w:szCs w:val="20"/>
        </w:rPr>
        <w:t xml:space="preserve"> 260.</w:t>
      </w:r>
      <w:r w:rsidRPr="003D49EB">
        <w:rPr>
          <w:szCs w:val="20"/>
        </w:rPr>
        <w:tab/>
        <w:t>Asimismo, la Corte considera especialmente grave que los propios familiares, sin contar con las autoridades correspondientes, tuvieron que recoger los cuerpos de sus seres queridos para enterrarlos, sin poder dar a sus familiares una sepultura acorde con sus tradiciones, valores o creencias. Además, el grupo paramilitar actuó con absoluta libertad sobre la población con la aquiescencia o tolerancia de las autoridades.</w:t>
      </w:r>
      <w:r w:rsidR="008B18CE" w:rsidRPr="003D49EB">
        <w:rPr>
          <w:szCs w:val="20"/>
        </w:rPr>
        <w:t xml:space="preserve"> </w:t>
      </w:r>
    </w:p>
    <w:p w14:paraId="3F11ECC3" w14:textId="77777777" w:rsidR="003F0DE2" w:rsidRPr="003D49EB" w:rsidRDefault="003F0DE2" w:rsidP="009A4683">
      <w:pPr>
        <w:spacing w:after="100" w:afterAutospacing="1"/>
        <w:rPr>
          <w:szCs w:val="20"/>
        </w:rPr>
      </w:pPr>
      <w:r w:rsidRPr="003D49EB">
        <w:rPr>
          <w:szCs w:val="20"/>
        </w:rPr>
        <w:t>261.</w:t>
      </w:r>
      <w:r w:rsidRPr="003D49EB">
        <w:rPr>
          <w:szCs w:val="20"/>
        </w:rPr>
        <w:tab/>
        <w:t>En el presente caso, tampoco ha habido una investigación completa y efectiva sobre los hechos, como se analizará en la sección correspondiente a los artículos 8 y 25 de la Convención Americana […]. En otros casos, tal ausencia de recursos efectivos ha sido considerada por la Corte como fuente de sufrimiento y angustia adicionales para las presuntas víctimas y sus familiares.</w:t>
      </w:r>
    </w:p>
    <w:p w14:paraId="2DB4CC22" w14:textId="77777777" w:rsidR="003F0DE2" w:rsidRPr="003D49EB" w:rsidRDefault="003F0DE2" w:rsidP="009A4683">
      <w:pPr>
        <w:spacing w:after="100" w:afterAutospacing="1"/>
        <w:rPr>
          <w:szCs w:val="20"/>
        </w:rPr>
      </w:pPr>
      <w:r w:rsidRPr="003D49EB">
        <w:rPr>
          <w:szCs w:val="20"/>
        </w:rPr>
        <w:t>262.</w:t>
      </w:r>
      <w:r w:rsidRPr="003D49EB">
        <w:rPr>
          <w:szCs w:val="20"/>
        </w:rPr>
        <w:tab/>
        <w:t xml:space="preserve">Más allá de lo anterior, en un caso como el de las masacres de </w:t>
      </w:r>
      <w:proofErr w:type="spellStart"/>
      <w:r w:rsidRPr="003D49EB">
        <w:rPr>
          <w:szCs w:val="20"/>
        </w:rPr>
        <w:t>Ituango</w:t>
      </w:r>
      <w:proofErr w:type="spellEnd"/>
      <w:r w:rsidRPr="003D49EB">
        <w:rPr>
          <w:szCs w:val="20"/>
        </w:rPr>
        <w:t>, la Corte considera que no se necesita prueba para demostrar las graves afectaciones a la integridad psíquica de los familiares de las víctimas ejecutadas.</w:t>
      </w:r>
    </w:p>
    <w:p w14:paraId="0C07FF49" w14:textId="77777777" w:rsidR="003F0DE2" w:rsidRPr="003D49EB" w:rsidRDefault="003F0DE2" w:rsidP="009A4683">
      <w:pPr>
        <w:spacing w:after="100" w:afterAutospacing="1"/>
        <w:rPr>
          <w:szCs w:val="20"/>
        </w:rPr>
      </w:pPr>
      <w:r w:rsidRPr="003D49EB">
        <w:rPr>
          <w:szCs w:val="20"/>
        </w:rPr>
        <w:t>264.</w:t>
      </w:r>
      <w:r w:rsidRPr="003D49EB">
        <w:rPr>
          <w:szCs w:val="20"/>
        </w:rPr>
        <w:tab/>
        <w:t>De conformidad con su jurisprudencia, este Tribunal considera como familiares inmediatos a aquellas personas debidamente identificados que sean descendientes o ascendientes directos de la presunta víctima, a saber, madres, padres, hijas e hijos, así como hermanas o hermanos, cónyuges o compañeros permanentes, o aquellos determinados por la Corte con motivo de las particularidades del caso y la existencia de algún vínculo especial entre el familiar y la víctima o los hechos del caso.</w:t>
      </w:r>
      <w:r w:rsidR="008B18CE" w:rsidRPr="003D49EB">
        <w:rPr>
          <w:szCs w:val="20"/>
        </w:rPr>
        <w:t xml:space="preserve"> </w:t>
      </w:r>
      <w:r w:rsidRPr="003D49EB">
        <w:rPr>
          <w:szCs w:val="20"/>
        </w:rPr>
        <w:t>En el presente caso, dichas personas han acreditado su parentesco mediante algún documento expedido por autoridad competente, como lo son certificados de nacimiento, actas de bautismo o certificados de defunción, o mediante otro tipo de pruebas, tales como sentencias en procesos internos, declaraciones juradas o peritajes.</w:t>
      </w:r>
    </w:p>
    <w:p w14:paraId="29D93936" w14:textId="391BAA1D" w:rsidR="003F0DE2" w:rsidRPr="00081EFB" w:rsidRDefault="00AE6F5A" w:rsidP="009A4683">
      <w:pPr>
        <w:spacing w:after="100" w:afterAutospacing="1"/>
        <w:rPr>
          <w:b/>
          <w:szCs w:val="20"/>
        </w:rPr>
      </w:pPr>
      <w:r w:rsidRPr="00081EFB">
        <w:rPr>
          <w:b/>
          <w:szCs w:val="20"/>
        </w:rPr>
        <w:t xml:space="preserve">Corte IDH. Caso </w:t>
      </w:r>
      <w:proofErr w:type="spellStart"/>
      <w:r w:rsidRPr="00081EFB">
        <w:rPr>
          <w:b/>
          <w:szCs w:val="20"/>
        </w:rPr>
        <w:t>Ximenes</w:t>
      </w:r>
      <w:proofErr w:type="spellEnd"/>
      <w:r w:rsidRPr="00081EFB">
        <w:rPr>
          <w:b/>
          <w:szCs w:val="20"/>
        </w:rPr>
        <w:t xml:space="preserve"> </w:t>
      </w:r>
      <w:proofErr w:type="spellStart"/>
      <w:r w:rsidRPr="00081EFB">
        <w:rPr>
          <w:b/>
          <w:szCs w:val="20"/>
        </w:rPr>
        <w:t>Lopes</w:t>
      </w:r>
      <w:proofErr w:type="spellEnd"/>
      <w:r w:rsidRPr="00081EFB">
        <w:rPr>
          <w:b/>
          <w:szCs w:val="20"/>
        </w:rPr>
        <w:t xml:space="preserve"> Vs. Brasil. Sentencia de 4 de julio de 2006. Serie C No. 149.</w:t>
      </w:r>
      <w:r w:rsidR="003F0DE2" w:rsidRPr="00081EFB">
        <w:rPr>
          <w:b/>
          <w:szCs w:val="20"/>
        </w:rPr>
        <w:t xml:space="preserve"> </w:t>
      </w:r>
    </w:p>
    <w:p w14:paraId="0D748E1C" w14:textId="77777777" w:rsidR="003F0DE2" w:rsidRPr="003D49EB" w:rsidRDefault="003F0DE2" w:rsidP="009A4683">
      <w:pPr>
        <w:spacing w:after="100" w:afterAutospacing="1"/>
        <w:rPr>
          <w:szCs w:val="20"/>
        </w:rPr>
      </w:pPr>
      <w:r w:rsidRPr="003D49EB">
        <w:rPr>
          <w:szCs w:val="20"/>
        </w:rPr>
        <w:t>157.</w:t>
      </w:r>
      <w:r w:rsidRPr="003D49EB">
        <w:rPr>
          <w:szCs w:val="20"/>
        </w:rPr>
        <w:tab/>
        <w:t xml:space="preserve">Analizadas las circunstancias del caso, con base en la Convención Americana, y a la luz del principio </w:t>
      </w:r>
      <w:proofErr w:type="spellStart"/>
      <w:r w:rsidRPr="003D49EB">
        <w:rPr>
          <w:i/>
          <w:szCs w:val="20"/>
        </w:rPr>
        <w:t>iura</w:t>
      </w:r>
      <w:proofErr w:type="spellEnd"/>
      <w:r w:rsidRPr="003D49EB">
        <w:rPr>
          <w:i/>
          <w:szCs w:val="20"/>
        </w:rPr>
        <w:t xml:space="preserve"> </w:t>
      </w:r>
      <w:proofErr w:type="spellStart"/>
      <w:r w:rsidRPr="003D49EB">
        <w:rPr>
          <w:i/>
          <w:szCs w:val="20"/>
        </w:rPr>
        <w:t>novit</w:t>
      </w:r>
      <w:proofErr w:type="spellEnd"/>
      <w:r w:rsidRPr="003D49EB">
        <w:rPr>
          <w:i/>
          <w:szCs w:val="20"/>
        </w:rPr>
        <w:t xml:space="preserve"> curia</w:t>
      </w:r>
      <w:r w:rsidRPr="003D49EB">
        <w:rPr>
          <w:szCs w:val="20"/>
        </w:rPr>
        <w:t xml:space="preserve">, la Corte considera probado el sufrimiento de la señora Albertina Viana </w:t>
      </w:r>
      <w:proofErr w:type="spellStart"/>
      <w:r w:rsidRPr="003D49EB">
        <w:rPr>
          <w:szCs w:val="20"/>
        </w:rPr>
        <w:t>Lopes</w:t>
      </w:r>
      <w:proofErr w:type="spellEnd"/>
      <w:r w:rsidRPr="003D49EB">
        <w:rPr>
          <w:szCs w:val="20"/>
        </w:rPr>
        <w:t xml:space="preserve">, madre del señor </w:t>
      </w:r>
      <w:proofErr w:type="spellStart"/>
      <w:r w:rsidRPr="003D49EB">
        <w:rPr>
          <w:szCs w:val="20"/>
        </w:rPr>
        <w:t>Damião</w:t>
      </w:r>
      <w:proofErr w:type="spellEnd"/>
      <w:r w:rsidRPr="003D49EB">
        <w:rPr>
          <w:szCs w:val="20"/>
        </w:rPr>
        <w:t xml:space="preserve"> </w:t>
      </w:r>
      <w:proofErr w:type="spellStart"/>
      <w:r w:rsidRPr="003D49EB">
        <w:rPr>
          <w:szCs w:val="20"/>
        </w:rPr>
        <w:t>Ximenes</w:t>
      </w:r>
      <w:proofErr w:type="spellEnd"/>
      <w:r w:rsidRPr="003D49EB">
        <w:rPr>
          <w:szCs w:val="20"/>
        </w:rPr>
        <w:t xml:space="preserve"> </w:t>
      </w:r>
      <w:proofErr w:type="spellStart"/>
      <w:r w:rsidRPr="003D49EB">
        <w:rPr>
          <w:szCs w:val="20"/>
        </w:rPr>
        <w:t>Lopes</w:t>
      </w:r>
      <w:proofErr w:type="spellEnd"/>
      <w:r w:rsidRPr="003D49EB">
        <w:rPr>
          <w:szCs w:val="20"/>
        </w:rPr>
        <w:t>, por el tratamiento dado a éste por el Estado, que culminó con el fallecimiento de su hijo.</w:t>
      </w:r>
      <w:r w:rsidR="008B18CE" w:rsidRPr="003D49EB">
        <w:rPr>
          <w:szCs w:val="20"/>
        </w:rPr>
        <w:t xml:space="preserve"> </w:t>
      </w:r>
      <w:r w:rsidRPr="003D49EB">
        <w:rPr>
          <w:szCs w:val="20"/>
        </w:rPr>
        <w:lastRenderedPageBreak/>
        <w:t xml:space="preserve">Fue ella quien dejó a su hijo bajo custodia de la Casa de Reposo </w:t>
      </w:r>
      <w:proofErr w:type="spellStart"/>
      <w:r w:rsidRPr="003D49EB">
        <w:rPr>
          <w:szCs w:val="20"/>
        </w:rPr>
        <w:t>Guararapes</w:t>
      </w:r>
      <w:proofErr w:type="spellEnd"/>
      <w:r w:rsidRPr="003D49EB">
        <w:rPr>
          <w:szCs w:val="20"/>
        </w:rPr>
        <w:t xml:space="preserve"> por encontrarse enfermo, en la espera de su recuperación.</w:t>
      </w:r>
      <w:r w:rsidR="008B18CE" w:rsidRPr="003D49EB">
        <w:rPr>
          <w:szCs w:val="20"/>
        </w:rPr>
        <w:t xml:space="preserve"> </w:t>
      </w:r>
      <w:r w:rsidRPr="003D49EB">
        <w:rPr>
          <w:szCs w:val="20"/>
        </w:rPr>
        <w:t>Tres días después de la internación, sin embargo, lo encontró en condiciones deplorables y no pudo hacer nada por él.</w:t>
      </w:r>
      <w:r w:rsidR="008B18CE" w:rsidRPr="003D49EB">
        <w:rPr>
          <w:szCs w:val="20"/>
        </w:rPr>
        <w:t xml:space="preserve"> </w:t>
      </w:r>
      <w:r w:rsidRPr="003D49EB">
        <w:rPr>
          <w:szCs w:val="20"/>
        </w:rPr>
        <w:t xml:space="preserve">Ella se enteró del fallecimiento de su hijo al llegar a su casa </w:t>
      </w:r>
      <w:proofErr w:type="spellStart"/>
      <w:r w:rsidRPr="003D49EB">
        <w:rPr>
          <w:szCs w:val="20"/>
        </w:rPr>
        <w:t>depués</w:t>
      </w:r>
      <w:proofErr w:type="spellEnd"/>
      <w:r w:rsidRPr="003D49EB">
        <w:rPr>
          <w:szCs w:val="20"/>
        </w:rPr>
        <w:t xml:space="preserve"> de haberlo dejado en el hospital.</w:t>
      </w:r>
      <w:r w:rsidR="008B18CE" w:rsidRPr="003D49EB">
        <w:rPr>
          <w:szCs w:val="20"/>
        </w:rPr>
        <w:t xml:space="preserve"> </w:t>
      </w:r>
      <w:r w:rsidRPr="003D49EB">
        <w:rPr>
          <w:szCs w:val="20"/>
        </w:rPr>
        <w:t>Todo esto le causó gran dolor y tristeza.</w:t>
      </w:r>
      <w:r w:rsidR="008B18CE" w:rsidRPr="003D49EB">
        <w:rPr>
          <w:szCs w:val="20"/>
        </w:rPr>
        <w:t xml:space="preserve"> </w:t>
      </w:r>
      <w:r w:rsidRPr="003D49EB">
        <w:rPr>
          <w:szCs w:val="20"/>
        </w:rPr>
        <w:t>Después de la muerte de su hijo ha padecido fuertes depresiones y problemas de salud.</w:t>
      </w:r>
      <w:r w:rsidR="008B18CE" w:rsidRPr="003D49EB">
        <w:rPr>
          <w:szCs w:val="20"/>
        </w:rPr>
        <w:t xml:space="preserve"> </w:t>
      </w:r>
      <w:r w:rsidRPr="003D49EB">
        <w:rPr>
          <w:szCs w:val="20"/>
        </w:rPr>
        <w:t>[…]</w:t>
      </w:r>
    </w:p>
    <w:p w14:paraId="4B7C7235" w14:textId="79A0394B" w:rsidR="003F0DE2" w:rsidRPr="003D49EB" w:rsidRDefault="00081EFB" w:rsidP="009A4683">
      <w:pPr>
        <w:spacing w:after="100" w:afterAutospacing="1"/>
        <w:rPr>
          <w:szCs w:val="20"/>
        </w:rPr>
      </w:pPr>
      <w:r w:rsidRPr="00081EFB">
        <w:rPr>
          <w:b/>
          <w:szCs w:val="20"/>
        </w:rPr>
        <w:t xml:space="preserve">Corte IDH. Caso del Penal Miguel Castro </w:t>
      </w:r>
      <w:proofErr w:type="spellStart"/>
      <w:r w:rsidRPr="00081EFB">
        <w:rPr>
          <w:b/>
          <w:szCs w:val="20"/>
        </w:rPr>
        <w:t>Castro</w:t>
      </w:r>
      <w:proofErr w:type="spellEnd"/>
      <w:r w:rsidRPr="00081EFB">
        <w:rPr>
          <w:b/>
          <w:szCs w:val="20"/>
        </w:rPr>
        <w:t xml:space="preserve"> Vs. Perú. Fondo, Reparaciones y Costas. Sentencia de 25 de noviembre de 2006. Serie C No. 160</w:t>
      </w:r>
      <w:r w:rsidR="003F0DE2" w:rsidRPr="003D49EB">
        <w:rPr>
          <w:b/>
          <w:szCs w:val="20"/>
        </w:rPr>
        <w:t xml:space="preserve">. </w:t>
      </w:r>
    </w:p>
    <w:p w14:paraId="00363147" w14:textId="77777777" w:rsidR="003F0DE2" w:rsidRPr="003D49EB" w:rsidRDefault="003F0DE2" w:rsidP="009A4683">
      <w:pPr>
        <w:spacing w:after="100" w:afterAutospacing="1"/>
        <w:rPr>
          <w:szCs w:val="20"/>
        </w:rPr>
      </w:pPr>
      <w:r w:rsidRPr="003D49EB">
        <w:rPr>
          <w:szCs w:val="20"/>
        </w:rPr>
        <w:t>336.</w:t>
      </w:r>
      <w:r w:rsidRPr="003D49EB">
        <w:rPr>
          <w:szCs w:val="20"/>
        </w:rPr>
        <w:tab/>
        <w:t>De la prueba se ha podido establecer que 28 familiares de los internos que estuvieron en el exterior del penal entre el 6 y el 9 de mayo de 1992, en espera de información oficial sobre lo que sucedía, fueron insultados, golpeados y obligados a alejarse mediante disparos, agua y bombas lacrimógenas […]. Además de recibir este trato violento por parte de las autoridades estatales, los mencionados familiares tuvieron que soportar el dolor y la angustia de presenciar la magnitud del ataque dirigido a los pabellones del penal en que estaban sus familiares, lo cual incluso los llevó a pensar que sus familiares podrían haber muerto […]. Las referidas acciones estatales, totalmente injustificadas, generaron daños a la integridad física, psíquica y moral en perjuicio de dichos familiares de los internos. […]</w:t>
      </w:r>
    </w:p>
    <w:p w14:paraId="3A0D11FD" w14:textId="77777777" w:rsidR="003F0DE2" w:rsidRPr="003D49EB" w:rsidRDefault="003F0DE2" w:rsidP="009A4683">
      <w:pPr>
        <w:spacing w:after="100" w:afterAutospacing="1"/>
        <w:rPr>
          <w:szCs w:val="20"/>
        </w:rPr>
      </w:pPr>
      <w:r w:rsidRPr="003D49EB">
        <w:rPr>
          <w:szCs w:val="20"/>
        </w:rPr>
        <w:t>337.</w:t>
      </w:r>
      <w:r w:rsidRPr="003D49EB">
        <w:rPr>
          <w:szCs w:val="20"/>
        </w:rPr>
        <w:tab/>
        <w:t>Asimismo, de la prueba se ha logrado determinar que, una vez que concluyó el ataque, 36 familiares de los internos tuvieron que afrontar nuevos malos tratos e importantes omisiones por parte de las autoridades estatales cuando buscaron información respecto a lo ocurrido en el penal, quiénes estaban vivos y quiénes muertos, a dónde los habían trasladado y el estado de salud de sus parientes […]. Los referidos familiares de los internos tuvieron que recorrer hospitales y morgues en busca de sus seres queridos, sin recibir la atención debida en esos establecimientos estatales. Los nombres de esos 36 familiares se encuentran incluidos en el Anexo 2 de víctimas de la presente Sentencia que para estos efectos forma parte de la misma.</w:t>
      </w:r>
    </w:p>
    <w:p w14:paraId="2277DC4C" w14:textId="77777777" w:rsidR="003F0DE2" w:rsidRPr="003D49EB" w:rsidRDefault="003F0DE2" w:rsidP="009A4683">
      <w:pPr>
        <w:spacing w:after="100" w:afterAutospacing="1"/>
        <w:rPr>
          <w:szCs w:val="20"/>
        </w:rPr>
      </w:pPr>
      <w:r w:rsidRPr="003D49EB">
        <w:rPr>
          <w:szCs w:val="20"/>
        </w:rPr>
        <w:t>341.</w:t>
      </w:r>
      <w:r w:rsidRPr="003D49EB">
        <w:rPr>
          <w:szCs w:val="20"/>
        </w:rPr>
        <w:tab/>
        <w:t xml:space="preserve">La Corte considera que este tipo de medidas de incomunicación causó una particular afectación en los niños por la privación del contacto y relación con sus madres internas, y por ello presume dicho sufrimiento respecto de los hijos de las internas que tenían menos de 18 años de edad en la época de la incomunicación […]. Se ha probado que se encontraba en tal condición </w:t>
      </w:r>
      <w:proofErr w:type="spellStart"/>
      <w:r w:rsidRPr="003D49EB">
        <w:rPr>
          <w:szCs w:val="20"/>
        </w:rPr>
        <w:t>Yovanka</w:t>
      </w:r>
      <w:proofErr w:type="spellEnd"/>
      <w:r w:rsidRPr="003D49EB">
        <w:rPr>
          <w:szCs w:val="20"/>
        </w:rPr>
        <w:t xml:space="preserve"> Ruth Quispe </w:t>
      </w:r>
      <w:proofErr w:type="spellStart"/>
      <w:r w:rsidRPr="003D49EB">
        <w:rPr>
          <w:szCs w:val="20"/>
        </w:rPr>
        <w:t>Quispe</w:t>
      </w:r>
      <w:proofErr w:type="spellEnd"/>
      <w:r w:rsidRPr="003D49EB">
        <w:rPr>
          <w:szCs w:val="20"/>
        </w:rPr>
        <w:t xml:space="preserve">, hija de la interna Sabina Virgen Quispe Rojas, y Gabriel Said </w:t>
      </w:r>
      <w:proofErr w:type="spellStart"/>
      <w:r w:rsidRPr="003D49EB">
        <w:rPr>
          <w:szCs w:val="20"/>
        </w:rPr>
        <w:t>Challco</w:t>
      </w:r>
      <w:proofErr w:type="spellEnd"/>
      <w:r w:rsidRPr="003D49EB">
        <w:rPr>
          <w:szCs w:val="20"/>
        </w:rPr>
        <w:t xml:space="preserve"> Hurtado, </w:t>
      </w:r>
      <w:r w:rsidR="00984FCA" w:rsidRPr="003D49EB">
        <w:rPr>
          <w:szCs w:val="20"/>
        </w:rPr>
        <w:t xml:space="preserve">hijo de la interna Eva </w:t>
      </w:r>
      <w:proofErr w:type="spellStart"/>
      <w:r w:rsidR="00984FCA" w:rsidRPr="003D49EB">
        <w:rPr>
          <w:szCs w:val="20"/>
        </w:rPr>
        <w:t>Challco</w:t>
      </w:r>
      <w:proofErr w:type="spellEnd"/>
      <w:r w:rsidR="00984FCA" w:rsidRPr="003D49EB">
        <w:rPr>
          <w:szCs w:val="20"/>
        </w:rPr>
        <w:t xml:space="preserve"> […]</w:t>
      </w:r>
      <w:r w:rsidRPr="003D49EB">
        <w:rPr>
          <w:szCs w:val="20"/>
        </w:rPr>
        <w:t>. Debido a que la Corte no cuenta con la prueba necesaria para determinar la identidad de todos los hijos de las internas que en esa época eran menores de 18 años, es preciso que dichas personas se presenten ante las autoridades competentes del Estado, dentro de los 8 meses siguientes a la notificación de esta Sentencia y demuestren su filiación y edad que determine que estuvieron en el referido supuesto y, por tanto, son víctimas de dicha violación.</w:t>
      </w:r>
    </w:p>
    <w:p w14:paraId="6B4B191D" w14:textId="7A05F8E4" w:rsidR="003F0DE2" w:rsidRPr="003D49EB" w:rsidRDefault="00FE0DAB" w:rsidP="009A4683">
      <w:pPr>
        <w:spacing w:after="100" w:afterAutospacing="1"/>
        <w:rPr>
          <w:szCs w:val="20"/>
        </w:rPr>
      </w:pPr>
      <w:r w:rsidRPr="003D49EB">
        <w:rPr>
          <w:b/>
          <w:szCs w:val="20"/>
        </w:rPr>
        <w:t>Corte IDH. Caso Bueno Alves Vs. Argentina. Fondo, Reparaciones y Costas. Sentencia de 11 de mayo de 2007. Serie C No. 164.</w:t>
      </w:r>
      <w:r w:rsidR="003F0DE2" w:rsidRPr="003D49EB">
        <w:rPr>
          <w:szCs w:val="20"/>
        </w:rPr>
        <w:tab/>
      </w:r>
    </w:p>
    <w:p w14:paraId="3B0F4EA5" w14:textId="77777777" w:rsidR="003F0DE2" w:rsidRPr="003D49EB" w:rsidRDefault="003F0DE2" w:rsidP="009A4683">
      <w:pPr>
        <w:spacing w:after="100" w:afterAutospacing="1"/>
        <w:rPr>
          <w:szCs w:val="20"/>
        </w:rPr>
      </w:pPr>
      <w:r w:rsidRPr="003D49EB">
        <w:rPr>
          <w:szCs w:val="20"/>
        </w:rPr>
        <w:t>102.</w:t>
      </w:r>
      <w:r w:rsidRPr="003D49EB">
        <w:rPr>
          <w:szCs w:val="20"/>
        </w:rPr>
        <w:tab/>
        <w:t>Esta Corte ha afirmado, en otras oportunidades, que los familiares de las víctimas de violaciones de los derechos humanos pueden ser, a su vez, víctimas. Entre los extremos a considerar se encuentran la existencia de un estrecho vínculo familiar, las circunstancias particulares de la relación con la víctima, la forma en que el familiar fue testigo de los eventos violatorios y se involucró en la búsqueda de justicia y la respuesta ofrecida por el Estado a las gestiones realizadas.</w:t>
      </w:r>
    </w:p>
    <w:p w14:paraId="5548D300" w14:textId="77777777" w:rsidR="003F0DE2" w:rsidRPr="003D49EB" w:rsidRDefault="003F0DE2" w:rsidP="009A4683">
      <w:pPr>
        <w:spacing w:after="100" w:afterAutospacing="1"/>
        <w:rPr>
          <w:szCs w:val="20"/>
        </w:rPr>
      </w:pPr>
      <w:r w:rsidRPr="003D49EB">
        <w:rPr>
          <w:szCs w:val="20"/>
        </w:rPr>
        <w:lastRenderedPageBreak/>
        <w:t>103.</w:t>
      </w:r>
      <w:r w:rsidRPr="003D49EB">
        <w:rPr>
          <w:szCs w:val="20"/>
        </w:rPr>
        <w:tab/>
        <w:t>Para apoyar la vinculación afectiva necesaria para considerar a los familiares como víctimas de hechos violatorios al artículo 5 de la Convención Americana en este caso, solamente hay evidencia de esa relación entre el señor Bueno Alves y su madre, ex esposa e hijos, y no con sus hermanos, nietos, yerno y nuera. Tampoco resulta suficiente la prueba aportada para imputar la muerte de la madre y el hermano de la víctima a los hechos padecidos por ésta.</w:t>
      </w:r>
    </w:p>
    <w:p w14:paraId="65D396A4" w14:textId="77777777" w:rsidR="003F0DE2" w:rsidRPr="003D49EB" w:rsidRDefault="003F0DE2" w:rsidP="009A4683">
      <w:pPr>
        <w:spacing w:after="100" w:afterAutospacing="1"/>
        <w:rPr>
          <w:szCs w:val="20"/>
        </w:rPr>
      </w:pPr>
      <w:r w:rsidRPr="003D49EB">
        <w:rPr>
          <w:szCs w:val="20"/>
        </w:rPr>
        <w:t>104.</w:t>
      </w:r>
      <w:r w:rsidRPr="003D49EB">
        <w:rPr>
          <w:szCs w:val="20"/>
        </w:rPr>
        <w:tab/>
        <w:t>En vista de lo anterior, el Tribunal considera que únicamente los integrantes del</w:t>
      </w:r>
      <w:r w:rsidR="008B18CE" w:rsidRPr="003D49EB">
        <w:rPr>
          <w:szCs w:val="20"/>
        </w:rPr>
        <w:t xml:space="preserve"> </w:t>
      </w:r>
      <w:r w:rsidRPr="003D49EB">
        <w:rPr>
          <w:szCs w:val="20"/>
        </w:rPr>
        <w:t>núcleo familiar más íntimo del señor Bueno Alves, esto es, su madre, ex</w:t>
      </w:r>
      <w:r w:rsidRPr="003D49EB" w:rsidDel="007511B0">
        <w:rPr>
          <w:szCs w:val="20"/>
        </w:rPr>
        <w:t xml:space="preserve"> </w:t>
      </w:r>
      <w:r w:rsidRPr="003D49EB">
        <w:rPr>
          <w:szCs w:val="20"/>
        </w:rPr>
        <w:t>esposa e hijos, son víctimas de la violación del artículo 5.1 de la Convención Americana, en relación con el artículo 1.1 de la misma, por el perjuicio emocional que padecieron por las torturas que aquél sufrió a manos de agentes del Estado y la posterior denegación de justicia.</w:t>
      </w:r>
    </w:p>
    <w:p w14:paraId="01470426" w14:textId="70A15DB4" w:rsidR="00CE15B5" w:rsidRPr="003D49EB" w:rsidRDefault="009329C3" w:rsidP="009A4683">
      <w:pPr>
        <w:spacing w:after="100" w:afterAutospacing="1"/>
        <w:rPr>
          <w:b/>
          <w:bCs/>
          <w:szCs w:val="20"/>
        </w:rPr>
      </w:pPr>
      <w:r w:rsidRPr="009329C3">
        <w:rPr>
          <w:b/>
          <w:bCs/>
          <w:szCs w:val="20"/>
        </w:rPr>
        <w:t>Corte IDH. Caso Albán Cornejo y otros Vs. Ecuador. Fondo, Reparaciones y Costas. Sentencia de 22 de noviembre de 2007. Serie C No. 171.</w:t>
      </w:r>
      <w:r>
        <w:rPr>
          <w:rStyle w:val="Refdenotaalpie"/>
          <w:b/>
          <w:bCs/>
          <w:szCs w:val="20"/>
        </w:rPr>
        <w:footnoteReference w:id="60"/>
      </w:r>
    </w:p>
    <w:p w14:paraId="1C76CEDE" w14:textId="77777777" w:rsidR="00025BF6" w:rsidRPr="003D49EB" w:rsidRDefault="00025BF6" w:rsidP="009A4683">
      <w:pPr>
        <w:spacing w:after="100" w:afterAutospacing="1"/>
        <w:rPr>
          <w:szCs w:val="20"/>
          <w:lang w:val="es-ES_tradnl"/>
        </w:rPr>
      </w:pPr>
      <w:r w:rsidRPr="003D49EB">
        <w:rPr>
          <w:szCs w:val="20"/>
          <w:lang w:val="es-ES_tradnl"/>
        </w:rPr>
        <w:t>46.</w:t>
      </w:r>
      <w:r w:rsidRPr="003D49EB">
        <w:rPr>
          <w:szCs w:val="20"/>
          <w:lang w:val="es-ES_tradnl"/>
        </w:rPr>
        <w:tab/>
        <w:t>En otras oportunidades, el Tribunal ha considerado violado el derecho a la integridad psíquica y moral de algunos familiares con motivo del sufrimiento que estos han padecido a causa de las actuaciones u omisiones de las autoridades estatales. Entre los extremos a considerar en todo caso se encuentran la respuesta ofrecida por el Estado a las gestiones realizadas para obtener justicia y a la existencia de un estrecho vínculo familiar.</w:t>
      </w:r>
    </w:p>
    <w:p w14:paraId="14EAE2CF" w14:textId="77777777" w:rsidR="00CE15B5" w:rsidRPr="003D49EB" w:rsidRDefault="00025BF6" w:rsidP="009A4683">
      <w:pPr>
        <w:spacing w:after="100" w:afterAutospacing="1"/>
        <w:rPr>
          <w:szCs w:val="20"/>
          <w:lang w:val="es-ES_tradnl"/>
        </w:rPr>
      </w:pPr>
      <w:r w:rsidRPr="003D49EB">
        <w:rPr>
          <w:szCs w:val="20"/>
          <w:lang w:val="es-ES_tradnl"/>
        </w:rPr>
        <w:t>47.</w:t>
      </w:r>
      <w:r w:rsidRPr="003D49EB">
        <w:rPr>
          <w:szCs w:val="20"/>
          <w:lang w:val="es-ES_tradnl"/>
        </w:rPr>
        <w:tab/>
        <w:t>En el presente caso está probada la estrecha vinculación afectiva de Carmen Cornejo de Albán y de Bismarck Albán Sánchez con su hija para considerarlos como víctimas de hechos violatorios al artículo 5 de la Convención Americana, y en particular, la situación de Carmen Cornejo de Albán, quién se ha dedicado a la búsqueda de justicia a propósito de las circunstancias en que ocurrió la muerte de su hija.</w:t>
      </w:r>
    </w:p>
    <w:p w14:paraId="120BDB1C" w14:textId="77777777" w:rsidR="00025BF6" w:rsidRPr="003D49EB" w:rsidRDefault="00025BF6" w:rsidP="009A4683">
      <w:pPr>
        <w:spacing w:after="100" w:afterAutospacing="1"/>
        <w:rPr>
          <w:szCs w:val="20"/>
          <w:lang w:val="es-ES_tradnl"/>
        </w:rPr>
      </w:pPr>
      <w:r w:rsidRPr="003D49EB">
        <w:rPr>
          <w:szCs w:val="20"/>
          <w:lang w:val="es-ES_tradnl"/>
        </w:rPr>
        <w:t>50.</w:t>
      </w:r>
      <w:r w:rsidRPr="003D49EB">
        <w:rPr>
          <w:szCs w:val="20"/>
          <w:lang w:val="es-ES_tradnl"/>
        </w:rPr>
        <w:tab/>
        <w:t>Por lo expuesto, la Corte considera que</w:t>
      </w:r>
      <w:r w:rsidRPr="003D49EB">
        <w:rPr>
          <w:b/>
          <w:szCs w:val="20"/>
          <w:lang w:val="es-ES_tradnl"/>
        </w:rPr>
        <w:t xml:space="preserve"> </w:t>
      </w:r>
      <w:r w:rsidRPr="003D49EB">
        <w:rPr>
          <w:szCs w:val="20"/>
          <w:lang w:val="es-ES_tradnl"/>
        </w:rPr>
        <w:t>la falta de respuesta judicial para esclarecer la muerte de Laura Albán afectó la int</w:t>
      </w:r>
      <w:r w:rsidR="00802E7A" w:rsidRPr="003D49EB">
        <w:rPr>
          <w:szCs w:val="20"/>
          <w:lang w:val="es-ES_tradnl"/>
        </w:rPr>
        <w:t>egridad personal de sus padres,</w:t>
      </w:r>
      <w:r w:rsidRPr="003D49EB">
        <w:rPr>
          <w:szCs w:val="20"/>
          <w:lang w:val="es-ES_tradnl"/>
        </w:rPr>
        <w:t xml:space="preserve"> Carmen Cornejo de Albán y de Bismarck Albán Sánchez, lo que hace responsable al Estado por la violación del derecho consagrado en el artículo 5.1 de la Convención, en relación con el artículo 1.1 de la misma, en perjuicio de las referidas personas.</w:t>
      </w:r>
    </w:p>
    <w:p w14:paraId="6BE169F8" w14:textId="2C6C46AF" w:rsidR="003F0DE2" w:rsidRPr="003D49EB" w:rsidRDefault="00274EE6" w:rsidP="009A4683">
      <w:pPr>
        <w:spacing w:after="100" w:afterAutospacing="1"/>
        <w:rPr>
          <w:b/>
          <w:szCs w:val="20"/>
        </w:rPr>
      </w:pPr>
      <w:r w:rsidRPr="00274EE6">
        <w:rPr>
          <w:b/>
          <w:szCs w:val="20"/>
        </w:rPr>
        <w:t>Corte IDH. Caso Valle Jaramillo y otros Vs. Colombia. Fondo, Reparaciones y Costas. Sentencia de 27 de noviembre de 2008. Serie C No. 192.</w:t>
      </w:r>
      <w:r w:rsidR="003F0DE2" w:rsidRPr="003D49EB">
        <w:rPr>
          <w:b/>
          <w:szCs w:val="20"/>
        </w:rPr>
        <w:t xml:space="preserve"> </w:t>
      </w:r>
    </w:p>
    <w:p w14:paraId="41AB3868" w14:textId="77777777" w:rsidR="003F0DE2" w:rsidRPr="003D49EB" w:rsidRDefault="003F0DE2" w:rsidP="009A4683">
      <w:pPr>
        <w:spacing w:after="100" w:afterAutospacing="1"/>
        <w:rPr>
          <w:szCs w:val="20"/>
        </w:rPr>
      </w:pPr>
      <w:r w:rsidRPr="003D49EB">
        <w:rPr>
          <w:szCs w:val="20"/>
        </w:rPr>
        <w:t>119.</w:t>
      </w:r>
      <w:r w:rsidRPr="003D49EB">
        <w:rPr>
          <w:szCs w:val="20"/>
        </w:rPr>
        <w:tab/>
        <w:t xml:space="preserve">Al respecto, la Corte considera pertinente precisar algunos aspectos de su jurisprudencia en relación con la determinación de violaciones a la integridad personal de familiares de víctimas de ciertas violaciones de los derechos humanos u otras personas con vínculos estrechos a tales víctimas. En efecto, el Tribunal considera que se puede declarar la violación del derecho a la integridad psíquica y moral de familiares directos de víctimas de ciertas violaciones de derechos humanos aplicando una presunción </w:t>
      </w:r>
      <w:r w:rsidRPr="003D49EB">
        <w:rPr>
          <w:i/>
          <w:szCs w:val="20"/>
        </w:rPr>
        <w:t>iuris tantum</w:t>
      </w:r>
      <w:r w:rsidRPr="003D49EB">
        <w:rPr>
          <w:szCs w:val="20"/>
        </w:rPr>
        <w:t xml:space="preserve"> respecto de madres y padres, hijas e hijos, esposos y esposas, compañeros y compañeras permanentes (en adelante “familiares </w:t>
      </w:r>
      <w:r w:rsidRPr="003D49EB">
        <w:rPr>
          <w:szCs w:val="20"/>
        </w:rPr>
        <w:lastRenderedPageBreak/>
        <w:t>directos”), siempre que ello responda a las circunstancias particulares en el caso, conforme ha sucedido, por ejemplo, en los casos de algunas masacres, desapariciones forzadas de personas, ejecuciones extrajudiciales. En el caso de tales familiares directos, corresponde al Estado desvirtuar dicha presunción.</w:t>
      </w:r>
      <w:r w:rsidR="008B18CE" w:rsidRPr="003D49EB">
        <w:rPr>
          <w:szCs w:val="20"/>
        </w:rPr>
        <w:t xml:space="preserve"> </w:t>
      </w:r>
      <w:r w:rsidRPr="003D49EB">
        <w:rPr>
          <w:szCs w:val="20"/>
        </w:rPr>
        <w:t>En los demás supuestos, el Tribunal deberá analizar si de la prueba que consta en el expediente se acredita una violación del derecho a la integridad personal de la presunta víctima, sea o no familiar de alguna otra víctima en el caso.</w:t>
      </w:r>
      <w:r w:rsidR="008B18CE" w:rsidRPr="003D49EB">
        <w:rPr>
          <w:szCs w:val="20"/>
        </w:rPr>
        <w:t xml:space="preserve"> </w:t>
      </w:r>
      <w:r w:rsidRPr="003D49EB">
        <w:rPr>
          <w:szCs w:val="20"/>
        </w:rPr>
        <w:t>Respecto de aquellas personas sobre las cuales el Tribunal no presumirá una afectación del derecho a la integridad personal por no ser familiares directos, la Corte evaluará, por ejemplo, si existe un vínculo particularmente estrecho entre éstos y las víctimas del caso que permita a la Corte declarar la violación del derecho a la integridad personal.</w:t>
      </w:r>
      <w:r w:rsidR="008B18CE" w:rsidRPr="003D49EB">
        <w:rPr>
          <w:szCs w:val="20"/>
        </w:rPr>
        <w:t xml:space="preserve"> </w:t>
      </w:r>
      <w:r w:rsidRPr="003D49EB">
        <w:rPr>
          <w:szCs w:val="20"/>
        </w:rPr>
        <w:t xml:space="preserve">El Tribunal también podrá evaluar si las presuntas víctimas se han involucrado en la búsqueda de justicia en el caso concreto, o si han padecido un sufrimiento propio como producto de los hechos del caso o a causa de las posteriores actuaciones u omisiones de las autoridades estatales frente a los hechos. </w:t>
      </w:r>
    </w:p>
    <w:p w14:paraId="609FBFD3" w14:textId="77777777" w:rsidR="003F0DE2" w:rsidRPr="003D49EB" w:rsidRDefault="003F0DE2" w:rsidP="009A4683">
      <w:pPr>
        <w:spacing w:after="100" w:afterAutospacing="1"/>
        <w:rPr>
          <w:szCs w:val="20"/>
        </w:rPr>
      </w:pPr>
      <w:r w:rsidRPr="003D49EB">
        <w:rPr>
          <w:szCs w:val="20"/>
        </w:rPr>
        <w:t>132.</w:t>
      </w:r>
      <w:r w:rsidRPr="003D49EB">
        <w:rPr>
          <w:szCs w:val="20"/>
        </w:rPr>
        <w:tab/>
        <w:t xml:space="preserve">Al respecto, la Corte observa que, si bien las declaraciones señaladas anteriormente hacen alusión al impacto emocional que supuestamente sufrió “la familia” de Carlos Fernando Jaramillo Correa con motivo de los hechos del presente caso, tales afirmaciones resultan generales y no hacen referencia específica a la afectación particular que los hechos del caso </w:t>
      </w:r>
      <w:proofErr w:type="spellStart"/>
      <w:r w:rsidRPr="003D49EB">
        <w:rPr>
          <w:szCs w:val="20"/>
        </w:rPr>
        <w:t>alegadamente</w:t>
      </w:r>
      <w:proofErr w:type="spellEnd"/>
      <w:r w:rsidRPr="003D49EB">
        <w:rPr>
          <w:szCs w:val="20"/>
        </w:rPr>
        <w:t xml:space="preserve"> causaron en las condiciones de existencia de cada uno de los familiares de Carlos Fernando Jaramillo Correa que no fueron incluidos dentro del reconocimiento de responsabilidad del Estado.</w:t>
      </w:r>
      <w:r w:rsidR="008B18CE" w:rsidRPr="003D49EB">
        <w:rPr>
          <w:szCs w:val="20"/>
        </w:rPr>
        <w:t xml:space="preserve"> </w:t>
      </w:r>
      <w:r w:rsidRPr="003D49EB">
        <w:rPr>
          <w:szCs w:val="20"/>
        </w:rPr>
        <w:t xml:space="preserve">Por lo tanto, dado que no se ha aportado prueba acerca de las circunstancias particulares de la relación con la víctima, del sufrimiento adicional que hubieran padecido como producto de las violaciones perpetradas en el presente caso o a causa de las posteriores actuaciones u omisiones de las autoridades estatales frente a los hechos, por ejemplo, el Tribunal considera que no se ha comprobado la violación del derecho a la integridad personal en perjuicio de: </w:t>
      </w:r>
      <w:r w:rsidR="00E103E1" w:rsidRPr="003D49EB">
        <w:rPr>
          <w:szCs w:val="20"/>
        </w:rPr>
        <w:t>[…].</w:t>
      </w:r>
      <w:r w:rsidRPr="003D49EB">
        <w:rPr>
          <w:szCs w:val="20"/>
        </w:rPr>
        <w:t xml:space="preserve"> </w:t>
      </w:r>
    </w:p>
    <w:p w14:paraId="6B8EFDE2" w14:textId="1CD5FA43" w:rsidR="003F0DE2" w:rsidRPr="003D49EB" w:rsidRDefault="00B32B2B" w:rsidP="009A4683">
      <w:pPr>
        <w:spacing w:after="100" w:afterAutospacing="1"/>
        <w:rPr>
          <w:b/>
          <w:szCs w:val="20"/>
        </w:rPr>
      </w:pPr>
      <w:r w:rsidRPr="00B32B2B">
        <w:rPr>
          <w:b/>
          <w:szCs w:val="20"/>
        </w:rPr>
        <w:t xml:space="preserve">Corte IDH. Caso </w:t>
      </w:r>
      <w:proofErr w:type="spellStart"/>
      <w:r w:rsidRPr="00B32B2B">
        <w:rPr>
          <w:b/>
          <w:szCs w:val="20"/>
        </w:rPr>
        <w:t>Kawas</w:t>
      </w:r>
      <w:proofErr w:type="spellEnd"/>
      <w:r w:rsidRPr="00B32B2B">
        <w:rPr>
          <w:b/>
          <w:szCs w:val="20"/>
        </w:rPr>
        <w:t xml:space="preserve"> Fernández Vs. Honduras. Fondo, Reparaciones y Costas. Sentencia de 3 de abril de 2009. Serie C No. 196.</w:t>
      </w:r>
      <w:r>
        <w:rPr>
          <w:rStyle w:val="Refdenotaalpie"/>
          <w:b/>
          <w:szCs w:val="20"/>
        </w:rPr>
        <w:footnoteReference w:id="61"/>
      </w:r>
    </w:p>
    <w:p w14:paraId="67AEA715" w14:textId="77777777" w:rsidR="003F0DE2" w:rsidRPr="003D49EB" w:rsidRDefault="003F0DE2" w:rsidP="009A4683">
      <w:pPr>
        <w:spacing w:after="100" w:afterAutospacing="1"/>
        <w:rPr>
          <w:szCs w:val="20"/>
        </w:rPr>
      </w:pPr>
      <w:r w:rsidRPr="003D49EB">
        <w:rPr>
          <w:szCs w:val="20"/>
        </w:rPr>
        <w:t xml:space="preserve">128. </w:t>
      </w:r>
      <w:r w:rsidRPr="003D49EB">
        <w:rPr>
          <w:szCs w:val="20"/>
        </w:rPr>
        <w:tab/>
        <w:t xml:space="preserve">En varias oportunidades, la Corte Interamericana ha declarado la violación del derecho a la integridad personal de familiares de víctimas de ciertas violaciones de los derechos humanos u otras personas con vínculos estrechos con aquellas. Al respecto, en el caso </w:t>
      </w:r>
      <w:r w:rsidRPr="003D49EB">
        <w:rPr>
          <w:i/>
          <w:szCs w:val="20"/>
        </w:rPr>
        <w:t>Valle Jaramillo y otros Vs. Colombia</w:t>
      </w:r>
      <w:r w:rsidRPr="003D49EB">
        <w:rPr>
          <w:szCs w:val="20"/>
        </w:rPr>
        <w:t xml:space="preserve"> este Tribunal consideró que se puede declarar la violación del derecho a la integridad psíquica y moral de familiares directos de víctimas de ciertas violaciones de derechos humanos aplicando una presunción </w:t>
      </w:r>
      <w:r w:rsidRPr="003D49EB">
        <w:rPr>
          <w:i/>
          <w:szCs w:val="20"/>
        </w:rPr>
        <w:t>iuris tantum</w:t>
      </w:r>
      <w:r w:rsidRPr="003D49EB">
        <w:rPr>
          <w:szCs w:val="20"/>
        </w:rPr>
        <w:t xml:space="preserve"> respecto de madres y padres, hijas e hijos, esposos y esposas, compañeros y compañeras permanentes (en adelante “familiares directos”), siempre que ello responda a las circunstancias particulares en el caso. En el caso de tales familiares directos, corresponde al Estado desvirtuar dicha presunción. </w:t>
      </w:r>
    </w:p>
    <w:p w14:paraId="324CC4B2" w14:textId="77777777" w:rsidR="003F0DE2" w:rsidRPr="003D49EB" w:rsidRDefault="003F0DE2" w:rsidP="009A4683">
      <w:pPr>
        <w:spacing w:after="100" w:afterAutospacing="1"/>
        <w:rPr>
          <w:szCs w:val="20"/>
        </w:rPr>
      </w:pPr>
      <w:r w:rsidRPr="003D49EB">
        <w:rPr>
          <w:szCs w:val="20"/>
        </w:rPr>
        <w:t>129.</w:t>
      </w:r>
      <w:r w:rsidRPr="003D49EB">
        <w:rPr>
          <w:szCs w:val="20"/>
        </w:rPr>
        <w:tab/>
        <w:t xml:space="preserve">En los demás supuestos, el Tribunal deberá analizar si de la prueba que consta en el expediente se acredita una violación del derecho a la integridad personal de la presunta víctima, sea o no familiar de alguna otra víctima en el caso. Respecto de aquellas personas sobre quienes el Tribunal no presumirá una afectación del derecho a la integridad personal por no ser familiares directos, la Corte evaluará, por ejemplo, </w:t>
      </w:r>
      <w:r w:rsidRPr="003D49EB">
        <w:rPr>
          <w:szCs w:val="20"/>
        </w:rPr>
        <w:lastRenderedPageBreak/>
        <w:t>si existe un vínculo particularmente estrecho entre éstos y las víctimas del caso que permita a la Corte declarar la violación del de</w:t>
      </w:r>
      <w:r w:rsidR="00025BF6" w:rsidRPr="003D49EB">
        <w:rPr>
          <w:szCs w:val="20"/>
        </w:rPr>
        <w:t>recho a la integridad personal.</w:t>
      </w:r>
      <w:r w:rsidRPr="003D49EB">
        <w:rPr>
          <w:szCs w:val="20"/>
        </w:rPr>
        <w:t xml:space="preserve"> El Tribunal también podrá evaluar si las presuntas víctimas se han involucrado en la búsqueda de justicia en el caso concreto, o si han padecido un sufrimiento propio como producto de los hechos del caso o a causa de las posteriores actuaciones u omisiones de las autoridades estatales frente a los hechos. </w:t>
      </w:r>
    </w:p>
    <w:p w14:paraId="5A17F6E9" w14:textId="5346D96F" w:rsidR="003F0DE2" w:rsidRPr="003D49EB" w:rsidRDefault="00B32B2B" w:rsidP="009A4683">
      <w:pPr>
        <w:spacing w:after="100" w:afterAutospacing="1"/>
        <w:rPr>
          <w:b/>
          <w:szCs w:val="20"/>
        </w:rPr>
      </w:pPr>
      <w:r w:rsidRPr="00B32B2B">
        <w:rPr>
          <w:b/>
          <w:szCs w:val="20"/>
        </w:rPr>
        <w:t>Corte IDH. Caso González y otras (“Campo Algodonero”) Vs. México. Excepción Preliminar, Fondo, Reparaciones y Costas. Sentencia de 16 de noviembre de 2009. Serie C No. 205</w:t>
      </w:r>
      <w:r w:rsidR="00802E7A" w:rsidRPr="003D49EB">
        <w:rPr>
          <w:b/>
          <w:szCs w:val="20"/>
        </w:rPr>
        <w:t>.</w:t>
      </w:r>
      <w:r w:rsidRPr="000612C4">
        <w:rPr>
          <w:rStyle w:val="Refdenotaalpie"/>
          <w:rFonts w:cstheme="minorHAnsi"/>
        </w:rPr>
        <w:footnoteReference w:id="62"/>
      </w:r>
    </w:p>
    <w:p w14:paraId="646835D0" w14:textId="77777777" w:rsidR="003F0DE2" w:rsidRPr="003D49EB" w:rsidRDefault="003F0DE2" w:rsidP="009A4683">
      <w:pPr>
        <w:spacing w:after="100" w:afterAutospacing="1"/>
        <w:rPr>
          <w:szCs w:val="20"/>
          <w:lang w:val="es-EC"/>
        </w:rPr>
      </w:pPr>
      <w:r w:rsidRPr="003D49EB">
        <w:rPr>
          <w:szCs w:val="20"/>
          <w:lang w:val="es-EC"/>
        </w:rPr>
        <w:t>415.</w:t>
      </w:r>
      <w:r w:rsidRPr="003D49EB">
        <w:rPr>
          <w:szCs w:val="20"/>
          <w:lang w:val="es-EC"/>
        </w:rPr>
        <w:tab/>
        <w:t>La Corte ha declarado en otras oportunidades que los familiares de las víctimas de violaciones de los derechos humanos pueden ser, a su vez, víctimas.</w:t>
      </w:r>
    </w:p>
    <w:p w14:paraId="0CE55F5B" w14:textId="04DFB120" w:rsidR="003F0DE2" w:rsidRPr="003D49EB" w:rsidRDefault="003F0DE2" w:rsidP="009A4683">
      <w:pPr>
        <w:spacing w:after="100" w:afterAutospacing="1"/>
        <w:rPr>
          <w:szCs w:val="20"/>
          <w:lang w:val="es-EC"/>
        </w:rPr>
      </w:pPr>
      <w:r w:rsidRPr="003D49EB">
        <w:rPr>
          <w:szCs w:val="20"/>
          <w:lang w:val="es-EC"/>
        </w:rPr>
        <w:t>419.</w:t>
      </w:r>
      <w:r w:rsidRPr="003D49EB">
        <w:rPr>
          <w:szCs w:val="20"/>
          <w:lang w:val="es-EC"/>
        </w:rPr>
        <w:tab/>
        <w:t>Del acervo probatorio se desprende que tras la desaparición de las tres víctimas, los familiares tuvieron que emprender diferentes actuaciones para buscar a las desaparecidas ante la inactividad de las autoridades, las cuales al mismo tiempo emitían juicios reprochables en contra de las jóvenes, causando con ello sufrimiento a los familiares. Así, los informes periciales indicaron que los juicios emitidos por las autoridades, en el sentido de que la culpabilidad de las desapariciones radicaba en la conducta de las jóvenes, “producen confusión y angustia en los familiares, especialmente en aquellos en [los] que les consta que la vida de sus hijas no concuerda con estas versiones”. Asimismo, “[l]as madres insisten en el agravio experimentado por la negligencia de las autoridades y la inhumanidad con que han sido tratadas, subrayando […] el padecimiento agravado por ese maltrato, por desalentar la denuncia que tal vez hubiera permitido encontrarlas con vida y por la falta de información durante todo el proceso”.</w:t>
      </w:r>
    </w:p>
    <w:p w14:paraId="5687E406" w14:textId="13947C1A" w:rsidR="003F0DE2" w:rsidRPr="003D49EB" w:rsidRDefault="003F0DE2" w:rsidP="009A4683">
      <w:pPr>
        <w:spacing w:after="100" w:afterAutospacing="1"/>
        <w:rPr>
          <w:szCs w:val="20"/>
          <w:lang w:val="es-EC"/>
        </w:rPr>
      </w:pPr>
      <w:r w:rsidRPr="003D49EB">
        <w:rPr>
          <w:szCs w:val="20"/>
          <w:lang w:val="es-EC"/>
        </w:rPr>
        <w:t>420.</w:t>
      </w:r>
      <w:r w:rsidRPr="003D49EB">
        <w:rPr>
          <w:szCs w:val="20"/>
          <w:lang w:val="es-EC"/>
        </w:rPr>
        <w:tab/>
        <w:t>Por otra parte, los familiares sufrieron en su salud mental y emocional por la falta de diligencia en la determinación de la identidad de los restos encontrados y la falta de información sobre las actuaciones realizadas por parte de las autoridades. Así, “[l]a no identificación de los cuerpos [por el lapso de varios años] ha impedido a las familias vivir los ritos que acompañan la muerte y el entierro de su ser querido, alterando bruscamente su proceso de duelo. No han podido sanar las heridas, obligadas a vivir con un dolor permanente que se reaviva cada vez que las noticias anuncian el hallazgo de nuevos cadáveres”.</w:t>
      </w:r>
    </w:p>
    <w:p w14:paraId="36439C56" w14:textId="149AD971" w:rsidR="003F0DE2" w:rsidRPr="003D49EB" w:rsidRDefault="003F0DE2" w:rsidP="009A4683">
      <w:pPr>
        <w:spacing w:after="100" w:afterAutospacing="1"/>
        <w:rPr>
          <w:szCs w:val="20"/>
          <w:lang w:val="es-EC"/>
        </w:rPr>
      </w:pPr>
      <w:r w:rsidRPr="003D49EB">
        <w:rPr>
          <w:szCs w:val="20"/>
          <w:lang w:val="es-EC"/>
        </w:rPr>
        <w:t>421.</w:t>
      </w:r>
      <w:r w:rsidRPr="003D49EB">
        <w:rPr>
          <w:szCs w:val="20"/>
          <w:lang w:val="es-EC"/>
        </w:rPr>
        <w:tab/>
        <w:t>La falta de investigaciones tendientes a hallar la verdad, juzgar y, en su caso, sancionar a los responsables “agrava la experiencia de impotencia, desamparo e indefensión de estas familias”.</w:t>
      </w:r>
    </w:p>
    <w:p w14:paraId="5AD16722" w14:textId="77777777" w:rsidR="003F0DE2" w:rsidRPr="003D49EB" w:rsidRDefault="003F0DE2" w:rsidP="009A4683">
      <w:pPr>
        <w:spacing w:after="100" w:afterAutospacing="1"/>
        <w:rPr>
          <w:szCs w:val="20"/>
          <w:lang w:val="es-EC"/>
        </w:rPr>
      </w:pPr>
      <w:r w:rsidRPr="003D49EB">
        <w:rPr>
          <w:szCs w:val="20"/>
          <w:lang w:val="es-EC"/>
        </w:rPr>
        <w:t>424.</w:t>
      </w:r>
      <w:r w:rsidRPr="003D49EB">
        <w:rPr>
          <w:szCs w:val="20"/>
          <w:lang w:val="es-EC"/>
        </w:rPr>
        <w:tab/>
        <w:t xml:space="preserve">En virtud de lo expuesto, la Corte concluye que la violación de la integridad personal de los familiares de las víctimas se ha configurado por las circunstancias sufridas durante todo el proceso desde que las jóvenes Esmeralda Herrera Monreal, Claudia Ivette González y Laura Berenice Ramos Monárrez desaparecieron, así como por el contexto general en el que ocurrieron los hechos. La irregular y deficiente actuación de las autoridades del Estado a la hora de buscar el paradero de las víctimas una vez reportada su desaparición, la mala diligencia en la determinación </w:t>
      </w:r>
      <w:r w:rsidRPr="003D49EB">
        <w:rPr>
          <w:szCs w:val="20"/>
          <w:lang w:val="es-EC"/>
        </w:rPr>
        <w:lastRenderedPageBreak/>
        <w:t>de la identidad de los restos, de las circunstancias y causas de las muertes, el retraso en la entrega de los cadáveres, la ausencia de información sobre el desarrollo de las investigaciones y el trato dado a los familiares durante todo el proceso de búsqueda de verdad ha provocado en ellos un gran sufrimiento y angustia. Todo ello, a criterio del Tribunal, configura un trato degradante, contrario al artículo 5.1 y 5.2 de la Convención Americana, en relación con el artículo 1.1</w:t>
      </w:r>
      <w:r w:rsidR="00991CCD" w:rsidRPr="003D49EB">
        <w:rPr>
          <w:szCs w:val="20"/>
          <w:lang w:val="es-EC"/>
        </w:rPr>
        <w:t xml:space="preserve"> […]</w:t>
      </w:r>
    </w:p>
    <w:p w14:paraId="2E6E5FAA" w14:textId="029D9083" w:rsidR="003F0DE2" w:rsidRPr="003D49EB" w:rsidRDefault="00F01102" w:rsidP="009A4683">
      <w:pPr>
        <w:spacing w:after="100" w:afterAutospacing="1"/>
        <w:rPr>
          <w:b/>
          <w:szCs w:val="20"/>
        </w:rPr>
      </w:pPr>
      <w:r w:rsidRPr="00F01102">
        <w:rPr>
          <w:b/>
          <w:szCs w:val="20"/>
        </w:rPr>
        <w:t>Corte IDH. Caso Cepeda Vargas Vs. Colombia. Excepciones Preliminares, Fondo, Reparaciones y Costas. Sentencia de 26 de mayo de 2010. Serie C No. 213.</w:t>
      </w:r>
      <w:r>
        <w:rPr>
          <w:rStyle w:val="Refdenotaalpie"/>
          <w:b/>
          <w:szCs w:val="20"/>
        </w:rPr>
        <w:footnoteReference w:id="63"/>
      </w:r>
      <w:r w:rsidR="003F0DE2" w:rsidRPr="003D49EB">
        <w:rPr>
          <w:b/>
          <w:szCs w:val="20"/>
        </w:rPr>
        <w:t xml:space="preserve"> </w:t>
      </w:r>
    </w:p>
    <w:p w14:paraId="5B58CE34" w14:textId="77777777" w:rsidR="003F0DE2" w:rsidRPr="003D49EB" w:rsidRDefault="003F0DE2" w:rsidP="009A4683">
      <w:pPr>
        <w:spacing w:after="100" w:afterAutospacing="1"/>
        <w:rPr>
          <w:szCs w:val="20"/>
        </w:rPr>
      </w:pPr>
      <w:r w:rsidRPr="003D49EB">
        <w:rPr>
          <w:szCs w:val="20"/>
        </w:rPr>
        <w:t>195.</w:t>
      </w:r>
      <w:r w:rsidRPr="003D49EB">
        <w:rPr>
          <w:szCs w:val="20"/>
        </w:rPr>
        <w:tab/>
        <w:t xml:space="preserve">En otros casos el Tribunal ha considerado violado el derecho a la integridad psíquica y moral de familiares de víctimas con motivo del sufrimiento adicional que estos han padecido a causa de las posteriores actuaciones u omisiones de las autoridades estatales frente a los hechos. En el presente caso, la Corte toma en cuenta la situación atravesada por los familiares como consecuencia de las amenazas que han enfrentado con posterioridad a la ejecución del Senador Cepeda, como método para impedir, entre otros posibles motivos, que impulsaran la búsqueda de justicia, en particular la investigación y sanción de todos los responsables de los hechos, por lo que se configuró una violación al derecho a la integridad personal en perjuicio del señor Iván Cepeda Castro y las señoras Claudia Girón y María </w:t>
      </w:r>
      <w:proofErr w:type="spellStart"/>
      <w:r w:rsidRPr="003D49EB">
        <w:rPr>
          <w:szCs w:val="20"/>
        </w:rPr>
        <w:t>Estella</w:t>
      </w:r>
      <w:proofErr w:type="spellEnd"/>
      <w:r w:rsidRPr="003D49EB">
        <w:rPr>
          <w:szCs w:val="20"/>
        </w:rPr>
        <w:t xml:space="preserve"> Cepeda. </w:t>
      </w:r>
    </w:p>
    <w:p w14:paraId="3D66CA9D" w14:textId="77777777" w:rsidR="00BD210B" w:rsidRPr="00F01102" w:rsidRDefault="00BD210B" w:rsidP="00F01102">
      <w:pPr>
        <w:spacing w:after="100" w:afterAutospacing="1"/>
        <w:rPr>
          <w:b/>
          <w:szCs w:val="20"/>
        </w:rPr>
      </w:pPr>
      <w:r w:rsidRPr="00F01102">
        <w:rPr>
          <w:b/>
          <w:szCs w:val="20"/>
        </w:rPr>
        <w:t xml:space="preserve">Corte IDH. Caso Fernández Ortega y otros Vs. México. Excepción Preliminar, Fondo, Reparaciones y Costas. Sentencia de 30 de agosto de 2010. Serie C No. 215. </w:t>
      </w:r>
    </w:p>
    <w:p w14:paraId="7F5CAC3F" w14:textId="61560E13" w:rsidR="003F0DE2" w:rsidRPr="003D49EB" w:rsidRDefault="003F0DE2" w:rsidP="009A4683">
      <w:pPr>
        <w:spacing w:after="100" w:afterAutospacing="1"/>
        <w:rPr>
          <w:szCs w:val="20"/>
        </w:rPr>
      </w:pPr>
      <w:r w:rsidRPr="003D49EB">
        <w:rPr>
          <w:szCs w:val="20"/>
        </w:rPr>
        <w:t>144.</w:t>
      </w:r>
      <w:r w:rsidRPr="003D49EB">
        <w:rPr>
          <w:szCs w:val="20"/>
        </w:rPr>
        <w:tab/>
        <w:t xml:space="preserve">En lo que respecta al señor Prisciliano Sierra, del acervo probatorio se desprende que sufrió diversas afectaciones que se manifestaron en sentimientos de miedo, ira y desconfianza relacionados con la búsqueda de justicia y la impunidad en que se encuentra el caso. Por otra parte, la Corte no encuentra que sean imputables al Estado las afectaciones alegadas por los representantes a la reputación del señor Prisciliano Fernández por la violación sexual de su esposa o aquellas relativas a un supuesto incumplimiento de un determinado rol socialmente asignado […]. </w:t>
      </w:r>
    </w:p>
    <w:p w14:paraId="2148DDF5" w14:textId="4FC70C89" w:rsidR="003F0DE2" w:rsidRPr="003D49EB" w:rsidRDefault="003F0DE2" w:rsidP="009A4683">
      <w:pPr>
        <w:spacing w:after="100" w:afterAutospacing="1"/>
        <w:rPr>
          <w:szCs w:val="20"/>
        </w:rPr>
      </w:pPr>
      <w:r w:rsidRPr="003D49EB">
        <w:rPr>
          <w:szCs w:val="20"/>
        </w:rPr>
        <w:t>145.</w:t>
      </w:r>
      <w:r w:rsidRPr="003D49EB">
        <w:rPr>
          <w:szCs w:val="20"/>
        </w:rPr>
        <w:tab/>
        <w:t xml:space="preserve">En cuanto a los hijos de la señora Fernández Ortega, el Tribunal considera que una de las principales afectaciones que sufrieron se relaciona con su presencia ante una situación de violencia extrema, hasta el momento inmediatamente previo a la violación sexual de su madre […], hecho que previsiblemente generó una profunda alteración psicológica, intenso temor e incertidumbre. La perita Correa González indicó que el impacto psicológico más evidente “tiene que ver con las huellas de las imágenes de horror con las que han tenido que vivir durante tanto tiempo, además [d]el hecho de haber experimentado la muerte por la posibilidad de que su madre hubiera muerto y de la violencia [de la] que fue objeto les ha ido generando una sensación de temor y de desconfianza ante la vida”. Al respecto, la Corte observa que dos de los hijos presentes al momento previo a la violación sexual, Nélida </w:t>
      </w:r>
      <w:proofErr w:type="spellStart"/>
      <w:r w:rsidRPr="003D49EB">
        <w:rPr>
          <w:szCs w:val="20"/>
        </w:rPr>
        <w:t>Prisiciliano</w:t>
      </w:r>
      <w:proofErr w:type="spellEnd"/>
      <w:r w:rsidRPr="003D49EB">
        <w:rPr>
          <w:szCs w:val="20"/>
        </w:rPr>
        <w:t xml:space="preserve"> Fernández y Colosio Prisciliano Fernández tenían tres y cuatro años, constando al Tribunal que solamente este último tiene algunos recuerdos de los </w:t>
      </w:r>
      <w:r w:rsidRPr="003D49EB">
        <w:rPr>
          <w:szCs w:val="20"/>
        </w:rPr>
        <w:lastRenderedPageBreak/>
        <w:t xml:space="preserve">hechos. Por su parte, las dos hijas mayores tienen recuerdos claros de lo ocurrido e incluso la mayor, Noemí Prisciliano Fernández, ha declarado sobre los hechos que presenció y el impacto que ello le generó. Debido a las diferentes vivencias e intensidad en el recuerdo, la Corte entiende que la afectación producida por haber presenciado los hechos previos a la violación sexual no es igual para los cuatro hijos. </w:t>
      </w:r>
    </w:p>
    <w:p w14:paraId="0377B73B" w14:textId="77777777" w:rsidR="003F0DE2" w:rsidRPr="003D49EB" w:rsidRDefault="003F0DE2" w:rsidP="009A4683">
      <w:pPr>
        <w:spacing w:after="100" w:afterAutospacing="1"/>
        <w:rPr>
          <w:szCs w:val="20"/>
        </w:rPr>
      </w:pPr>
      <w:r w:rsidRPr="003D49EB">
        <w:rPr>
          <w:szCs w:val="20"/>
        </w:rPr>
        <w:t>146.</w:t>
      </w:r>
      <w:r w:rsidRPr="003D49EB">
        <w:rPr>
          <w:szCs w:val="20"/>
        </w:rPr>
        <w:tab/>
        <w:t xml:space="preserve">Por otra parte, la afectación de los hijos también está relacionada con la búsqueda de justicia que emprendieron sus padres, así como con las consecuencias que esa búsqueda, conjuntamente con los efectos de la propia violación sexual, generaron en las relaciones intrafamiliares. El Tribunal ha constatado que la señora Fernández Ortega y su esposo se vieron obligados a desplazarse de su comunidad en aquellas ocasiones que debieron realizar diligencias relacionadas con la búsqueda de justicia en el caso. Consecuentemente tuvieron que dejar a sus hijos solos en la casa, lo cual generaba en los niños un profundo miedo, especialmente por la presencia de militares en la zona. De tal modo, los hechos del caso y la búsqueda de justicia generaron cambios significativos y perjudiciales en la vida familiar que afectaron de manera especial a los hijos, quienes han experimentado un profundo sufrimiento durante todos estos años. </w:t>
      </w:r>
    </w:p>
    <w:p w14:paraId="22BD00E4" w14:textId="6BBEE928" w:rsidR="003F0DE2" w:rsidRPr="003D49EB" w:rsidRDefault="003F0DE2" w:rsidP="009A4683">
      <w:pPr>
        <w:spacing w:after="100" w:afterAutospacing="1"/>
        <w:rPr>
          <w:rStyle w:val="EnelmismoCar"/>
        </w:rPr>
      </w:pPr>
      <w:r w:rsidRPr="003D49EB">
        <w:rPr>
          <w:szCs w:val="20"/>
        </w:rPr>
        <w:t>149.</w:t>
      </w:r>
      <w:r w:rsidRPr="003D49EB">
        <w:rPr>
          <w:szCs w:val="20"/>
        </w:rPr>
        <w:tab/>
        <w:t xml:space="preserve">Con base en las anteriores consideraciones, la Corte concluye que la violación sexual de la señora Fernández Ortega, así como los hechos relacionados con la búsqueda de justicia y la impunidad del presente caso, implicaron una violación </w:t>
      </w:r>
      <w:r w:rsidRPr="003D49EB">
        <w:rPr>
          <w:szCs w:val="20"/>
          <w:lang w:val="es-EC"/>
        </w:rPr>
        <w:t xml:space="preserve">al derecho a la integridad personal consagrado en el artículo 5.1 de la Convención Americana, en perjuicio del señor Prisciliano Sierra y de </w:t>
      </w:r>
      <w:r w:rsidRPr="003D49EB">
        <w:rPr>
          <w:szCs w:val="20"/>
        </w:rPr>
        <w:t>Noemí, Ana Luz, Colosio, Nélida y Neftalí,</w:t>
      </w:r>
      <w:r w:rsidRPr="003D49EB">
        <w:rPr>
          <w:szCs w:val="20"/>
          <w:lang w:val="es-EC"/>
        </w:rPr>
        <w:t xml:space="preserve"> todos ellos de apellidos Prisciliano Fernández, en relación con el artículo 1.1 del mismo instrumento.</w:t>
      </w:r>
      <w:r w:rsidR="00740849" w:rsidRPr="003D49EB">
        <w:rPr>
          <w:szCs w:val="20"/>
          <w:lang w:val="es-EC"/>
        </w:rPr>
        <w:t xml:space="preserve"> </w:t>
      </w:r>
      <w:r w:rsidR="006E5C73">
        <w:rPr>
          <w:rStyle w:val="EnelmismoCar"/>
        </w:rPr>
        <w:t>En similar sentido, ver entre otros</w:t>
      </w:r>
      <w:r w:rsidR="00740849" w:rsidRPr="003D49EB">
        <w:rPr>
          <w:rStyle w:val="EnelmismoCar"/>
        </w:rPr>
        <w:t xml:space="preserve">: Corte IDH. Caso Carvajal </w:t>
      </w:r>
      <w:proofErr w:type="spellStart"/>
      <w:r w:rsidR="00740849" w:rsidRPr="003D49EB">
        <w:rPr>
          <w:rStyle w:val="EnelmismoCar"/>
        </w:rPr>
        <w:t>Carvajal</w:t>
      </w:r>
      <w:proofErr w:type="spellEnd"/>
      <w:r w:rsidR="00740849" w:rsidRPr="003D49EB">
        <w:rPr>
          <w:rStyle w:val="EnelmismoCar"/>
        </w:rPr>
        <w:t xml:space="preserve"> y otros Vs. Colombia. Fondo, Reparaciones y Costas. Sentencia de 13 de marzo de 2018, párr. </w:t>
      </w:r>
      <w:r w:rsidR="00B10948" w:rsidRPr="003D49EB">
        <w:rPr>
          <w:rStyle w:val="EnelmismoCar"/>
        </w:rPr>
        <w:t>187.</w:t>
      </w:r>
    </w:p>
    <w:p w14:paraId="47D7F5FB" w14:textId="77777777" w:rsidR="003F0DE2" w:rsidRPr="003D49EB" w:rsidRDefault="003F0DE2" w:rsidP="009A4683">
      <w:pPr>
        <w:spacing w:after="100" w:afterAutospacing="1"/>
        <w:rPr>
          <w:szCs w:val="20"/>
        </w:rPr>
      </w:pPr>
      <w:r w:rsidRPr="003D49EB">
        <w:rPr>
          <w:szCs w:val="20"/>
        </w:rPr>
        <w:t>151.</w:t>
      </w:r>
      <w:r w:rsidRPr="003D49EB">
        <w:rPr>
          <w:szCs w:val="20"/>
        </w:rPr>
        <w:tab/>
        <w:t>En cuanto a la madre y hermanos de la señora Fernández Ortega, l</w:t>
      </w:r>
      <w:r w:rsidRPr="003D49EB">
        <w:rPr>
          <w:szCs w:val="20"/>
          <w:lang w:val="es-EC"/>
        </w:rPr>
        <w:t xml:space="preserve">a Corte considera pertinente recordar que si bien ha determinado en su jurisprudencia </w:t>
      </w:r>
      <w:r w:rsidRPr="003D49EB">
        <w:rPr>
          <w:szCs w:val="20"/>
        </w:rPr>
        <w:t xml:space="preserve">que se puede declarar la violación del derecho a la integridad psíquica y moral de familiares directos de víctimas de ciertas violaciones de derechos humanos aplicando una presunción </w:t>
      </w:r>
      <w:r w:rsidRPr="003D49EB">
        <w:rPr>
          <w:i/>
          <w:szCs w:val="20"/>
        </w:rPr>
        <w:t>iuris tantum</w:t>
      </w:r>
      <w:r w:rsidRPr="003D49EB">
        <w:rPr>
          <w:szCs w:val="20"/>
        </w:rPr>
        <w:t xml:space="preserve"> respecto de madres y padres, hijas e hijos, esposos y esposas, compañeros y compañeras permanentes, esto se ha limitado a determinado tipo de casos, siempre que ello responda a sus circunstancias particulares, conforme ha sucedido, por ejemplo, en los casos de masacres, desapariciones forzadas de personas, y ejecuciones extrajudiciales. No se presume, por tanto, la violación a la integridad personal de familiares en todo tipo de casos, ni respecto de todos los familiares. En el presente caso, la Corte analizará si de la prueba que consta en el expediente se acredita una violación del derecho a la integridad personal de la madre y los hermanos de la señora Fernández Ortega.</w:t>
      </w:r>
      <w:r w:rsidR="008B18CE" w:rsidRPr="003D49EB">
        <w:rPr>
          <w:szCs w:val="20"/>
        </w:rPr>
        <w:t xml:space="preserve"> </w:t>
      </w:r>
    </w:p>
    <w:p w14:paraId="43047F24" w14:textId="44DC4D8C" w:rsidR="003F0DE2" w:rsidRPr="008553CB" w:rsidRDefault="00A869F1" w:rsidP="009A4683">
      <w:pPr>
        <w:spacing w:after="100" w:afterAutospacing="1"/>
        <w:rPr>
          <w:b/>
          <w:szCs w:val="20"/>
        </w:rPr>
      </w:pPr>
      <w:r w:rsidRPr="008553CB">
        <w:rPr>
          <w:b/>
          <w:szCs w:val="20"/>
        </w:rPr>
        <w:t>Corte IDH. Caso Rosendo Cantú y otra Vs. México. Excepción Preliminar, Fondo, Reparaciones y Costas. Sentencia de 31 de agosto de 2010. Serie C No. 216.</w:t>
      </w:r>
    </w:p>
    <w:p w14:paraId="1E8E6391" w14:textId="69254C33" w:rsidR="003F0DE2" w:rsidRPr="003D49EB" w:rsidRDefault="003F0DE2" w:rsidP="009A4683">
      <w:pPr>
        <w:spacing w:after="100" w:afterAutospacing="1"/>
        <w:rPr>
          <w:szCs w:val="20"/>
        </w:rPr>
      </w:pPr>
      <w:r w:rsidRPr="003D49EB">
        <w:rPr>
          <w:szCs w:val="20"/>
        </w:rPr>
        <w:t>138.</w:t>
      </w:r>
      <w:r w:rsidRPr="003D49EB">
        <w:rPr>
          <w:szCs w:val="20"/>
        </w:rPr>
        <w:tab/>
        <w:t xml:space="preserve">La Corte considera, en el caso de la niña </w:t>
      </w:r>
      <w:proofErr w:type="spellStart"/>
      <w:r w:rsidRPr="003D49EB">
        <w:rPr>
          <w:szCs w:val="20"/>
        </w:rPr>
        <w:t>Yenys</w:t>
      </w:r>
      <w:proofErr w:type="spellEnd"/>
      <w:r w:rsidRPr="003D49EB">
        <w:rPr>
          <w:szCs w:val="20"/>
        </w:rPr>
        <w:t xml:space="preserve"> Bernardino Rosendo,</w:t>
      </w:r>
      <w:r w:rsidRPr="003D49EB">
        <w:rPr>
          <w:b/>
          <w:szCs w:val="20"/>
        </w:rPr>
        <w:t xml:space="preserve"> </w:t>
      </w:r>
      <w:r w:rsidRPr="003D49EB">
        <w:rPr>
          <w:szCs w:val="20"/>
        </w:rPr>
        <w:t>quien tenía pocos meses de edad al momento de ocurridos los hechos, que una de las afectaciones que sufrió fueron los destierros que ha debido enfrentar con su madre a raíz de los hechos, el alejamiento de su comunidad y de su cultura indígena, y el desmembramiento de la familia. La perita Correa González indicó que “la niña ha sufrido en [ocho] años, al menos un cambio drástico del campo a la ciudad, y tres cambios de ciudad, lo [cual] se traduce en cambio de escuelas, barrios, amigos, cotidianeidad</w:t>
      </w:r>
      <w:r w:rsidR="00ED5598" w:rsidRPr="003D49EB">
        <w:rPr>
          <w:szCs w:val="20"/>
        </w:rPr>
        <w:t xml:space="preserve"> </w:t>
      </w:r>
      <w:r w:rsidRPr="003D49EB">
        <w:rPr>
          <w:szCs w:val="20"/>
        </w:rPr>
        <w:t>[</w:t>
      </w:r>
      <w:r w:rsidR="00ED5598" w:rsidRPr="003D49EB">
        <w:rPr>
          <w:szCs w:val="20"/>
        </w:rPr>
        <w:t>…</w:t>
      </w:r>
      <w:r w:rsidRPr="003D49EB">
        <w:rPr>
          <w:szCs w:val="20"/>
        </w:rPr>
        <w:t xml:space="preserve">] afectando la construcción de su identidad”. Estos traslados generaron que su crianza se desarrolle lejos de su familia materna, a la que se </w:t>
      </w:r>
      <w:r w:rsidRPr="003D49EB">
        <w:rPr>
          <w:szCs w:val="20"/>
        </w:rPr>
        <w:lastRenderedPageBreak/>
        <w:t xml:space="preserve">encuentra fuertemente vinculada, al punto que ha indicado que “no quiere estar en la ciudad, sino irse con sus [abuelos] a </w:t>
      </w:r>
      <w:proofErr w:type="spellStart"/>
      <w:r w:rsidRPr="003D49EB">
        <w:rPr>
          <w:szCs w:val="20"/>
        </w:rPr>
        <w:t>Caxitepec</w:t>
      </w:r>
      <w:proofErr w:type="spellEnd"/>
      <w:r w:rsidRPr="003D49EB">
        <w:rPr>
          <w:szCs w:val="20"/>
        </w:rPr>
        <w:t xml:space="preserve">”. Asimismo, la psicóloga González Marín señaló que la niña </w:t>
      </w:r>
      <w:proofErr w:type="spellStart"/>
      <w:r w:rsidRPr="003D49EB">
        <w:rPr>
          <w:szCs w:val="20"/>
        </w:rPr>
        <w:t>Yenys</w:t>
      </w:r>
      <w:proofErr w:type="spellEnd"/>
      <w:r w:rsidRPr="003D49EB">
        <w:rPr>
          <w:szCs w:val="20"/>
        </w:rPr>
        <w:t xml:space="preserve"> Bernardino Sierra “fue creciendo en medio de un escenario violento, lo que ha originado en ella sentimientos de inseguridad y desprotección”. Por otro lado, los cambios de residencia le “han generado confusión [y] constantemente cuestiona a su madre el hecho de estar lejos de la comunidad”. Adicionalmente, los traslados tuvieron como consecuencia también que su educación fuera de la comunidad se desarrolle en escuelas en que sólo se habla español. Por último, las circunstancias en las que se está desarrollando su infancia, según la perito Correa González, pueden a futuro acarrear secuelas emocionales. </w:t>
      </w:r>
    </w:p>
    <w:p w14:paraId="578E8332" w14:textId="77777777" w:rsidR="003F0DE2" w:rsidRPr="003D49EB" w:rsidRDefault="003F0DE2" w:rsidP="009A4683">
      <w:pPr>
        <w:spacing w:after="100" w:afterAutospacing="1"/>
        <w:rPr>
          <w:szCs w:val="20"/>
          <w:lang w:val="es-EC"/>
        </w:rPr>
      </w:pPr>
      <w:r w:rsidRPr="003D49EB">
        <w:rPr>
          <w:szCs w:val="20"/>
        </w:rPr>
        <w:t>139.</w:t>
      </w:r>
      <w:r w:rsidRPr="003D49EB">
        <w:rPr>
          <w:szCs w:val="20"/>
        </w:rPr>
        <w:tab/>
        <w:t xml:space="preserve">Con base en las anteriores consideraciones, la Corte concluye que la violación sexual sufrida por la señora Rosendo Cantú, las consecuencias de la misma, y la impunidad en que se mantiene el caso, provocaron una afectación emocional a </w:t>
      </w:r>
      <w:proofErr w:type="spellStart"/>
      <w:r w:rsidRPr="003D49EB">
        <w:rPr>
          <w:szCs w:val="20"/>
        </w:rPr>
        <w:t>Yenys</w:t>
      </w:r>
      <w:proofErr w:type="spellEnd"/>
      <w:r w:rsidRPr="003D49EB">
        <w:rPr>
          <w:szCs w:val="20"/>
        </w:rPr>
        <w:t xml:space="preserve"> Bernardino Rosendo, en contravención del derecho reconocido en el artículo 5.1 de la Convención Americana, en relación con el artículo 1.1 de dicho instrumento</w:t>
      </w:r>
      <w:r w:rsidRPr="003D49EB">
        <w:rPr>
          <w:szCs w:val="20"/>
          <w:lang w:val="es-EC"/>
        </w:rPr>
        <w:t xml:space="preserve">. </w:t>
      </w:r>
    </w:p>
    <w:p w14:paraId="114C06FC" w14:textId="017FFEDD" w:rsidR="003F0DE2" w:rsidRPr="008553CB" w:rsidRDefault="00667E3D" w:rsidP="009A4683">
      <w:pPr>
        <w:spacing w:after="100" w:afterAutospacing="1"/>
        <w:rPr>
          <w:b/>
          <w:szCs w:val="20"/>
        </w:rPr>
      </w:pPr>
      <w:r w:rsidRPr="008553CB">
        <w:rPr>
          <w:b/>
          <w:szCs w:val="20"/>
        </w:rPr>
        <w:t>Corte IDH. Caso Familia Barrios Vs. Venezuela. Fondo, Reparaciones y Costas. Sentencia de 24 de noviembre de 2011. Serie C No. 237.</w:t>
      </w:r>
    </w:p>
    <w:p w14:paraId="2CB4A1A7" w14:textId="77777777" w:rsidR="003F0DE2" w:rsidRPr="003D49EB" w:rsidRDefault="003F0DE2" w:rsidP="009A4683">
      <w:pPr>
        <w:spacing w:after="100" w:afterAutospacing="1"/>
        <w:rPr>
          <w:szCs w:val="20"/>
        </w:rPr>
      </w:pPr>
      <w:r w:rsidRPr="003D49EB">
        <w:rPr>
          <w:szCs w:val="20"/>
        </w:rPr>
        <w:t>302.</w:t>
      </w:r>
      <w:r w:rsidRPr="003D49EB">
        <w:rPr>
          <w:szCs w:val="20"/>
        </w:rPr>
        <w:tab/>
        <w:t xml:space="preserve">Al respecto, este Tribunal ha estimado que se puede presumir un daño a la integridad psíquica y moral de los familiares directos de víctimas de ciertas violaciones de derechos humanos aplicando una presunción </w:t>
      </w:r>
      <w:r w:rsidRPr="003D49EB">
        <w:rPr>
          <w:i/>
          <w:szCs w:val="20"/>
        </w:rPr>
        <w:t xml:space="preserve">juris tantum </w:t>
      </w:r>
      <w:r w:rsidRPr="003D49EB">
        <w:rPr>
          <w:szCs w:val="20"/>
        </w:rPr>
        <w:t>respecto de madres y padres, hijas e hijos, esposos y esposas, compañeros y compañeras permanentes, siempre que corresponda a las circunstancias particulares del caso. En el caso de tales familiares, corresponde al Estado desvirtuar dicha presunción. Respecto de los demás familiares, sobre quienes el Tribunal no presumirá un daño a la integridad personal, la Corte evaluará, por ejemplo, si existe un vínculo particularmente estrecho entre aquellos y las víctimas del caso que les permita establecer una afectación a su integridad personal y, por ende, una violación del artículo 5 de la Convención. El Tribunal también podrá evaluar si las presuntas víctimas se han involucrado en la búsqueda de justicia en el caso concreto, o si han padecido un sufrimiento propio producto de los hechos del caso o a causa de las posteriores actuaciones u omisiones de las autoridades estatales frente a los hechos.</w:t>
      </w:r>
    </w:p>
    <w:p w14:paraId="28AA4EAC" w14:textId="77777777" w:rsidR="003F0DE2" w:rsidRPr="003D49EB" w:rsidRDefault="003F0DE2" w:rsidP="009A4683">
      <w:pPr>
        <w:spacing w:after="100" w:afterAutospacing="1"/>
        <w:rPr>
          <w:szCs w:val="20"/>
        </w:rPr>
      </w:pPr>
      <w:r w:rsidRPr="003D49EB">
        <w:rPr>
          <w:szCs w:val="20"/>
        </w:rPr>
        <w:t>303.</w:t>
      </w:r>
      <w:r w:rsidRPr="003D49EB">
        <w:rPr>
          <w:szCs w:val="20"/>
        </w:rPr>
        <w:tab/>
        <w:t xml:space="preserve">De esta manera, tomando en consideración las circunstancias del presente caso, el Tribunal presume la violación al derecho a la integridad personal de los familiares directos de Benito Antonio Barrios, Narciso Barrios y Rigoberto Barrios respecto de quienes se ha determinado la responsabilidad de agentes estatales […], así como de los familiares directos de Luis Alberto Barrios, Oscar José Barrios, Wilmer José Flores Barrios y Juan José Barrios, en cuyas muertes se ha determinado la responsabilidad del Estado por el incumplimiento de su deber de garantía y prevención […] </w:t>
      </w:r>
    </w:p>
    <w:p w14:paraId="2898EF82" w14:textId="77777777" w:rsidR="003F0DE2" w:rsidRPr="003D49EB" w:rsidRDefault="003F0DE2" w:rsidP="009A4683">
      <w:pPr>
        <w:spacing w:after="100" w:afterAutospacing="1"/>
        <w:rPr>
          <w:szCs w:val="20"/>
        </w:rPr>
      </w:pPr>
      <w:r w:rsidRPr="003D49EB">
        <w:rPr>
          <w:szCs w:val="20"/>
        </w:rPr>
        <w:t>305.</w:t>
      </w:r>
      <w:r w:rsidRPr="003D49EB">
        <w:rPr>
          <w:szCs w:val="20"/>
        </w:rPr>
        <w:tab/>
        <w:t xml:space="preserve">En cuanto a los hermanos y otros familiares de las víctimas indicados por la Comisión en su Informe de Fondo, la Corte recuerda que, conforme a su jurisprudencia, respecto de ellos así como de los demás miembros de la familia Barrios, no puede presumirse una afectación a su integridad en los términos del artículo 5.1 de la Convención Americana. Por lo tanto, se deberá analizar si en la prueba aportada por las partes se acredita alguna afectación a la integridad personal de aquellos. </w:t>
      </w:r>
    </w:p>
    <w:p w14:paraId="0E290B99" w14:textId="77777777" w:rsidR="003F0DE2" w:rsidRPr="003D49EB" w:rsidRDefault="003F0DE2" w:rsidP="009A4683">
      <w:pPr>
        <w:spacing w:after="100" w:afterAutospacing="1"/>
        <w:rPr>
          <w:szCs w:val="20"/>
        </w:rPr>
      </w:pPr>
      <w:r w:rsidRPr="003D49EB">
        <w:rPr>
          <w:szCs w:val="20"/>
        </w:rPr>
        <w:t>306.</w:t>
      </w:r>
      <w:r w:rsidRPr="003D49EB">
        <w:rPr>
          <w:szCs w:val="20"/>
        </w:rPr>
        <w:tab/>
        <w:t xml:space="preserve">Al respecto, con base en las declaraciones testimoniales, así como las partes pertinentes del dictamen psicológico y otros documentos que constan en el expediente, el Tribunal encuentra demostrado que respecto a algunos de los familiares no directos de las víctimas se han dado alguna o varias de las siguientes </w:t>
      </w:r>
      <w:r w:rsidRPr="003D49EB">
        <w:rPr>
          <w:szCs w:val="20"/>
        </w:rPr>
        <w:lastRenderedPageBreak/>
        <w:t>circunstancias: a) entre ellos y las víctimas ejecutadas mediaba un estrecho vínculo familiar; b) se han involucrado en la interposición de acciones o denuncias a nivel interno para la búsqueda de justicia; c) la muerte de sus familiares les ha ocasionado secuelas a nivel personal, físicas y emocionales; d) los hechos han afectado sus relaciones familiares, además de haber causado una fragmentación en la dinámica familiar, y han provocado que algunos de ellos hayan tenido que asumir nuevos roles dentro de la misma; e) las afectaciones que han experimentado se han visto agravadas por las omisiones estatales frente a la falta de investigación sobre lo sucedido y de información sobre la razón por la cual sus familiares fueron ejecutados, así como por el permanente deseo de obtener justicia, y f) debido a lo sucedido con sus hermanos y sobrinos han tenido que verse obligados a desplazarse a otras localidades.</w:t>
      </w:r>
    </w:p>
    <w:p w14:paraId="57AE96FE" w14:textId="4954866C" w:rsidR="003F0DE2" w:rsidRPr="003D49EB" w:rsidRDefault="003F0DE2" w:rsidP="009A4683">
      <w:pPr>
        <w:spacing w:after="100" w:afterAutospacing="1"/>
        <w:rPr>
          <w:szCs w:val="20"/>
        </w:rPr>
      </w:pPr>
      <w:r w:rsidRPr="003D49EB">
        <w:rPr>
          <w:szCs w:val="20"/>
        </w:rPr>
        <w:t>307.</w:t>
      </w:r>
      <w:r w:rsidRPr="003D49EB">
        <w:rPr>
          <w:szCs w:val="20"/>
        </w:rPr>
        <w:tab/>
        <w:t xml:space="preserve">En el presente caso, ha quedado demostrado que mediaba un vínculo familiar estrecho entre los hermanos de </w:t>
      </w:r>
      <w:r w:rsidR="00E103E1" w:rsidRPr="003D49EB">
        <w:rPr>
          <w:szCs w:val="20"/>
        </w:rPr>
        <w:t>[…]</w:t>
      </w:r>
      <w:r w:rsidRPr="003D49EB">
        <w:rPr>
          <w:szCs w:val="20"/>
        </w:rPr>
        <w:t xml:space="preserve">. Ellos eran unidos, mantenían una buena relación, compartían actividades y se reunían para las festividades. Del mismo modo, mediaba un estrecho vínculo entre Víctor Daniel Cabrera Barrios y su primo Oscar José Barrios. </w:t>
      </w:r>
    </w:p>
    <w:p w14:paraId="5FE360C5" w14:textId="77777777" w:rsidR="003F0DE2" w:rsidRPr="003D49EB" w:rsidRDefault="003F0DE2" w:rsidP="009A4683">
      <w:pPr>
        <w:spacing w:after="100" w:afterAutospacing="1"/>
        <w:rPr>
          <w:szCs w:val="20"/>
          <w:lang w:val="es-CR"/>
        </w:rPr>
      </w:pPr>
      <w:r w:rsidRPr="003D49EB">
        <w:rPr>
          <w:szCs w:val="20"/>
          <w:lang w:val="es-CR"/>
        </w:rPr>
        <w:t>308.</w:t>
      </w:r>
      <w:r w:rsidRPr="003D49EB">
        <w:rPr>
          <w:szCs w:val="20"/>
          <w:lang w:val="es-CR"/>
        </w:rPr>
        <w:tab/>
        <w:t xml:space="preserve">Asimismo, algunos de los familiares </w:t>
      </w:r>
      <w:r w:rsidRPr="003D49EB">
        <w:rPr>
          <w:szCs w:val="20"/>
        </w:rPr>
        <w:t xml:space="preserve">se han involucrado, en mayor o menor grado, en la interposición de acciones o denuncias a nivel interno para la búsqueda de justicia, como es el caso de </w:t>
      </w:r>
      <w:proofErr w:type="spellStart"/>
      <w:r w:rsidRPr="003D49EB">
        <w:rPr>
          <w:szCs w:val="20"/>
        </w:rPr>
        <w:t>Eloisa</w:t>
      </w:r>
      <w:proofErr w:type="spellEnd"/>
      <w:r w:rsidRPr="003D49EB">
        <w:rPr>
          <w:szCs w:val="20"/>
        </w:rPr>
        <w:t xml:space="preserve"> Barrios. </w:t>
      </w:r>
    </w:p>
    <w:p w14:paraId="31043EE2" w14:textId="799701DE" w:rsidR="003F0DE2" w:rsidRPr="003D49EB" w:rsidRDefault="003F0DE2" w:rsidP="009A4683">
      <w:pPr>
        <w:spacing w:after="100" w:afterAutospacing="1"/>
        <w:rPr>
          <w:szCs w:val="20"/>
        </w:rPr>
      </w:pPr>
      <w:r w:rsidRPr="003D49EB">
        <w:rPr>
          <w:szCs w:val="20"/>
        </w:rPr>
        <w:t>311.</w:t>
      </w:r>
      <w:r w:rsidRPr="003D49EB">
        <w:rPr>
          <w:szCs w:val="20"/>
        </w:rPr>
        <w:tab/>
        <w:t>Por otro lado, la Corte considera que la afectación al derecho a la integridad de los familiares de las víctimas, en algunos casos, se manifiesta en haberse sentido obligados a desplazarse a otras localidades por temor […]</w:t>
      </w:r>
      <w:r w:rsidR="006A660B" w:rsidRPr="003D49EB">
        <w:rPr>
          <w:szCs w:val="20"/>
        </w:rPr>
        <w:t>,</w:t>
      </w:r>
      <w:r w:rsidRPr="003D49EB">
        <w:rPr>
          <w:szCs w:val="20"/>
        </w:rPr>
        <w:t xml:space="preserve"> dejando el pueblo de </w:t>
      </w:r>
      <w:proofErr w:type="spellStart"/>
      <w:r w:rsidRPr="003D49EB">
        <w:rPr>
          <w:szCs w:val="20"/>
        </w:rPr>
        <w:t>Guanayén</w:t>
      </w:r>
      <w:proofErr w:type="spellEnd"/>
      <w:r w:rsidRPr="003D49EB">
        <w:rPr>
          <w:szCs w:val="20"/>
        </w:rPr>
        <w:t xml:space="preserve">, en el cual vivía prácticamente toda la familia antes de que ocurriera la primera muerte, ocasionando la desintegración y ruptura de la convivencia de determinados integrantes de la familia Barrios. La perita Valdez </w:t>
      </w:r>
      <w:proofErr w:type="spellStart"/>
      <w:r w:rsidRPr="003D49EB">
        <w:rPr>
          <w:szCs w:val="20"/>
        </w:rPr>
        <w:t>Labadi</w:t>
      </w:r>
      <w:proofErr w:type="spellEnd"/>
      <w:r w:rsidRPr="003D49EB">
        <w:rPr>
          <w:szCs w:val="20"/>
        </w:rPr>
        <w:t xml:space="preserve"> afirmó que “la obligada huida de la mayoría del poblado donde habían echado raíces y deseaban permanecer, separarse les ha resultado muy doloroso pues vivir a distancia cada quien siente mayor desamparo”. </w:t>
      </w:r>
    </w:p>
    <w:p w14:paraId="0AED2B5D" w14:textId="3A9F17D2" w:rsidR="003F0DE2" w:rsidRPr="003D49EB" w:rsidRDefault="008553CB" w:rsidP="009A4683">
      <w:pPr>
        <w:spacing w:after="100" w:afterAutospacing="1"/>
        <w:rPr>
          <w:b/>
          <w:bCs/>
          <w:szCs w:val="20"/>
        </w:rPr>
      </w:pPr>
      <w:r w:rsidRPr="008553CB">
        <w:rPr>
          <w:b/>
          <w:bCs/>
          <w:szCs w:val="20"/>
          <w:lang w:val="es-ES_tradnl"/>
        </w:rPr>
        <w:t xml:space="preserve">Corte IDH. Caso </w:t>
      </w:r>
      <w:proofErr w:type="spellStart"/>
      <w:r w:rsidRPr="008553CB">
        <w:rPr>
          <w:b/>
          <w:bCs/>
          <w:szCs w:val="20"/>
          <w:lang w:val="es-ES_tradnl"/>
        </w:rPr>
        <w:t>Furlan</w:t>
      </w:r>
      <w:proofErr w:type="spellEnd"/>
      <w:r w:rsidRPr="008553CB">
        <w:rPr>
          <w:b/>
          <w:bCs/>
          <w:szCs w:val="20"/>
          <w:lang w:val="es-ES_tradnl"/>
        </w:rPr>
        <w:t xml:space="preserve"> y familiares Vs. Argentina. Excepciones Preliminares, Fondo, Reparaciones y Costas. Sentencia de 31 de agosto de 2012. Serie C No. 246</w:t>
      </w:r>
      <w:r>
        <w:rPr>
          <w:b/>
          <w:bCs/>
          <w:szCs w:val="20"/>
          <w:lang w:val="es-ES_tradnl"/>
        </w:rPr>
        <w:t>.</w:t>
      </w:r>
      <w:r w:rsidRPr="008553CB">
        <w:rPr>
          <w:rStyle w:val="Refdenotaalpie"/>
          <w:b/>
          <w:szCs w:val="20"/>
          <w:lang w:val="es-ES_tradnl"/>
        </w:rPr>
        <w:footnoteReference w:id="64"/>
      </w:r>
      <w:r w:rsidR="003F0DE2" w:rsidRPr="008553CB">
        <w:rPr>
          <w:b/>
          <w:bCs/>
          <w:szCs w:val="20"/>
        </w:rPr>
        <w:t xml:space="preserve"> </w:t>
      </w:r>
    </w:p>
    <w:p w14:paraId="47A5384C" w14:textId="77777777" w:rsidR="003F0DE2" w:rsidRPr="003D49EB" w:rsidRDefault="003F0DE2" w:rsidP="009A4683">
      <w:pPr>
        <w:spacing w:after="100" w:afterAutospacing="1"/>
        <w:rPr>
          <w:b/>
          <w:bCs/>
          <w:szCs w:val="20"/>
        </w:rPr>
      </w:pPr>
      <w:r w:rsidRPr="003D49EB">
        <w:rPr>
          <w:szCs w:val="20"/>
          <w:lang w:val="es-CO"/>
        </w:rPr>
        <w:t>249.</w:t>
      </w:r>
      <w:r w:rsidRPr="003D49EB">
        <w:rPr>
          <w:szCs w:val="20"/>
          <w:lang w:val="es-CO"/>
        </w:rPr>
        <w:tab/>
        <w:t>La Corte ha afirmado, en otras oportunidades, que los familiares de las víctimas de violaciones de los derechos humanos pueden ser, a su vez, víctimas. E</w:t>
      </w:r>
      <w:r w:rsidRPr="003D49EB">
        <w:rPr>
          <w:szCs w:val="20"/>
          <w:lang w:val="es-MX"/>
        </w:rPr>
        <w:t xml:space="preserve">l Tribunal ha considerado violado el derecho a la integridad psíquica y moral de algunos familiares con motivo del sufrimiento que estos han padecido a causa de las actuaciones u omisiones de las autoridades estatales, tomando en cuenta, entre otros, </w:t>
      </w:r>
      <w:r w:rsidRPr="003D49EB">
        <w:rPr>
          <w:szCs w:val="20"/>
          <w:lang w:val="es-CO"/>
        </w:rPr>
        <w:t>las gestiones realizadas para obtener justicia y la existencia de un estrecho vínculo familiar</w:t>
      </w:r>
      <w:r w:rsidRPr="003D49EB">
        <w:rPr>
          <w:szCs w:val="20"/>
          <w:lang w:val="es-AR"/>
        </w:rPr>
        <w:t xml:space="preserve">. También se ha declarado la violación de este derecho </w:t>
      </w:r>
      <w:r w:rsidRPr="003D49EB">
        <w:rPr>
          <w:szCs w:val="20"/>
        </w:rPr>
        <w:t xml:space="preserve">por el sufrimiento generado a partir de los hechos perpetrados en contra de sus seres queridos. </w:t>
      </w:r>
    </w:p>
    <w:p w14:paraId="286D8737" w14:textId="4AB5B247" w:rsidR="003F0DE2" w:rsidRPr="003D49EB" w:rsidRDefault="003F0DE2" w:rsidP="009A4683">
      <w:pPr>
        <w:spacing w:after="100" w:afterAutospacing="1"/>
        <w:rPr>
          <w:szCs w:val="20"/>
        </w:rPr>
      </w:pPr>
      <w:r w:rsidRPr="003D49EB">
        <w:rPr>
          <w:szCs w:val="20"/>
          <w:lang w:val="es-ES_tradnl"/>
        </w:rPr>
        <w:lastRenderedPageBreak/>
        <w:t>250.</w:t>
      </w:r>
      <w:r w:rsidRPr="003D49EB">
        <w:rPr>
          <w:szCs w:val="20"/>
          <w:lang w:val="es-ES_tradnl"/>
        </w:rPr>
        <w:tab/>
        <w:t xml:space="preserve">Para la Corte es claro que la contribución por parte del Estado al crear o agravar la situación de vulnerabilidad de una persona, tiene un impacto significativo en la integridad de las personas que le rodean, en especial de familiares cercanos que se ven enfrentados a la incertidumbre e inseguridad generada por la vulneración de su familia nuclear o cercana. </w:t>
      </w:r>
      <w:r w:rsidRPr="003D49EB">
        <w:rPr>
          <w:szCs w:val="20"/>
          <w:lang w:val="es-CO"/>
        </w:rPr>
        <w:t xml:space="preserve">Así por ejemplo, en el caso </w:t>
      </w:r>
      <w:proofErr w:type="spellStart"/>
      <w:r w:rsidRPr="003D49EB">
        <w:rPr>
          <w:i/>
          <w:szCs w:val="20"/>
          <w:lang w:val="es-CO"/>
        </w:rPr>
        <w:t>Yean</w:t>
      </w:r>
      <w:proofErr w:type="spellEnd"/>
      <w:r w:rsidRPr="003D49EB">
        <w:rPr>
          <w:i/>
          <w:szCs w:val="20"/>
          <w:lang w:val="es-CO"/>
        </w:rPr>
        <w:t xml:space="preserve"> y </w:t>
      </w:r>
      <w:proofErr w:type="spellStart"/>
      <w:r w:rsidRPr="003D49EB">
        <w:rPr>
          <w:i/>
          <w:szCs w:val="20"/>
          <w:lang w:val="es-CO"/>
        </w:rPr>
        <w:t>Bosico</w:t>
      </w:r>
      <w:proofErr w:type="spellEnd"/>
      <w:r w:rsidRPr="003D49EB">
        <w:rPr>
          <w:szCs w:val="20"/>
          <w:lang w:val="es-CO"/>
        </w:rPr>
        <w:t>, la Corte concluyó que se había vulnerado el artículo 5 de la Convención en perjuicio de las madres y hermanos de las niñas, por cuanto “</w:t>
      </w:r>
      <w:r w:rsidRPr="003D49EB">
        <w:rPr>
          <w:szCs w:val="20"/>
        </w:rPr>
        <w:t xml:space="preserve">les causó incertidumbre e inseguridad la situación de vulnerabilidad que el Estado impuso a las niñas </w:t>
      </w:r>
      <w:proofErr w:type="spellStart"/>
      <w:r w:rsidRPr="003D49EB">
        <w:rPr>
          <w:szCs w:val="20"/>
        </w:rPr>
        <w:t>Yean</w:t>
      </w:r>
      <w:proofErr w:type="spellEnd"/>
      <w:r w:rsidRPr="003D49EB">
        <w:rPr>
          <w:szCs w:val="20"/>
        </w:rPr>
        <w:t xml:space="preserve"> y </w:t>
      </w:r>
      <w:proofErr w:type="spellStart"/>
      <w:r w:rsidRPr="003D49EB">
        <w:rPr>
          <w:szCs w:val="20"/>
        </w:rPr>
        <w:t>Bosico</w:t>
      </w:r>
      <w:proofErr w:type="spellEnd"/>
      <w:r w:rsidRPr="003D49EB">
        <w:rPr>
          <w:szCs w:val="20"/>
        </w:rPr>
        <w:t>, por el temor fundado de que fueran expulsadas de la República Dominicana, de la cual eran nacionales, en razón de la falta de las actas de nacimiento, y a las diversas dificultades que enfrentaron para obtenerlas</w:t>
      </w:r>
      <w:r w:rsidR="00025BF6" w:rsidRPr="003D49EB">
        <w:rPr>
          <w:szCs w:val="20"/>
          <w:lang w:val="es-CO"/>
        </w:rPr>
        <w:t>”</w:t>
      </w:r>
      <w:r w:rsidRPr="003D49EB">
        <w:rPr>
          <w:szCs w:val="20"/>
          <w:lang w:val="es-CO"/>
        </w:rPr>
        <w:t xml:space="preserve">. Asimismo, en el caso </w:t>
      </w:r>
      <w:r w:rsidRPr="003D49EB">
        <w:rPr>
          <w:i/>
          <w:szCs w:val="20"/>
          <w:lang w:val="es-CO"/>
        </w:rPr>
        <w:t>Albán Cornejo</w:t>
      </w:r>
      <w:r w:rsidRPr="003D49EB">
        <w:rPr>
          <w:szCs w:val="20"/>
          <w:lang w:val="es-CO"/>
        </w:rPr>
        <w:t xml:space="preserve">, relacionado con un caso de mala praxis médica, el Tribunal estableció que </w:t>
      </w:r>
      <w:r w:rsidRPr="003D49EB">
        <w:rPr>
          <w:szCs w:val="20"/>
          <w:lang w:val="es-ES_tradnl"/>
        </w:rPr>
        <w:t>la falta de respuesta judicial para esclarecer la muerte de Laura Albán afectó la integridad personal de sus padres.</w:t>
      </w:r>
      <w:r w:rsidRPr="003D49EB">
        <w:rPr>
          <w:i/>
          <w:szCs w:val="20"/>
          <w:lang w:val="es-CO"/>
        </w:rPr>
        <w:t xml:space="preserve"> </w:t>
      </w:r>
    </w:p>
    <w:p w14:paraId="0CE90706" w14:textId="0B3CD8CB" w:rsidR="003F0DE2" w:rsidRPr="003D49EB" w:rsidRDefault="003F0DE2" w:rsidP="009A4683">
      <w:pPr>
        <w:spacing w:after="100" w:afterAutospacing="1"/>
        <w:rPr>
          <w:szCs w:val="20"/>
          <w:lang w:val="es-CO"/>
        </w:rPr>
      </w:pPr>
      <w:r w:rsidRPr="003D49EB">
        <w:rPr>
          <w:szCs w:val="20"/>
          <w:lang w:val="es-ES_tradnl"/>
        </w:rPr>
        <w:t>254.</w:t>
      </w:r>
      <w:r w:rsidRPr="003D49EB">
        <w:rPr>
          <w:szCs w:val="20"/>
          <w:lang w:val="es-ES_tradnl"/>
        </w:rPr>
        <w:tab/>
        <w:t xml:space="preserve">Como se observa, la familia </w:t>
      </w:r>
      <w:proofErr w:type="spellStart"/>
      <w:r w:rsidRPr="003D49EB">
        <w:rPr>
          <w:szCs w:val="20"/>
          <w:lang w:val="es-ES_tradnl"/>
        </w:rPr>
        <w:t>Furlan</w:t>
      </w:r>
      <w:proofErr w:type="spellEnd"/>
      <w:r w:rsidRPr="003D49EB">
        <w:rPr>
          <w:szCs w:val="20"/>
          <w:lang w:val="es-ES_tradnl"/>
        </w:rPr>
        <w:t xml:space="preserve"> no fue orientada y acompañada debidamente para ofrecer un mejor apoyo familiar para la rehabilitación de Sebastián </w:t>
      </w:r>
      <w:proofErr w:type="spellStart"/>
      <w:r w:rsidRPr="003D49EB">
        <w:rPr>
          <w:szCs w:val="20"/>
          <w:lang w:val="es-ES_tradnl"/>
        </w:rPr>
        <w:t>Furlan</w:t>
      </w:r>
      <w:proofErr w:type="spellEnd"/>
      <w:r w:rsidRPr="003D49EB">
        <w:rPr>
          <w:szCs w:val="20"/>
          <w:lang w:val="es-ES_tradnl"/>
        </w:rPr>
        <w:t xml:space="preserve">. </w:t>
      </w:r>
      <w:r w:rsidRPr="003D49EB">
        <w:rPr>
          <w:szCs w:val="20"/>
          <w:lang w:val="es-CO"/>
        </w:rPr>
        <w:t>Al respecto, este Tribunal considera pertinente destacar que “la mejor forma de cuidar y atender a los niños con discapacidad es dentro de su propio entorno familiar, siempre y cuando la familia tenga medios suficientes en todos los sentidos”, lo cual implica que las familias deben contar con un apoyo integral para poder asumir dicha responsabilidad de manera adecuada. Este tipo de apoyo debe incluir “la educación de los padres y los hermanos, no solamente en lo que respecta a la discapacidad y sus causas, sino también las necesidades físicas y mentales únicas de cada niño [y] el apoyo psicológico receptivo a la presión y a las dificultades que significan para las familias los niños con discapacidad”. Por su parte, el artículo 28 de la Convención de Naciones Unidas sobre Discapacidad reconoce el derecho de las personas con discapacidad y sus familias que viven en situaciones de pobreza a la necesidad y a que el Estado les preste atención para sufragar gastos relacionados con la discapacidad, incluido la capacitación, el asesoramiento, la asistencia financiera y los servicios de cuidados temporales.</w:t>
      </w:r>
    </w:p>
    <w:p w14:paraId="62BF33F0" w14:textId="77777777" w:rsidR="003F0DE2" w:rsidRPr="003D49EB" w:rsidRDefault="003F0DE2" w:rsidP="009A4683">
      <w:pPr>
        <w:spacing w:after="100" w:afterAutospacing="1"/>
        <w:rPr>
          <w:szCs w:val="20"/>
          <w:lang w:val="es-CO"/>
        </w:rPr>
      </w:pPr>
      <w:r w:rsidRPr="003D49EB">
        <w:rPr>
          <w:szCs w:val="20"/>
          <w:lang w:val="es-CO"/>
        </w:rPr>
        <w:t>255.</w:t>
      </w:r>
      <w:r w:rsidRPr="003D49EB">
        <w:rPr>
          <w:szCs w:val="20"/>
          <w:lang w:val="es-CO"/>
        </w:rPr>
        <w:tab/>
        <w:t xml:space="preserve">En el presente caso, la familia </w:t>
      </w:r>
      <w:proofErr w:type="spellStart"/>
      <w:r w:rsidRPr="003D49EB">
        <w:rPr>
          <w:szCs w:val="20"/>
          <w:lang w:val="es-CO"/>
        </w:rPr>
        <w:t>Furlan</w:t>
      </w:r>
      <w:proofErr w:type="spellEnd"/>
      <w:r w:rsidRPr="003D49EB">
        <w:rPr>
          <w:szCs w:val="20"/>
          <w:lang w:val="es-CO"/>
        </w:rPr>
        <w:t xml:space="preserve"> Fernández no contó con este tipo de apoyos, lo cual desencadenó una serie efectos negativos en el normal desarrollo y funcionamiento familiar </w:t>
      </w:r>
      <w:r w:rsidR="001D746B" w:rsidRPr="003D49EB">
        <w:rPr>
          <w:szCs w:val="20"/>
          <w:lang w:val="es-CO"/>
        </w:rPr>
        <w:t>[…]</w:t>
      </w:r>
      <w:r w:rsidRPr="003D49EB">
        <w:rPr>
          <w:szCs w:val="20"/>
          <w:lang w:val="es-CO"/>
        </w:rPr>
        <w:t xml:space="preserve">. De otra parte, el Tribunal constata que los pocos intentos estatales dirigidos a impulsar una terapia individual o grupal tuvieron un alcance limitado para un adecuado manejo de la situación de discapacidad mental de Sebastián </w:t>
      </w:r>
      <w:proofErr w:type="spellStart"/>
      <w:r w:rsidRPr="003D49EB">
        <w:rPr>
          <w:szCs w:val="20"/>
          <w:lang w:val="es-CO"/>
        </w:rPr>
        <w:t>Furlan</w:t>
      </w:r>
      <w:proofErr w:type="spellEnd"/>
      <w:r w:rsidRPr="003D49EB">
        <w:rPr>
          <w:szCs w:val="20"/>
          <w:lang w:val="es-CO"/>
        </w:rPr>
        <w:t xml:space="preserve">. La omisión del Estado relacionada con el no acompañamiento de esta familia derivó en la interrupción de los programas de rehabilitación y su falta de implementación durante una etapa crucial para poder lograr efectividad. Asimismo, el Tribunal resalta que la prueba pericial evidenció la necesidad de una intervención más directa en apoyo de Sebastián </w:t>
      </w:r>
      <w:proofErr w:type="spellStart"/>
      <w:r w:rsidRPr="003D49EB">
        <w:rPr>
          <w:szCs w:val="20"/>
          <w:lang w:val="es-CO"/>
        </w:rPr>
        <w:t>Furlan</w:t>
      </w:r>
      <w:proofErr w:type="spellEnd"/>
      <w:r w:rsidRPr="003D49EB">
        <w:rPr>
          <w:szCs w:val="20"/>
          <w:lang w:val="es-CO"/>
        </w:rPr>
        <w:t xml:space="preserve"> y su grupo familiar y respecto a los trastornos del lenguaje y las dificultades conductuales que padecía.</w:t>
      </w:r>
    </w:p>
    <w:p w14:paraId="5C387852" w14:textId="77777777" w:rsidR="003F0DE2" w:rsidRPr="003D49EB" w:rsidRDefault="003F0DE2" w:rsidP="009A4683">
      <w:pPr>
        <w:spacing w:after="100" w:afterAutospacing="1"/>
        <w:rPr>
          <w:szCs w:val="20"/>
        </w:rPr>
      </w:pPr>
      <w:r w:rsidRPr="003D49EB">
        <w:rPr>
          <w:szCs w:val="20"/>
        </w:rPr>
        <w:t>256.</w:t>
      </w:r>
      <w:r w:rsidRPr="003D49EB">
        <w:rPr>
          <w:szCs w:val="20"/>
        </w:rPr>
        <w:tab/>
        <w:t xml:space="preserve">Por tanto, la Corte encuentra probado que el accidente sufrido por Sebastián </w:t>
      </w:r>
      <w:proofErr w:type="spellStart"/>
      <w:r w:rsidRPr="003D49EB">
        <w:rPr>
          <w:szCs w:val="20"/>
        </w:rPr>
        <w:t>Furlan</w:t>
      </w:r>
      <w:proofErr w:type="spellEnd"/>
      <w:r w:rsidRPr="003D49EB">
        <w:rPr>
          <w:szCs w:val="20"/>
        </w:rPr>
        <w:t xml:space="preserve">, así como el transcurso del proceso civil, tuvieron un impacto en el núcleo familiar conformado por Danilo </w:t>
      </w:r>
      <w:proofErr w:type="spellStart"/>
      <w:r w:rsidRPr="003D49EB">
        <w:rPr>
          <w:szCs w:val="20"/>
        </w:rPr>
        <w:t>Furlan</w:t>
      </w:r>
      <w:proofErr w:type="spellEnd"/>
      <w:r w:rsidRPr="003D49EB">
        <w:rPr>
          <w:szCs w:val="20"/>
        </w:rPr>
        <w:t xml:space="preserve">, Susana Fernández, Claudio </w:t>
      </w:r>
      <w:proofErr w:type="spellStart"/>
      <w:r w:rsidRPr="003D49EB">
        <w:rPr>
          <w:szCs w:val="20"/>
        </w:rPr>
        <w:t>Furlan</w:t>
      </w:r>
      <w:proofErr w:type="spellEnd"/>
      <w:r w:rsidRPr="003D49EB">
        <w:rPr>
          <w:szCs w:val="20"/>
        </w:rPr>
        <w:t xml:space="preserve"> y Sabina </w:t>
      </w:r>
      <w:proofErr w:type="spellStart"/>
      <w:r w:rsidRPr="003D49EB">
        <w:rPr>
          <w:szCs w:val="20"/>
        </w:rPr>
        <w:t>Furlan</w:t>
      </w:r>
      <w:proofErr w:type="spellEnd"/>
      <w:r w:rsidRPr="003D49EB">
        <w:rPr>
          <w:szCs w:val="20"/>
        </w:rPr>
        <w:t xml:space="preserve">. Dicho impacto generó un estado de angustia y desesperación permanente en la familia, lo cual terminó quebrantando los lazos familiares y generando otro tipo de consecuencias. Además, la familia </w:t>
      </w:r>
      <w:proofErr w:type="spellStart"/>
      <w:r w:rsidRPr="003D49EB">
        <w:rPr>
          <w:szCs w:val="20"/>
        </w:rPr>
        <w:t>Furlan</w:t>
      </w:r>
      <w:proofErr w:type="spellEnd"/>
      <w:r w:rsidRPr="003D49EB">
        <w:rPr>
          <w:szCs w:val="20"/>
        </w:rPr>
        <w:t xml:space="preserve"> Fernández no contó con asistencia para desarrollar un mejor apoyo a Sebastián </w:t>
      </w:r>
      <w:proofErr w:type="spellStart"/>
      <w:r w:rsidRPr="003D49EB">
        <w:rPr>
          <w:szCs w:val="20"/>
        </w:rPr>
        <w:t>Furlan</w:t>
      </w:r>
      <w:proofErr w:type="spellEnd"/>
      <w:r w:rsidRPr="003D49EB">
        <w:rPr>
          <w:szCs w:val="20"/>
        </w:rPr>
        <w:t>, lo cual desencadenó una serie efectos negativos en el normal desarrollo y funcionamiento familiar.</w:t>
      </w:r>
    </w:p>
    <w:p w14:paraId="7D6CBE79" w14:textId="47019298" w:rsidR="003F0DE2" w:rsidRPr="003D49EB" w:rsidRDefault="003F0DE2" w:rsidP="009A4683">
      <w:pPr>
        <w:spacing w:after="100" w:afterAutospacing="1"/>
        <w:rPr>
          <w:szCs w:val="20"/>
        </w:rPr>
      </w:pPr>
      <w:r w:rsidRPr="003D49EB">
        <w:rPr>
          <w:szCs w:val="20"/>
        </w:rPr>
        <w:t>257.</w:t>
      </w:r>
      <w:r w:rsidRPr="003D49EB">
        <w:rPr>
          <w:szCs w:val="20"/>
        </w:rPr>
        <w:tab/>
        <w:t xml:space="preserve">De manera particular y respecto al señor Danilo </w:t>
      </w:r>
      <w:proofErr w:type="spellStart"/>
      <w:r w:rsidRPr="003D49EB">
        <w:rPr>
          <w:szCs w:val="20"/>
        </w:rPr>
        <w:t>Furlan</w:t>
      </w:r>
      <w:proofErr w:type="spellEnd"/>
      <w:r w:rsidRPr="003D49EB">
        <w:rPr>
          <w:szCs w:val="20"/>
        </w:rPr>
        <w:t xml:space="preserve">, la Corte resalta que se halla probado, en primer lugar, el sufrimiento del señor Danilo </w:t>
      </w:r>
      <w:proofErr w:type="spellStart"/>
      <w:r w:rsidRPr="003D49EB">
        <w:rPr>
          <w:szCs w:val="20"/>
        </w:rPr>
        <w:t>Furlan</w:t>
      </w:r>
      <w:proofErr w:type="spellEnd"/>
      <w:r w:rsidRPr="003D49EB">
        <w:rPr>
          <w:szCs w:val="20"/>
        </w:rPr>
        <w:t xml:space="preserve"> debido a que fue éste el principal encargado de los cuidados del menor de edad y </w:t>
      </w:r>
      <w:r w:rsidRPr="003D49EB">
        <w:rPr>
          <w:szCs w:val="20"/>
        </w:rPr>
        <w:lastRenderedPageBreak/>
        <w:t xml:space="preserve">posteriormente adulto con discapacidad, y a que durante algunos momentos no recibió de manera completa y oportuna la asistencia del Estado […]. En particular, el señor Danilo </w:t>
      </w:r>
      <w:proofErr w:type="spellStart"/>
      <w:r w:rsidRPr="003D49EB">
        <w:rPr>
          <w:szCs w:val="20"/>
        </w:rPr>
        <w:t>Furlan</w:t>
      </w:r>
      <w:proofErr w:type="spellEnd"/>
      <w:r w:rsidRPr="003D49EB">
        <w:rPr>
          <w:szCs w:val="20"/>
        </w:rPr>
        <w:t xml:space="preserve"> tuvo un rol activo en las pocas medidas de rehabilitación que se dieron a Sebastián </w:t>
      </w:r>
      <w:proofErr w:type="spellStart"/>
      <w:r w:rsidRPr="003D49EB">
        <w:rPr>
          <w:szCs w:val="20"/>
        </w:rPr>
        <w:t>Furlan</w:t>
      </w:r>
      <w:proofErr w:type="spellEnd"/>
      <w:r w:rsidRPr="003D49EB">
        <w:rPr>
          <w:szCs w:val="20"/>
        </w:rPr>
        <w:t xml:space="preserve">. Informes médicos también concluyeron que la situación que estaban afrontando le implicó un gran sufrimiento al padre, quien a partir del momento del accidente "se [hizo] cargo totalmente de su hijo, tanto en la rehabilitación física como del control general de sus conductas”. El señor Danilo </w:t>
      </w:r>
      <w:proofErr w:type="spellStart"/>
      <w:r w:rsidRPr="003D49EB">
        <w:rPr>
          <w:szCs w:val="20"/>
        </w:rPr>
        <w:t>Furlan</w:t>
      </w:r>
      <w:proofErr w:type="spellEnd"/>
      <w:r w:rsidRPr="003D49EB">
        <w:rPr>
          <w:szCs w:val="20"/>
        </w:rPr>
        <w:t xml:space="preserve"> expresó que </w:t>
      </w:r>
      <w:r w:rsidRPr="003D49EB">
        <w:rPr>
          <w:szCs w:val="20"/>
          <w:lang w:val="es-ES_tradnl"/>
        </w:rPr>
        <w:t>“fabricó incluso aparatos para hacer” la rehabilitación y que en “esos momentos sentía que todo dependía de [él]” y que “nadie [lo] orientó en medio de su desesperación”</w:t>
      </w:r>
      <w:r w:rsidRPr="003D49EB">
        <w:rPr>
          <w:szCs w:val="20"/>
          <w:lang w:val="es-CO"/>
        </w:rPr>
        <w:t>.</w:t>
      </w:r>
      <w:r w:rsidR="008B18CE" w:rsidRPr="003D49EB">
        <w:rPr>
          <w:szCs w:val="20"/>
          <w:lang w:val="es-CO"/>
        </w:rPr>
        <w:t xml:space="preserve"> </w:t>
      </w:r>
    </w:p>
    <w:p w14:paraId="4FD41C3F" w14:textId="77777777" w:rsidR="003F0DE2" w:rsidRPr="003D49EB" w:rsidRDefault="003F0DE2" w:rsidP="009A4683">
      <w:pPr>
        <w:spacing w:after="100" w:afterAutospacing="1"/>
        <w:rPr>
          <w:szCs w:val="20"/>
        </w:rPr>
      </w:pPr>
      <w:r w:rsidRPr="003D49EB">
        <w:rPr>
          <w:szCs w:val="20"/>
        </w:rPr>
        <w:t>261.</w:t>
      </w:r>
      <w:r w:rsidRPr="003D49EB">
        <w:rPr>
          <w:szCs w:val="20"/>
        </w:rPr>
        <w:tab/>
        <w:t xml:space="preserve">Teniendo en cuenta lo anteriormente descrito, es evidente que la demora injustificada en el proceso, así como las demás búsquedas llevadas a cabo por el señor Danilo </w:t>
      </w:r>
      <w:proofErr w:type="spellStart"/>
      <w:r w:rsidRPr="003D49EB">
        <w:rPr>
          <w:szCs w:val="20"/>
        </w:rPr>
        <w:t>Furlan</w:t>
      </w:r>
      <w:proofErr w:type="spellEnd"/>
      <w:r w:rsidRPr="003D49EB">
        <w:rPr>
          <w:szCs w:val="20"/>
        </w:rPr>
        <w:t xml:space="preserve"> con el fin de obtener otros tipos de ayuda para su hijo, ocasionaron un sufrimiento grave en él. No sólo asumió casi por completo los cuidados personales de su hijo, sino además impulsó un proceso judicial interno. El señor Danilo </w:t>
      </w:r>
      <w:proofErr w:type="spellStart"/>
      <w:r w:rsidRPr="003D49EB">
        <w:rPr>
          <w:szCs w:val="20"/>
        </w:rPr>
        <w:t>Furlan</w:t>
      </w:r>
      <w:proofErr w:type="spellEnd"/>
      <w:r w:rsidRPr="003D49EB">
        <w:rPr>
          <w:szCs w:val="20"/>
        </w:rPr>
        <w:t xml:space="preserve"> abandonó su trabajo, dedicó su vida y se consagró exclusivamente a buscar ayuda, en todos los sitios que pudo, para su hijo Sebastián </w:t>
      </w:r>
      <w:proofErr w:type="spellStart"/>
      <w:r w:rsidRPr="003D49EB">
        <w:rPr>
          <w:szCs w:val="20"/>
        </w:rPr>
        <w:t>Furlan</w:t>
      </w:r>
      <w:proofErr w:type="spellEnd"/>
      <w:r w:rsidRPr="003D49EB">
        <w:rPr>
          <w:szCs w:val="20"/>
        </w:rPr>
        <w:t xml:space="preserve">. Por tanto, esta Corte considera que se encuentra probada tanto la vulneración a la integridad psíquica y moral del señor Danilo </w:t>
      </w:r>
      <w:proofErr w:type="spellStart"/>
      <w:r w:rsidRPr="003D49EB">
        <w:rPr>
          <w:szCs w:val="20"/>
        </w:rPr>
        <w:t>Furlan</w:t>
      </w:r>
      <w:proofErr w:type="spellEnd"/>
      <w:r w:rsidRPr="003D49EB">
        <w:rPr>
          <w:szCs w:val="20"/>
        </w:rPr>
        <w:t>, así como el impacto producido en él por la falta de acceso a la justicia derivado del proceso judicial y la ejecución del mismo.</w:t>
      </w:r>
    </w:p>
    <w:p w14:paraId="174C7322" w14:textId="5EEBD3E2" w:rsidR="003F0DE2" w:rsidRPr="003D49EB" w:rsidRDefault="003F0DE2" w:rsidP="009A4683">
      <w:pPr>
        <w:spacing w:after="100" w:afterAutospacing="1"/>
        <w:rPr>
          <w:szCs w:val="20"/>
        </w:rPr>
      </w:pPr>
      <w:r w:rsidRPr="003D49EB">
        <w:rPr>
          <w:szCs w:val="20"/>
        </w:rPr>
        <w:t>262.</w:t>
      </w:r>
      <w:r w:rsidRPr="003D49EB">
        <w:rPr>
          <w:szCs w:val="20"/>
        </w:rPr>
        <w:tab/>
        <w:t xml:space="preserve">Respecto a la señora Susana Fernández, el Tribunal encuentra probado su sufrimiento y afectación, por cuanto no sólo tuvo que abandonar el papel que ocupaba dentro del núcleo familiar […], sino que algunos problemas derivados de las dificultades en la rehabilitación de Sebastián </w:t>
      </w:r>
      <w:proofErr w:type="spellStart"/>
      <w:r w:rsidRPr="003D49EB">
        <w:rPr>
          <w:szCs w:val="20"/>
        </w:rPr>
        <w:t>Furlan</w:t>
      </w:r>
      <w:proofErr w:type="spellEnd"/>
      <w:r w:rsidRPr="003D49EB">
        <w:rPr>
          <w:szCs w:val="20"/>
        </w:rPr>
        <w:t xml:space="preserve"> impactaron negativamente en su relación de pareja. La señora Fernández se separó sentimentalmente de su esposo, viéndose envuelta en un posterior divorcio. De igual forma, el quiebre de la realidad familiar afectó de manera negativa su rol en la familia en la cual compartía la jefatura parental, debido a que la misma pasó a ser un grupo familiar donde su participación se redujo sustancialmente. Asimismo, fue la señora Fernández quien debió ocuparse de proveer económicamente en el hogar, ya que se esposo abandonó su trabajo […].</w:t>
      </w:r>
    </w:p>
    <w:p w14:paraId="6AE99573" w14:textId="79642A3C" w:rsidR="003F0DE2" w:rsidRPr="003D49EB" w:rsidRDefault="003F0DE2" w:rsidP="009A4683">
      <w:pPr>
        <w:spacing w:after="100" w:afterAutospacing="1"/>
        <w:rPr>
          <w:szCs w:val="20"/>
        </w:rPr>
      </w:pPr>
      <w:r w:rsidRPr="003D49EB">
        <w:rPr>
          <w:szCs w:val="20"/>
          <w:lang w:val="es-ES_tradnl"/>
        </w:rPr>
        <w:t>263.</w:t>
      </w:r>
      <w:r w:rsidRPr="003D49EB">
        <w:rPr>
          <w:szCs w:val="20"/>
          <w:lang w:val="es-ES_tradnl"/>
        </w:rPr>
        <w:tab/>
        <w:t xml:space="preserve">Por su parte, el señor Claudio </w:t>
      </w:r>
      <w:proofErr w:type="spellStart"/>
      <w:r w:rsidRPr="003D49EB">
        <w:rPr>
          <w:szCs w:val="20"/>
          <w:lang w:val="es-ES_tradnl"/>
        </w:rPr>
        <w:t>Furlan</w:t>
      </w:r>
      <w:proofErr w:type="spellEnd"/>
      <w:r w:rsidRPr="003D49EB">
        <w:rPr>
          <w:szCs w:val="20"/>
          <w:lang w:val="es-ES_tradnl"/>
        </w:rPr>
        <w:t xml:space="preserve"> también ha padecido por las consecuencias generadas por los hechos del presente caso. En particular, obra prueba en el expediente en la cual se concluye que él</w:t>
      </w:r>
      <w:r w:rsidRPr="003D49EB">
        <w:rPr>
          <w:szCs w:val="20"/>
        </w:rPr>
        <w:t xml:space="preserve"> “también se </w:t>
      </w:r>
      <w:proofErr w:type="spellStart"/>
      <w:r w:rsidRPr="003D49EB">
        <w:rPr>
          <w:szCs w:val="20"/>
        </w:rPr>
        <w:t>enc</w:t>
      </w:r>
      <w:proofErr w:type="spellEnd"/>
      <w:r w:rsidRPr="003D49EB">
        <w:rPr>
          <w:szCs w:val="20"/>
        </w:rPr>
        <w:t>[</w:t>
      </w:r>
      <w:proofErr w:type="spellStart"/>
      <w:r w:rsidRPr="003D49EB">
        <w:rPr>
          <w:szCs w:val="20"/>
        </w:rPr>
        <w:t>ontraba</w:t>
      </w:r>
      <w:proofErr w:type="spellEnd"/>
      <w:r w:rsidRPr="003D49EB">
        <w:rPr>
          <w:szCs w:val="20"/>
        </w:rPr>
        <w:t xml:space="preserve">] atravesado por las circunstancias del pasado y la configuración que la familia fue asignando a cada uno de sus miembros”. El Tribunal observa que el impacto de los hechos ocurridos en diciembre de 1988 resulta de tal magnitud para el señor Claudio </w:t>
      </w:r>
      <w:proofErr w:type="spellStart"/>
      <w:r w:rsidRPr="003D49EB">
        <w:rPr>
          <w:szCs w:val="20"/>
        </w:rPr>
        <w:t>Furlan</w:t>
      </w:r>
      <w:proofErr w:type="spellEnd"/>
      <w:r w:rsidRPr="003D49EB">
        <w:rPr>
          <w:szCs w:val="20"/>
        </w:rPr>
        <w:t xml:space="preserve"> toda vez que “[podía] significativamente precisar la fecha” en la cual su familia se desintegró y él se quedó con su padre: “fue el veintiuno de diciembre [de 1988] a las catorce horas [cuando él] tenía nueve años”. Asimismo, señaló durante la audiencia pública “</w:t>
      </w:r>
      <w:proofErr w:type="spellStart"/>
      <w:r w:rsidRPr="003D49EB">
        <w:rPr>
          <w:szCs w:val="20"/>
        </w:rPr>
        <w:t>rec</w:t>
      </w:r>
      <w:proofErr w:type="spellEnd"/>
      <w:r w:rsidRPr="003D49EB">
        <w:rPr>
          <w:szCs w:val="20"/>
        </w:rPr>
        <w:t>[</w:t>
      </w:r>
      <w:proofErr w:type="spellStart"/>
      <w:r w:rsidRPr="003D49EB">
        <w:rPr>
          <w:szCs w:val="20"/>
        </w:rPr>
        <w:t>ordar</w:t>
      </w:r>
      <w:proofErr w:type="spellEnd"/>
      <w:r w:rsidRPr="003D49EB">
        <w:rPr>
          <w:szCs w:val="20"/>
        </w:rPr>
        <w:t xml:space="preserve">] hasta el color de zapatillas de Sebastián” al momento del accidente, ya que “son cosas que uno no se puede olvidar nunca por más joven que sea”. </w:t>
      </w:r>
      <w:r w:rsidRPr="003D49EB">
        <w:rPr>
          <w:szCs w:val="20"/>
          <w:lang w:val="es-ES_tradnl"/>
        </w:rPr>
        <w:t xml:space="preserve">El señor </w:t>
      </w:r>
      <w:r w:rsidRPr="003D49EB">
        <w:rPr>
          <w:szCs w:val="20"/>
        </w:rPr>
        <w:t xml:space="preserve">Claudio </w:t>
      </w:r>
      <w:proofErr w:type="spellStart"/>
      <w:r w:rsidRPr="003D49EB">
        <w:rPr>
          <w:szCs w:val="20"/>
        </w:rPr>
        <w:t>Furlan</w:t>
      </w:r>
      <w:proofErr w:type="spellEnd"/>
      <w:r w:rsidRPr="003D49EB">
        <w:rPr>
          <w:szCs w:val="20"/>
        </w:rPr>
        <w:t xml:space="preserve"> ha padecido psicológicamente por esta situación al punto al que revive constantemente la separación de su familia, recuerda detalles específicos del accidente sufrido por su hermano y de la separación de sus padres. Como consecuencia de las perturbaciones sufridas, el señor Claudio </w:t>
      </w:r>
      <w:proofErr w:type="spellStart"/>
      <w:r w:rsidRPr="003D49EB">
        <w:rPr>
          <w:szCs w:val="20"/>
        </w:rPr>
        <w:t>Furlan</w:t>
      </w:r>
      <w:proofErr w:type="spellEnd"/>
      <w:r w:rsidRPr="003D49EB">
        <w:rPr>
          <w:szCs w:val="20"/>
        </w:rPr>
        <w:t xml:space="preserve"> construyó un proyecto de vida alrededor de su hermano con discapacidad y del padre a su cargo, de manera tal que, por ejemplo, en su momento, se cambió al horario nocturno en la escuela para poder acompañar a su hermano y actualmente vive muy cerca de la casa de Sebastián </w:t>
      </w:r>
      <w:proofErr w:type="spellStart"/>
      <w:r w:rsidRPr="003D49EB">
        <w:rPr>
          <w:szCs w:val="20"/>
        </w:rPr>
        <w:t>Furlan</w:t>
      </w:r>
      <w:proofErr w:type="spellEnd"/>
      <w:r w:rsidRPr="003D49EB">
        <w:rPr>
          <w:szCs w:val="20"/>
        </w:rPr>
        <w:t xml:space="preserve"> para estar a su disposición en caso de una emergencia. </w:t>
      </w:r>
    </w:p>
    <w:p w14:paraId="1E173C2A" w14:textId="57D69334" w:rsidR="003F0DE2" w:rsidRPr="003D49EB" w:rsidRDefault="003F0DE2" w:rsidP="009A4683">
      <w:pPr>
        <w:spacing w:after="100" w:afterAutospacing="1"/>
        <w:rPr>
          <w:szCs w:val="20"/>
        </w:rPr>
      </w:pPr>
      <w:r w:rsidRPr="003D49EB">
        <w:rPr>
          <w:szCs w:val="20"/>
          <w:lang w:val="es-ES_tradnl"/>
        </w:rPr>
        <w:lastRenderedPageBreak/>
        <w:t>264.</w:t>
      </w:r>
      <w:r w:rsidRPr="003D49EB">
        <w:rPr>
          <w:szCs w:val="20"/>
          <w:lang w:val="es-ES_tradnl"/>
        </w:rPr>
        <w:tab/>
        <w:t xml:space="preserve">Finalmente, la señora Sabina </w:t>
      </w:r>
      <w:proofErr w:type="spellStart"/>
      <w:r w:rsidRPr="003D49EB">
        <w:rPr>
          <w:szCs w:val="20"/>
          <w:lang w:val="es-ES_tradnl"/>
        </w:rPr>
        <w:t>Furlan</w:t>
      </w:r>
      <w:proofErr w:type="spellEnd"/>
      <w:r w:rsidRPr="003D49EB">
        <w:rPr>
          <w:szCs w:val="20"/>
          <w:lang w:val="es-ES_tradnl"/>
        </w:rPr>
        <w:t xml:space="preserve">, hermana de Sebastián </w:t>
      </w:r>
      <w:proofErr w:type="spellStart"/>
      <w:r w:rsidRPr="003D49EB">
        <w:rPr>
          <w:szCs w:val="20"/>
          <w:lang w:val="es-ES_tradnl"/>
        </w:rPr>
        <w:t>Furlan</w:t>
      </w:r>
      <w:proofErr w:type="spellEnd"/>
      <w:r w:rsidRPr="003D49EB">
        <w:rPr>
          <w:szCs w:val="20"/>
          <w:lang w:val="es-ES_tradnl"/>
        </w:rPr>
        <w:t xml:space="preserve">, también fue afectada por las circunstancias del presente caso, lo cual se encuentra acreditado a través de los informes socioeconómicos que describen la ruptura de los lazos familiares y el hecho de que ella tuviera que vivir sola con su madre, alejada de aquellos que una vez fueran sus seres más queridos, sus dos hermanos y su padre. Igualmente, la Corte estima probado dentro del presente caso la desatención sufrida por la señora Sabina </w:t>
      </w:r>
      <w:proofErr w:type="spellStart"/>
      <w:r w:rsidRPr="003D49EB">
        <w:rPr>
          <w:szCs w:val="20"/>
          <w:lang w:val="es-ES_tradnl"/>
        </w:rPr>
        <w:t>Furlan</w:t>
      </w:r>
      <w:proofErr w:type="spellEnd"/>
      <w:r w:rsidRPr="003D49EB">
        <w:rPr>
          <w:szCs w:val="20"/>
          <w:lang w:val="es-ES_tradnl"/>
        </w:rPr>
        <w:t xml:space="preserve"> durante su infancia debido a los cuidados especiales que requería su hermano mayor. Asimismo, estos hechos han tenido secuelas que se mantienen actualmente, así, por ejemplo, el señor Danilo </w:t>
      </w:r>
      <w:proofErr w:type="spellStart"/>
      <w:r w:rsidRPr="003D49EB">
        <w:rPr>
          <w:szCs w:val="20"/>
          <w:lang w:val="es-ES_tradnl"/>
        </w:rPr>
        <w:t>Furlan</w:t>
      </w:r>
      <w:proofErr w:type="spellEnd"/>
      <w:r w:rsidRPr="003D49EB">
        <w:rPr>
          <w:szCs w:val="20"/>
          <w:lang w:val="es-ES_tradnl"/>
        </w:rPr>
        <w:t xml:space="preserve"> manifestó que </w:t>
      </w:r>
      <w:r w:rsidRPr="003D49EB">
        <w:rPr>
          <w:szCs w:val="20"/>
        </w:rPr>
        <w:t>“[a]l día de hoy [Sabina no le] habla [a su padre] por las circunstancias terribles que le tocó vivir en el momento más crítico de Sebastián”.</w:t>
      </w:r>
    </w:p>
    <w:p w14:paraId="7C6BD392" w14:textId="77777777" w:rsidR="003F0DE2" w:rsidRPr="003D49EB" w:rsidRDefault="003F0DE2" w:rsidP="009A4683">
      <w:pPr>
        <w:spacing w:after="100" w:afterAutospacing="1"/>
        <w:rPr>
          <w:szCs w:val="20"/>
          <w:lang w:val="es-ES_tradnl"/>
        </w:rPr>
      </w:pPr>
      <w:r w:rsidRPr="003D49EB">
        <w:rPr>
          <w:szCs w:val="20"/>
          <w:lang w:val="es-ES_tradnl"/>
        </w:rPr>
        <w:t>265.</w:t>
      </w:r>
      <w:r w:rsidRPr="003D49EB">
        <w:rPr>
          <w:szCs w:val="20"/>
          <w:lang w:val="es-ES_tradnl"/>
        </w:rPr>
        <w:tab/>
        <w:t>Por todo lo anterior, la Corte considera probada la desintegración del núcleo familiar, así como el sufrimiento padecido por todos sus integrantes como consecuencia d</w:t>
      </w:r>
      <w:r w:rsidRPr="003D49EB">
        <w:rPr>
          <w:szCs w:val="20"/>
        </w:rPr>
        <w:t xml:space="preserve">e la demora en el proceso civil, la forma de ejecución de la sentencia y los demás problemas que tuvo Sebastián </w:t>
      </w:r>
      <w:proofErr w:type="spellStart"/>
      <w:r w:rsidRPr="003D49EB">
        <w:rPr>
          <w:szCs w:val="20"/>
        </w:rPr>
        <w:t>Furlan</w:t>
      </w:r>
      <w:proofErr w:type="spellEnd"/>
      <w:r w:rsidRPr="003D49EB">
        <w:rPr>
          <w:szCs w:val="20"/>
        </w:rPr>
        <w:t xml:space="preserve"> para el acceso a una rehabilitación adecuada</w:t>
      </w:r>
      <w:r w:rsidRPr="003D49EB">
        <w:rPr>
          <w:szCs w:val="20"/>
          <w:lang w:val="es-ES_tradnl"/>
        </w:rPr>
        <w:t xml:space="preserve">. De lo expuesto anteriormente, la Corte considera que el Estado argentino ha incurrido en la violación del derecho a la integridad personal consagrado en el artículo 5 y el derecho al acceso a la justicia establecido en los artículos 8.1 y 25, en relación con el artículo 1.1, todos de la Convención Americana, en perjuicio de Danilo </w:t>
      </w:r>
      <w:proofErr w:type="spellStart"/>
      <w:r w:rsidRPr="003D49EB">
        <w:rPr>
          <w:szCs w:val="20"/>
          <w:lang w:val="es-ES_tradnl"/>
        </w:rPr>
        <w:t>Furlan</w:t>
      </w:r>
      <w:proofErr w:type="spellEnd"/>
      <w:r w:rsidRPr="003D49EB">
        <w:rPr>
          <w:szCs w:val="20"/>
          <w:lang w:val="es-ES_tradnl"/>
        </w:rPr>
        <w:t xml:space="preserve">, Susana Fernández, Claudio Erwin </w:t>
      </w:r>
      <w:proofErr w:type="spellStart"/>
      <w:r w:rsidRPr="003D49EB">
        <w:rPr>
          <w:szCs w:val="20"/>
          <w:lang w:val="es-ES_tradnl"/>
        </w:rPr>
        <w:t>Furlan</w:t>
      </w:r>
      <w:proofErr w:type="spellEnd"/>
      <w:r w:rsidRPr="003D49EB">
        <w:rPr>
          <w:szCs w:val="20"/>
          <w:lang w:val="es-ES_tradnl"/>
        </w:rPr>
        <w:t xml:space="preserve"> y Sabina Eva </w:t>
      </w:r>
      <w:proofErr w:type="spellStart"/>
      <w:r w:rsidRPr="003D49EB">
        <w:rPr>
          <w:szCs w:val="20"/>
          <w:lang w:val="es-ES_tradnl"/>
        </w:rPr>
        <w:t>Furlan</w:t>
      </w:r>
      <w:proofErr w:type="spellEnd"/>
      <w:r w:rsidRPr="003D49EB">
        <w:rPr>
          <w:szCs w:val="20"/>
          <w:lang w:val="es-ES_tradnl"/>
        </w:rPr>
        <w:t>.</w:t>
      </w:r>
    </w:p>
    <w:p w14:paraId="4FA090B5" w14:textId="0FC39F10" w:rsidR="00792714" w:rsidRPr="003D49EB" w:rsidRDefault="003C064C" w:rsidP="009A4683">
      <w:pPr>
        <w:tabs>
          <w:tab w:val="left" w:pos="720"/>
          <w:tab w:val="num" w:pos="11028"/>
        </w:tabs>
        <w:autoSpaceDE w:val="0"/>
        <w:autoSpaceDN w:val="0"/>
        <w:adjustRightInd w:val="0"/>
        <w:spacing w:after="100" w:afterAutospacing="1"/>
        <w:rPr>
          <w:rFonts w:eastAsia="Batang"/>
          <w:b/>
          <w:spacing w:val="-2"/>
          <w:szCs w:val="20"/>
        </w:rPr>
      </w:pPr>
      <w:r w:rsidRPr="003C064C">
        <w:rPr>
          <w:rFonts w:eastAsia="Batang"/>
          <w:b/>
          <w:spacing w:val="-2"/>
          <w:szCs w:val="20"/>
        </w:rPr>
        <w:t xml:space="preserve">Corte IDH. Caso Favela Nova </w:t>
      </w:r>
      <w:proofErr w:type="spellStart"/>
      <w:r w:rsidRPr="003C064C">
        <w:rPr>
          <w:rFonts w:eastAsia="Batang"/>
          <w:b/>
          <w:spacing w:val="-2"/>
          <w:szCs w:val="20"/>
        </w:rPr>
        <w:t>Brasília</w:t>
      </w:r>
      <w:proofErr w:type="spellEnd"/>
      <w:r w:rsidRPr="003C064C">
        <w:rPr>
          <w:rFonts w:eastAsia="Batang"/>
          <w:b/>
          <w:spacing w:val="-2"/>
          <w:szCs w:val="20"/>
        </w:rPr>
        <w:t xml:space="preserve"> Vs. Brasil. Excepciones Preliminares, Fondo, Reparaciones y Costas. Sentencia de 16 de febrero de 2017. Serie C No. 333</w:t>
      </w:r>
      <w:r>
        <w:rPr>
          <w:rFonts w:eastAsia="Batang"/>
          <w:b/>
          <w:spacing w:val="-2"/>
          <w:szCs w:val="20"/>
        </w:rPr>
        <w:t>.</w:t>
      </w:r>
      <w:r w:rsidRPr="003C064C">
        <w:rPr>
          <w:rFonts w:eastAsia="Batang"/>
          <w:b/>
          <w:spacing w:val="-2"/>
          <w:szCs w:val="20"/>
          <w:vertAlign w:val="superscript"/>
        </w:rPr>
        <w:footnoteReference w:id="65"/>
      </w:r>
    </w:p>
    <w:p w14:paraId="68CC0932" w14:textId="23C45F99" w:rsidR="00792714" w:rsidRPr="003D49EB" w:rsidRDefault="00792714" w:rsidP="003C064C">
      <w:pPr>
        <w:spacing w:after="100" w:afterAutospacing="1"/>
        <w:rPr>
          <w:rStyle w:val="EnelmismoCar"/>
          <w:rFonts w:eastAsia="Batang"/>
        </w:rPr>
      </w:pPr>
      <w:r w:rsidRPr="003C064C">
        <w:rPr>
          <w:rFonts w:eastAsia="Batang"/>
          <w:spacing w:val="-2"/>
          <w:szCs w:val="20"/>
        </w:rPr>
        <w:t>269.</w:t>
      </w:r>
      <w:r w:rsidRPr="003C064C">
        <w:rPr>
          <w:rFonts w:eastAsia="Batang"/>
          <w:spacing w:val="-2"/>
          <w:szCs w:val="20"/>
        </w:rPr>
        <w:tab/>
        <w:t>La Corte ha considerado en numerosos casos que los familiares de las víctimas de violaciones de los derechos humanos pueden ser, a su vez, víctimas</w:t>
      </w:r>
      <w:r w:rsidR="006A660B" w:rsidRPr="003C064C">
        <w:rPr>
          <w:rFonts w:eastAsia="Batang"/>
          <w:spacing w:val="-2"/>
          <w:szCs w:val="20"/>
        </w:rPr>
        <w:t>.</w:t>
      </w:r>
      <w:r w:rsidRPr="003C064C">
        <w:rPr>
          <w:rFonts w:eastAsia="Batang"/>
          <w:spacing w:val="-2"/>
          <w:szCs w:val="20"/>
        </w:rPr>
        <w:t xml:space="preserve"> El Tribunal ha considerado violado el derecho a la integridad psíquica y moral de familiares de víctimas con motivo del sufrimiento adicional que estos han padecido como producto de las circunstancias particulares de las violaciones perpetradas contra sus seres queridos y a causa de las posteriores actuaciones u omisiones de las autoridades estatales frente a los hechos</w:t>
      </w:r>
      <w:r w:rsidR="006A660B" w:rsidRPr="003C064C">
        <w:rPr>
          <w:rFonts w:eastAsia="Batang"/>
          <w:spacing w:val="-2"/>
          <w:szCs w:val="20"/>
        </w:rPr>
        <w:t>.</w:t>
      </w:r>
      <w:r w:rsidR="006A10E3" w:rsidRPr="003C064C">
        <w:rPr>
          <w:rFonts w:eastAsia="Batang"/>
          <w:spacing w:val="-2"/>
          <w:szCs w:val="20"/>
        </w:rPr>
        <w:t xml:space="preserve"> </w:t>
      </w:r>
      <w:r w:rsidR="006E5C73">
        <w:rPr>
          <w:rStyle w:val="EnelmismoCar"/>
          <w:rFonts w:eastAsia="Batang"/>
        </w:rPr>
        <w:t>En similar sentido, ver entre otros</w:t>
      </w:r>
      <w:r w:rsidR="006A10E3" w:rsidRPr="003D49EB">
        <w:rPr>
          <w:rStyle w:val="EnelmismoCar"/>
          <w:rFonts w:eastAsia="Batang"/>
        </w:rPr>
        <w:t xml:space="preserve">: </w:t>
      </w:r>
      <w:r w:rsidR="006A10E3" w:rsidRPr="003D49EB">
        <w:rPr>
          <w:rStyle w:val="EnelmismoCar"/>
        </w:rPr>
        <w:t xml:space="preserve">Caso de la Masacre de Pueblo Bello vs. Colombia. Sentencia de 31 de enero de 2006, párr. 154; </w:t>
      </w:r>
      <w:r w:rsidR="006A10E3" w:rsidRPr="003D49EB">
        <w:rPr>
          <w:rStyle w:val="EnelmismoCar"/>
          <w:rFonts w:eastAsia="Batang"/>
        </w:rPr>
        <w:t xml:space="preserve">Caso </w:t>
      </w:r>
      <w:proofErr w:type="spellStart"/>
      <w:r w:rsidR="006A10E3" w:rsidRPr="003D49EB">
        <w:rPr>
          <w:rStyle w:val="EnelmismoCar"/>
          <w:rFonts w:eastAsia="Batang"/>
        </w:rPr>
        <w:t>Ximenes</w:t>
      </w:r>
      <w:proofErr w:type="spellEnd"/>
      <w:r w:rsidR="006A10E3" w:rsidRPr="003D49EB">
        <w:rPr>
          <w:rStyle w:val="EnelmismoCar"/>
          <w:rFonts w:eastAsia="Batang"/>
        </w:rPr>
        <w:t xml:space="preserve"> </w:t>
      </w:r>
      <w:proofErr w:type="spellStart"/>
      <w:r w:rsidR="006A10E3" w:rsidRPr="003D49EB">
        <w:rPr>
          <w:rStyle w:val="EnelmismoCar"/>
          <w:rFonts w:eastAsia="Batang"/>
        </w:rPr>
        <w:t>Lopes</w:t>
      </w:r>
      <w:proofErr w:type="spellEnd"/>
      <w:r w:rsidR="006A10E3" w:rsidRPr="003D49EB">
        <w:rPr>
          <w:rStyle w:val="EnelmismoCar"/>
          <w:rFonts w:eastAsia="Batang"/>
        </w:rPr>
        <w:t xml:space="preserve"> vs. Brasil. Sentencia de 4 de julio de 2006, párr. 156; Caso Penal Miguel Castro </w:t>
      </w:r>
      <w:proofErr w:type="spellStart"/>
      <w:r w:rsidR="006A10E3" w:rsidRPr="003D49EB">
        <w:rPr>
          <w:rStyle w:val="EnelmismoCar"/>
          <w:rFonts w:eastAsia="Batang"/>
        </w:rPr>
        <w:t>Castro</w:t>
      </w:r>
      <w:proofErr w:type="spellEnd"/>
      <w:r w:rsidR="006A10E3" w:rsidRPr="003D49EB">
        <w:rPr>
          <w:rStyle w:val="EnelmismoCar"/>
          <w:rFonts w:eastAsia="Batang"/>
        </w:rPr>
        <w:t xml:space="preserve"> vs. Perú. Sentencia de 25 de noviembre de 2006, párr. 335; Caso de la Masacre de la Rochela vs. Colombia. Sentencia de 11 de mayo de 2007, párr. 137; Caso Fernández Ortega y otros vs. México. Sentencia de 30 de agosto de 2010, párr. 143; Caso Rosendo Cantú y Otras vs. México. Sentencia de 31 de agosto de 2010, párr. 143; Caso Familia Barrios vs. Venezuela. Sentencia de 24 de noviembre de 2011, párr. 301; Caso V.R.P., V.P.C. y otros Vs. Nicaragua. Excepciones Preliminares, Fondo, Reparaciones y Costas. Sentencia de 8 de marzo de 2018, párr. 327; Corte IDH. Caso Poblete Vilches y otros Vs. Chile. Fondo, Reparaciones y Costas. Sentencia de 8 de marzo de 2018, párr. 204.</w:t>
      </w:r>
    </w:p>
    <w:p w14:paraId="7689BBB8" w14:textId="255DC7F6" w:rsidR="00792714" w:rsidRPr="003D49EB" w:rsidRDefault="00792714"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lastRenderedPageBreak/>
        <w:t>270.</w:t>
      </w:r>
      <w:r w:rsidRPr="003D49EB">
        <w:rPr>
          <w:rFonts w:eastAsia="Batang"/>
          <w:spacing w:val="-2"/>
          <w:szCs w:val="20"/>
        </w:rPr>
        <w:tab/>
        <w:t>En el presente caso, la Corte nota que la falta de investigación de los hechos y la continuada impunidad pudieron haber generado daños y afectaciones a los familiares de las víctimas. Al respecto, la Corte cuenta con prueba en el expediente relacionada con los daños y sufrimientos que sufrieron algunos de los familiares de las personas muertas en las redadas policiales; con base en las declaraciones testimoniales escritas y presenciales, así como en los informes sobre el impacto psicosocial a los familiares de las víctimas, se evidencia que estos vieron su integridad personal afectada de una u otra manera</w:t>
      </w:r>
      <w:r w:rsidR="006A660B" w:rsidRPr="003D49EB">
        <w:rPr>
          <w:rFonts w:eastAsia="Batang"/>
          <w:spacing w:val="-2"/>
          <w:szCs w:val="20"/>
        </w:rPr>
        <w:t>.</w:t>
      </w:r>
      <w:r w:rsidRPr="003D49EB">
        <w:rPr>
          <w:rFonts w:eastAsia="Batang"/>
          <w:spacing w:val="-2"/>
          <w:szCs w:val="20"/>
        </w:rPr>
        <w:t xml:space="preserve"> </w:t>
      </w:r>
    </w:p>
    <w:p w14:paraId="1CF38C04" w14:textId="77777777" w:rsidR="00792714" w:rsidRPr="003D49EB" w:rsidRDefault="00792714"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271.</w:t>
      </w:r>
      <w:r w:rsidRPr="003D49EB">
        <w:rPr>
          <w:rFonts w:eastAsia="Batang"/>
          <w:spacing w:val="-2"/>
          <w:szCs w:val="20"/>
        </w:rPr>
        <w:tab/>
        <w:t>En vista de lo anterior, este Tribunal considera demostrado que, como consecuencia de la falta de investigación, juzgamiento y sanción de los responsables de las</w:t>
      </w:r>
      <w:r w:rsidR="008B18CE" w:rsidRPr="003D49EB">
        <w:rPr>
          <w:rFonts w:eastAsia="Batang"/>
          <w:spacing w:val="-2"/>
          <w:szCs w:val="20"/>
        </w:rPr>
        <w:t xml:space="preserve"> </w:t>
      </w:r>
      <w:r w:rsidRPr="003D49EB">
        <w:rPr>
          <w:rFonts w:eastAsia="Batang"/>
          <w:spacing w:val="-2"/>
          <w:szCs w:val="20"/>
        </w:rPr>
        <w:t xml:space="preserve">muertes de sus familiares, los señores y las señoras </w:t>
      </w:r>
      <w:proofErr w:type="spellStart"/>
      <w:r w:rsidRPr="003D49EB">
        <w:rPr>
          <w:rFonts w:eastAsia="Batang"/>
          <w:spacing w:val="-2"/>
          <w:szCs w:val="20"/>
        </w:rPr>
        <w:t>Mônica</w:t>
      </w:r>
      <w:proofErr w:type="spellEnd"/>
      <w:r w:rsidRPr="003D49EB">
        <w:rPr>
          <w:rFonts w:eastAsia="Batang"/>
          <w:spacing w:val="-2"/>
          <w:szCs w:val="20"/>
        </w:rPr>
        <w:t xml:space="preserve"> Santos de Souza </w:t>
      </w:r>
      <w:proofErr w:type="spellStart"/>
      <w:r w:rsidRPr="003D49EB">
        <w:rPr>
          <w:rFonts w:eastAsia="Batang"/>
          <w:spacing w:val="-2"/>
          <w:szCs w:val="20"/>
        </w:rPr>
        <w:t>Rodrigues</w:t>
      </w:r>
      <w:proofErr w:type="spellEnd"/>
      <w:r w:rsidRPr="003D49EB">
        <w:rPr>
          <w:rFonts w:eastAsia="Batang"/>
          <w:spacing w:val="-2"/>
          <w:szCs w:val="20"/>
        </w:rPr>
        <w:t xml:space="preserve">; Evelyn Santos de Souza </w:t>
      </w:r>
      <w:proofErr w:type="spellStart"/>
      <w:r w:rsidRPr="003D49EB">
        <w:rPr>
          <w:rFonts w:eastAsia="Batang"/>
          <w:spacing w:val="-2"/>
          <w:szCs w:val="20"/>
        </w:rPr>
        <w:t>Rodrigues</w:t>
      </w:r>
      <w:proofErr w:type="spellEnd"/>
      <w:r w:rsidRPr="003D49EB">
        <w:rPr>
          <w:rFonts w:eastAsia="Batang"/>
          <w:spacing w:val="-2"/>
          <w:szCs w:val="20"/>
        </w:rPr>
        <w:t xml:space="preserve">; </w:t>
      </w:r>
      <w:proofErr w:type="spellStart"/>
      <w:r w:rsidRPr="003D49EB">
        <w:rPr>
          <w:rFonts w:eastAsia="Batang"/>
          <w:spacing w:val="-2"/>
          <w:szCs w:val="20"/>
        </w:rPr>
        <w:t>Maria</w:t>
      </w:r>
      <w:proofErr w:type="spellEnd"/>
      <w:r w:rsidRPr="003D49EB">
        <w:rPr>
          <w:rFonts w:eastAsia="Batang"/>
          <w:spacing w:val="-2"/>
          <w:szCs w:val="20"/>
        </w:rPr>
        <w:t xml:space="preserve"> das </w:t>
      </w:r>
      <w:proofErr w:type="spellStart"/>
      <w:r w:rsidRPr="003D49EB">
        <w:rPr>
          <w:rFonts w:eastAsia="Batang"/>
          <w:spacing w:val="-2"/>
          <w:szCs w:val="20"/>
        </w:rPr>
        <w:t>Graças</w:t>
      </w:r>
      <w:proofErr w:type="spellEnd"/>
      <w:r w:rsidRPr="003D49EB">
        <w:rPr>
          <w:rFonts w:eastAsia="Batang"/>
          <w:spacing w:val="-2"/>
          <w:szCs w:val="20"/>
        </w:rPr>
        <w:t xml:space="preserve"> da Silva; Samuel da Silva </w:t>
      </w:r>
      <w:proofErr w:type="spellStart"/>
      <w:r w:rsidRPr="003D49EB">
        <w:rPr>
          <w:rFonts w:eastAsia="Batang"/>
          <w:spacing w:val="-2"/>
          <w:szCs w:val="20"/>
        </w:rPr>
        <w:t>Rodrigues</w:t>
      </w:r>
      <w:proofErr w:type="spellEnd"/>
      <w:r w:rsidRPr="003D49EB">
        <w:rPr>
          <w:rFonts w:eastAsia="Batang"/>
          <w:spacing w:val="-2"/>
          <w:szCs w:val="20"/>
        </w:rPr>
        <w:t xml:space="preserve">; </w:t>
      </w:r>
      <w:proofErr w:type="spellStart"/>
      <w:r w:rsidRPr="003D49EB">
        <w:rPr>
          <w:rFonts w:eastAsia="Batang"/>
          <w:spacing w:val="-2"/>
          <w:szCs w:val="20"/>
        </w:rPr>
        <w:t>Robson</w:t>
      </w:r>
      <w:proofErr w:type="spellEnd"/>
      <w:r w:rsidRPr="003D49EB">
        <w:rPr>
          <w:rFonts w:eastAsia="Batang"/>
          <w:spacing w:val="-2"/>
          <w:szCs w:val="20"/>
        </w:rPr>
        <w:t xml:space="preserve"> Genuino dos Santos Jr.; Michelle Mariano dos Santos; Bruna Fonseca Costa; Joyce Neri da Silva Dantas; </w:t>
      </w:r>
      <w:proofErr w:type="spellStart"/>
      <w:r w:rsidRPr="003D49EB">
        <w:rPr>
          <w:rFonts w:eastAsia="Batang"/>
          <w:spacing w:val="-2"/>
          <w:szCs w:val="20"/>
        </w:rPr>
        <w:t>Geni</w:t>
      </w:r>
      <w:proofErr w:type="spellEnd"/>
      <w:r w:rsidRPr="003D49EB">
        <w:rPr>
          <w:rFonts w:eastAsia="Batang"/>
          <w:spacing w:val="-2"/>
          <w:szCs w:val="20"/>
        </w:rPr>
        <w:t xml:space="preserve"> Pereira </w:t>
      </w:r>
      <w:proofErr w:type="spellStart"/>
      <w:r w:rsidRPr="003D49EB">
        <w:rPr>
          <w:rFonts w:eastAsia="Batang"/>
          <w:spacing w:val="-2"/>
          <w:szCs w:val="20"/>
        </w:rPr>
        <w:t>Dutra</w:t>
      </w:r>
      <w:proofErr w:type="spellEnd"/>
      <w:r w:rsidRPr="003D49EB">
        <w:rPr>
          <w:rFonts w:eastAsia="Batang"/>
          <w:spacing w:val="-2"/>
          <w:szCs w:val="20"/>
        </w:rPr>
        <w:t xml:space="preserve">; </w:t>
      </w:r>
      <w:proofErr w:type="spellStart"/>
      <w:r w:rsidRPr="003D49EB">
        <w:rPr>
          <w:rFonts w:eastAsia="Batang"/>
          <w:spacing w:val="-2"/>
          <w:szCs w:val="20"/>
        </w:rPr>
        <w:t>Diogo</w:t>
      </w:r>
      <w:proofErr w:type="spellEnd"/>
      <w:r w:rsidRPr="003D49EB">
        <w:rPr>
          <w:rFonts w:eastAsia="Batang"/>
          <w:spacing w:val="-2"/>
          <w:szCs w:val="20"/>
        </w:rPr>
        <w:t xml:space="preserve"> da Silva Genoveva; João Alves de </w:t>
      </w:r>
      <w:proofErr w:type="spellStart"/>
      <w:r w:rsidRPr="003D49EB">
        <w:rPr>
          <w:rFonts w:eastAsia="Batang"/>
          <w:spacing w:val="-2"/>
          <w:szCs w:val="20"/>
        </w:rPr>
        <w:t>Moura</w:t>
      </w:r>
      <w:proofErr w:type="spellEnd"/>
      <w:r w:rsidRPr="003D49EB">
        <w:rPr>
          <w:rFonts w:eastAsia="Batang"/>
          <w:spacing w:val="-2"/>
          <w:szCs w:val="20"/>
        </w:rPr>
        <w:t xml:space="preserve">; Helena </w:t>
      </w:r>
      <w:proofErr w:type="spellStart"/>
      <w:r w:rsidRPr="003D49EB">
        <w:rPr>
          <w:rFonts w:eastAsia="Batang"/>
          <w:spacing w:val="-2"/>
          <w:szCs w:val="20"/>
        </w:rPr>
        <w:t>Vianna</w:t>
      </w:r>
      <w:proofErr w:type="spellEnd"/>
      <w:r w:rsidRPr="003D49EB">
        <w:rPr>
          <w:rFonts w:eastAsia="Batang"/>
          <w:spacing w:val="-2"/>
          <w:szCs w:val="20"/>
        </w:rPr>
        <w:t xml:space="preserve"> dos Santos; </w:t>
      </w:r>
      <w:proofErr w:type="spellStart"/>
      <w:r w:rsidRPr="003D49EB">
        <w:rPr>
          <w:rFonts w:eastAsia="Batang"/>
          <w:spacing w:val="-2"/>
          <w:szCs w:val="20"/>
        </w:rPr>
        <w:t>Otacilio</w:t>
      </w:r>
      <w:proofErr w:type="spellEnd"/>
      <w:r w:rsidRPr="003D49EB">
        <w:rPr>
          <w:rFonts w:eastAsia="Batang"/>
          <w:spacing w:val="-2"/>
          <w:szCs w:val="20"/>
        </w:rPr>
        <w:t xml:space="preserve"> Costa; </w:t>
      </w:r>
      <w:proofErr w:type="spellStart"/>
      <w:r w:rsidRPr="003D49EB">
        <w:rPr>
          <w:rFonts w:eastAsia="Batang"/>
          <w:spacing w:val="-2"/>
          <w:szCs w:val="20"/>
        </w:rPr>
        <w:t>Pricila</w:t>
      </w:r>
      <w:proofErr w:type="spellEnd"/>
      <w:r w:rsidRPr="003D49EB">
        <w:rPr>
          <w:rFonts w:eastAsia="Batang"/>
          <w:spacing w:val="-2"/>
          <w:szCs w:val="20"/>
        </w:rPr>
        <w:t xml:space="preserve"> </w:t>
      </w:r>
      <w:proofErr w:type="spellStart"/>
      <w:r w:rsidRPr="003D49EB">
        <w:rPr>
          <w:rFonts w:eastAsia="Batang"/>
          <w:spacing w:val="-2"/>
          <w:szCs w:val="20"/>
        </w:rPr>
        <w:t>Rodrigues</w:t>
      </w:r>
      <w:proofErr w:type="spellEnd"/>
      <w:r w:rsidRPr="003D49EB">
        <w:rPr>
          <w:rFonts w:eastAsia="Batang"/>
          <w:spacing w:val="-2"/>
          <w:szCs w:val="20"/>
        </w:rPr>
        <w:t xml:space="preserve">, y William Mariano dos Santos han padecido un profundo sufrimiento y angustia en detrimento de su integridad psíquica y moral. </w:t>
      </w:r>
    </w:p>
    <w:p w14:paraId="464F26D5" w14:textId="080E203A" w:rsidR="00792714" w:rsidRPr="003D49EB" w:rsidRDefault="00792714"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272.</w:t>
      </w:r>
      <w:r w:rsidRPr="003D49EB">
        <w:rPr>
          <w:rFonts w:eastAsia="Batang"/>
          <w:spacing w:val="-2"/>
          <w:szCs w:val="20"/>
        </w:rPr>
        <w:tab/>
        <w:t>La falta de investigación respecto de las muertes de sus familiares produjo en las personas mencionadas supra una afectación a su integridad psíquica y moral, que incluyó una extrema desprotección y vulnerabilidad en la cual permanecen hoy en día. Además, estas personas han tenido efectos en el desarrollo normal de sus actividades diarias y en su proyecto de vida en general, pues muchos de los miembros de las familias han dedicado estos últimos años a mudarse de domicilio, a cambiar de trabajo, a renunciar a la educación para poder trabajar y asumir la responsabilidad a temprana de edad de ayudar en la manutención de la familia</w:t>
      </w:r>
      <w:r w:rsidR="006A660B" w:rsidRPr="003D49EB">
        <w:rPr>
          <w:rFonts w:eastAsia="Batang"/>
          <w:spacing w:val="-2"/>
          <w:szCs w:val="20"/>
        </w:rPr>
        <w:t>.</w:t>
      </w:r>
      <w:r w:rsidRPr="003D49EB">
        <w:rPr>
          <w:rFonts w:eastAsia="Batang"/>
          <w:spacing w:val="-2"/>
          <w:szCs w:val="20"/>
        </w:rPr>
        <w:t xml:space="preserve"> Sin embargo, respecto de los otros familiares</w:t>
      </w:r>
      <w:r w:rsidR="006A660B" w:rsidRPr="003D49EB">
        <w:rPr>
          <w:rFonts w:eastAsia="Batang"/>
          <w:spacing w:val="-2"/>
          <w:szCs w:val="20"/>
        </w:rPr>
        <w:t>,</w:t>
      </w:r>
      <w:r w:rsidRPr="003D49EB">
        <w:rPr>
          <w:rFonts w:eastAsia="Batang"/>
          <w:spacing w:val="-2"/>
          <w:szCs w:val="20"/>
        </w:rPr>
        <w:t xml:space="preserve"> la Corte no cuenta con ningún elemento de prueba para determinar la afectación en su integridad psíquica y moral, que sea consecuencia de la falta de investigación de los hechos de 1994 y 1995.</w:t>
      </w:r>
    </w:p>
    <w:p w14:paraId="659187C0" w14:textId="77777777" w:rsidR="00792714" w:rsidRPr="003D49EB" w:rsidRDefault="00792714"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273.</w:t>
      </w:r>
      <w:r w:rsidRPr="003D49EB">
        <w:rPr>
          <w:rFonts w:eastAsia="Batang"/>
          <w:spacing w:val="-2"/>
          <w:szCs w:val="20"/>
        </w:rPr>
        <w:tab/>
        <w:t xml:space="preserve">Por otro lado, con relación a L.R.J., C.S.S. y J.F.C., la Corte considera que, derivado de la completa falta de investigación de la violencia sexual de la cual habían sido víctimas, experimentaron sentimientos de angustia e inseguridad, así como frustración y sufrimiento. La falta de identificación y sanción de los responsables ocasionó que la angustia permaneciera por años, sin que se sintieran protegidas o reparadas. </w:t>
      </w:r>
    </w:p>
    <w:p w14:paraId="1B11D0CE" w14:textId="77777777" w:rsidR="00792714" w:rsidRPr="003D49EB" w:rsidRDefault="00792714"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274.</w:t>
      </w:r>
      <w:r w:rsidRPr="003D49EB">
        <w:rPr>
          <w:rFonts w:eastAsia="Batang"/>
          <w:spacing w:val="-2"/>
          <w:szCs w:val="20"/>
        </w:rPr>
        <w:tab/>
        <w:t xml:space="preserve">De esta manera, tomando en consideración las circunstancias del presente caso, y los affidávits presentados, el Tribunal concluye que el Estado violó el derecho a la integridad personal, previsto en el artículo 5.1 de la Convención Americana, en relación con el artículo 1.1 del mismo instrumento, en perjuicio de: </w:t>
      </w:r>
      <w:proofErr w:type="spellStart"/>
      <w:r w:rsidRPr="003D49EB">
        <w:rPr>
          <w:rFonts w:eastAsia="Batang"/>
          <w:spacing w:val="-2"/>
          <w:szCs w:val="20"/>
        </w:rPr>
        <w:t>Mônica</w:t>
      </w:r>
      <w:proofErr w:type="spellEnd"/>
      <w:r w:rsidRPr="003D49EB">
        <w:rPr>
          <w:rFonts w:eastAsia="Batang"/>
          <w:spacing w:val="-2"/>
          <w:szCs w:val="20"/>
        </w:rPr>
        <w:t xml:space="preserve"> Santos de Souza </w:t>
      </w:r>
      <w:proofErr w:type="spellStart"/>
      <w:r w:rsidRPr="003D49EB">
        <w:rPr>
          <w:rFonts w:eastAsia="Batang"/>
          <w:spacing w:val="-2"/>
          <w:szCs w:val="20"/>
        </w:rPr>
        <w:t>Rodrigues</w:t>
      </w:r>
      <w:proofErr w:type="spellEnd"/>
      <w:r w:rsidRPr="003D49EB">
        <w:rPr>
          <w:rFonts w:eastAsia="Batang"/>
          <w:spacing w:val="-2"/>
          <w:szCs w:val="20"/>
        </w:rPr>
        <w:t xml:space="preserve">; Evelyn Santos de Souza </w:t>
      </w:r>
      <w:proofErr w:type="spellStart"/>
      <w:r w:rsidRPr="003D49EB">
        <w:rPr>
          <w:rFonts w:eastAsia="Batang"/>
          <w:spacing w:val="-2"/>
          <w:szCs w:val="20"/>
        </w:rPr>
        <w:t>Rodrigues</w:t>
      </w:r>
      <w:proofErr w:type="spellEnd"/>
      <w:r w:rsidRPr="003D49EB">
        <w:rPr>
          <w:rFonts w:eastAsia="Batang"/>
          <w:spacing w:val="-2"/>
          <w:szCs w:val="20"/>
        </w:rPr>
        <w:t xml:space="preserve">; </w:t>
      </w:r>
      <w:proofErr w:type="spellStart"/>
      <w:r w:rsidRPr="003D49EB">
        <w:rPr>
          <w:rFonts w:eastAsia="Batang"/>
          <w:spacing w:val="-2"/>
          <w:szCs w:val="20"/>
        </w:rPr>
        <w:t>Maria</w:t>
      </w:r>
      <w:proofErr w:type="spellEnd"/>
      <w:r w:rsidRPr="003D49EB">
        <w:rPr>
          <w:rFonts w:eastAsia="Batang"/>
          <w:spacing w:val="-2"/>
          <w:szCs w:val="20"/>
        </w:rPr>
        <w:t xml:space="preserve"> das </w:t>
      </w:r>
      <w:proofErr w:type="spellStart"/>
      <w:r w:rsidRPr="003D49EB">
        <w:rPr>
          <w:rFonts w:eastAsia="Batang"/>
          <w:spacing w:val="-2"/>
          <w:szCs w:val="20"/>
        </w:rPr>
        <w:t>Graças</w:t>
      </w:r>
      <w:proofErr w:type="spellEnd"/>
      <w:r w:rsidRPr="003D49EB">
        <w:rPr>
          <w:rFonts w:eastAsia="Batang"/>
          <w:spacing w:val="-2"/>
          <w:szCs w:val="20"/>
        </w:rPr>
        <w:t xml:space="preserve"> da Silva; Samuel da Silva </w:t>
      </w:r>
      <w:proofErr w:type="spellStart"/>
      <w:r w:rsidRPr="003D49EB">
        <w:rPr>
          <w:rFonts w:eastAsia="Batang"/>
          <w:spacing w:val="-2"/>
          <w:szCs w:val="20"/>
        </w:rPr>
        <w:t>Rodrigues</w:t>
      </w:r>
      <w:proofErr w:type="spellEnd"/>
      <w:r w:rsidRPr="003D49EB">
        <w:rPr>
          <w:rFonts w:eastAsia="Batang"/>
          <w:spacing w:val="-2"/>
          <w:szCs w:val="20"/>
        </w:rPr>
        <w:t xml:space="preserve">; </w:t>
      </w:r>
      <w:proofErr w:type="spellStart"/>
      <w:r w:rsidRPr="003D49EB">
        <w:rPr>
          <w:rFonts w:eastAsia="Batang"/>
          <w:spacing w:val="-2"/>
          <w:szCs w:val="20"/>
        </w:rPr>
        <w:t>Robson</w:t>
      </w:r>
      <w:proofErr w:type="spellEnd"/>
      <w:r w:rsidRPr="003D49EB">
        <w:rPr>
          <w:rFonts w:eastAsia="Batang"/>
          <w:spacing w:val="-2"/>
          <w:szCs w:val="20"/>
        </w:rPr>
        <w:t xml:space="preserve"> Genuino dos Santos Jr.; Michelle Mariano dos Santos; Bruna Fonseca Costa; Joyce Neri da Silva Dantas; </w:t>
      </w:r>
      <w:proofErr w:type="spellStart"/>
      <w:r w:rsidRPr="003D49EB">
        <w:rPr>
          <w:rFonts w:eastAsia="Batang"/>
          <w:spacing w:val="-2"/>
          <w:szCs w:val="20"/>
        </w:rPr>
        <w:t>Geni</w:t>
      </w:r>
      <w:proofErr w:type="spellEnd"/>
      <w:r w:rsidRPr="003D49EB">
        <w:rPr>
          <w:rFonts w:eastAsia="Batang"/>
          <w:spacing w:val="-2"/>
          <w:szCs w:val="20"/>
        </w:rPr>
        <w:t xml:space="preserve"> Pereira </w:t>
      </w:r>
      <w:proofErr w:type="spellStart"/>
      <w:r w:rsidRPr="003D49EB">
        <w:rPr>
          <w:rFonts w:eastAsia="Batang"/>
          <w:spacing w:val="-2"/>
          <w:szCs w:val="20"/>
        </w:rPr>
        <w:t>Dutra</w:t>
      </w:r>
      <w:proofErr w:type="spellEnd"/>
      <w:r w:rsidRPr="003D49EB">
        <w:rPr>
          <w:rFonts w:eastAsia="Batang"/>
          <w:spacing w:val="-2"/>
          <w:szCs w:val="20"/>
        </w:rPr>
        <w:t xml:space="preserve">; </w:t>
      </w:r>
      <w:proofErr w:type="spellStart"/>
      <w:r w:rsidRPr="003D49EB">
        <w:rPr>
          <w:rFonts w:eastAsia="Batang"/>
          <w:spacing w:val="-2"/>
          <w:szCs w:val="20"/>
        </w:rPr>
        <w:t>Diogo</w:t>
      </w:r>
      <w:proofErr w:type="spellEnd"/>
      <w:r w:rsidRPr="003D49EB">
        <w:rPr>
          <w:rFonts w:eastAsia="Batang"/>
          <w:spacing w:val="-2"/>
          <w:szCs w:val="20"/>
        </w:rPr>
        <w:t xml:space="preserve"> da Silva Genoveva; João Alves de </w:t>
      </w:r>
      <w:proofErr w:type="spellStart"/>
      <w:r w:rsidRPr="003D49EB">
        <w:rPr>
          <w:rFonts w:eastAsia="Batang"/>
          <w:spacing w:val="-2"/>
          <w:szCs w:val="20"/>
        </w:rPr>
        <w:t>Moura</w:t>
      </w:r>
      <w:proofErr w:type="spellEnd"/>
      <w:r w:rsidRPr="003D49EB">
        <w:rPr>
          <w:rFonts w:eastAsia="Batang"/>
          <w:spacing w:val="-2"/>
          <w:szCs w:val="20"/>
        </w:rPr>
        <w:t xml:space="preserve">; Helena </w:t>
      </w:r>
      <w:proofErr w:type="spellStart"/>
      <w:r w:rsidRPr="003D49EB">
        <w:rPr>
          <w:rFonts w:eastAsia="Batang"/>
          <w:spacing w:val="-2"/>
          <w:szCs w:val="20"/>
        </w:rPr>
        <w:t>Vianna</w:t>
      </w:r>
      <w:proofErr w:type="spellEnd"/>
      <w:r w:rsidRPr="003D49EB">
        <w:rPr>
          <w:rFonts w:eastAsia="Batang"/>
          <w:spacing w:val="-2"/>
          <w:szCs w:val="20"/>
        </w:rPr>
        <w:t xml:space="preserve"> dos Santos; </w:t>
      </w:r>
      <w:proofErr w:type="spellStart"/>
      <w:r w:rsidRPr="003D49EB">
        <w:rPr>
          <w:rFonts w:eastAsia="Batang"/>
          <w:spacing w:val="-2"/>
          <w:szCs w:val="20"/>
        </w:rPr>
        <w:t>Otacilio</w:t>
      </w:r>
      <w:proofErr w:type="spellEnd"/>
      <w:r w:rsidRPr="003D49EB">
        <w:rPr>
          <w:rFonts w:eastAsia="Batang"/>
          <w:spacing w:val="-2"/>
          <w:szCs w:val="20"/>
        </w:rPr>
        <w:t xml:space="preserve"> Costa; </w:t>
      </w:r>
      <w:proofErr w:type="spellStart"/>
      <w:r w:rsidRPr="003D49EB">
        <w:rPr>
          <w:rFonts w:eastAsia="Batang"/>
          <w:spacing w:val="-2"/>
          <w:szCs w:val="20"/>
        </w:rPr>
        <w:t>Pricila</w:t>
      </w:r>
      <w:proofErr w:type="spellEnd"/>
      <w:r w:rsidRPr="003D49EB">
        <w:rPr>
          <w:rFonts w:eastAsia="Batang"/>
          <w:spacing w:val="-2"/>
          <w:szCs w:val="20"/>
        </w:rPr>
        <w:t xml:space="preserve"> </w:t>
      </w:r>
      <w:proofErr w:type="spellStart"/>
      <w:r w:rsidRPr="003D49EB">
        <w:rPr>
          <w:rFonts w:eastAsia="Batang"/>
          <w:spacing w:val="-2"/>
          <w:szCs w:val="20"/>
        </w:rPr>
        <w:t>Rodrigues</w:t>
      </w:r>
      <w:proofErr w:type="spellEnd"/>
      <w:r w:rsidRPr="003D49EB">
        <w:rPr>
          <w:rFonts w:eastAsia="Batang"/>
          <w:spacing w:val="-2"/>
          <w:szCs w:val="20"/>
        </w:rPr>
        <w:t xml:space="preserve">; William Mariano dos Santos; L.R.J., C.S.S. y J.F.C. </w:t>
      </w:r>
    </w:p>
    <w:p w14:paraId="15843293" w14:textId="32FC62DE" w:rsidR="00792714" w:rsidRPr="003D49EB" w:rsidRDefault="000E6A69" w:rsidP="009A4683">
      <w:pPr>
        <w:tabs>
          <w:tab w:val="left" w:pos="720"/>
          <w:tab w:val="num" w:pos="11028"/>
        </w:tabs>
        <w:autoSpaceDE w:val="0"/>
        <w:autoSpaceDN w:val="0"/>
        <w:adjustRightInd w:val="0"/>
        <w:spacing w:after="100" w:afterAutospacing="1"/>
        <w:rPr>
          <w:rFonts w:eastAsia="Batang"/>
          <w:b/>
          <w:spacing w:val="-2"/>
          <w:szCs w:val="20"/>
        </w:rPr>
      </w:pPr>
      <w:r w:rsidRPr="000E6A69">
        <w:rPr>
          <w:rFonts w:eastAsia="Batang"/>
          <w:b/>
          <w:spacing w:val="-2"/>
          <w:szCs w:val="20"/>
        </w:rPr>
        <w:t>Corte IDH. Caso Pacheco León y otros Vs. Honduras. Fondo, Reparaciones y Costas. Sentencia de 15 de noviembre 2017. Serie C No. 342</w:t>
      </w:r>
      <w:r>
        <w:rPr>
          <w:rFonts w:eastAsia="Batang"/>
          <w:b/>
          <w:spacing w:val="-2"/>
          <w:szCs w:val="20"/>
        </w:rPr>
        <w:t>.</w:t>
      </w:r>
      <w:r w:rsidR="008F42C5" w:rsidRPr="003D49EB">
        <w:rPr>
          <w:rStyle w:val="Refdenotaalpie"/>
          <w:rFonts w:eastAsia="Batang"/>
          <w:b/>
          <w:spacing w:val="-2"/>
          <w:szCs w:val="20"/>
        </w:rPr>
        <w:footnoteReference w:id="66"/>
      </w:r>
    </w:p>
    <w:p w14:paraId="0B94ECAD" w14:textId="0DE05EE4" w:rsidR="00792714" w:rsidRPr="003D49EB" w:rsidRDefault="00792714"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lastRenderedPageBreak/>
        <w:t>170.</w:t>
      </w:r>
      <w:r w:rsidRPr="003D49EB">
        <w:rPr>
          <w:rFonts w:eastAsia="Batang"/>
          <w:spacing w:val="-2"/>
          <w:szCs w:val="20"/>
        </w:rPr>
        <w:tab/>
        <w:t>Ahora bien, de conformidad a lo señalado por este Tribunal, se puede declarar violado el derecho a la integridad personal de una persona a partir de actuaciones u omisiones de las autoridades en relación con la investigación de hechos perpetrados contra sus seres queridos</w:t>
      </w:r>
      <w:r w:rsidR="006A660B" w:rsidRPr="003D49EB">
        <w:rPr>
          <w:rFonts w:eastAsia="Batang"/>
          <w:spacing w:val="-2"/>
          <w:szCs w:val="20"/>
        </w:rPr>
        <w:t>,</w:t>
      </w:r>
      <w:r w:rsidRPr="003D49EB">
        <w:rPr>
          <w:rFonts w:eastAsia="Batang"/>
          <w:spacing w:val="-2"/>
          <w:szCs w:val="20"/>
        </w:rPr>
        <w:t xml:space="preserve"> tomando en cuenta, entre otros elementos, las gestiones realizadas para obtener justicia y la existencia de un estrecho vínculo familiar</w:t>
      </w:r>
      <w:r w:rsidR="006A660B" w:rsidRPr="003D49EB">
        <w:rPr>
          <w:rFonts w:eastAsia="Batang"/>
          <w:spacing w:val="-2"/>
          <w:szCs w:val="20"/>
        </w:rPr>
        <w:t>.</w:t>
      </w:r>
      <w:r w:rsidRPr="003D49EB">
        <w:rPr>
          <w:rFonts w:eastAsia="Batang"/>
          <w:spacing w:val="-2"/>
          <w:szCs w:val="20"/>
        </w:rPr>
        <w:t xml:space="preserve"> Por otra parte, en el caso Defensor de Derechos Humanos y otros Vs. Guatemala la Corte tuvo en consideración la existencia de amenazas a partir del deber de prevenir afectaciones a la integridad personal</w:t>
      </w:r>
      <w:r w:rsidR="006A660B" w:rsidRPr="003D49EB">
        <w:rPr>
          <w:rFonts w:eastAsia="Batang"/>
          <w:spacing w:val="-2"/>
          <w:szCs w:val="20"/>
        </w:rPr>
        <w:t>.</w:t>
      </w:r>
      <w:r w:rsidRPr="003D49EB">
        <w:rPr>
          <w:rFonts w:eastAsia="Batang"/>
          <w:spacing w:val="-2"/>
          <w:szCs w:val="20"/>
        </w:rPr>
        <w:t xml:space="preserve"> Por tanto, debe examinarse si, conforme a la prueba existente respecto a cada uno de los familiares del señor Pacheco</w:t>
      </w:r>
      <w:r w:rsidR="006A660B" w:rsidRPr="003D49EB">
        <w:rPr>
          <w:rFonts w:eastAsia="Batang"/>
          <w:spacing w:val="-2"/>
          <w:szCs w:val="20"/>
        </w:rPr>
        <w:t>,</w:t>
      </w:r>
      <w:r w:rsidRPr="003D49EB">
        <w:rPr>
          <w:rFonts w:eastAsia="Batang"/>
          <w:spacing w:val="-2"/>
          <w:szCs w:val="20"/>
        </w:rPr>
        <w:t xml:space="preserve"> las dificultades en la investigación judicial de los hechos, así como las amenazas, hostigamientos y otros actos aducidos implicaron una lesión a la integridad personal.</w:t>
      </w:r>
    </w:p>
    <w:p w14:paraId="6B484FF5" w14:textId="77777777" w:rsidR="00792714" w:rsidRPr="003D49EB" w:rsidRDefault="00792714"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177.</w:t>
      </w:r>
      <w:r w:rsidRPr="003D49EB">
        <w:rPr>
          <w:rFonts w:eastAsia="Batang"/>
          <w:spacing w:val="-2"/>
          <w:szCs w:val="20"/>
        </w:rPr>
        <w:tab/>
        <w:t xml:space="preserve">Debe dejarse sentado que no resulta razonable asumir como acreditado, ni surge de la prueba, el supuesto nexo causal entre el modo en que se llevó a cabo la investigación de los hechos y las siguientes circunstancias aducidas por los representantes: problemas de depresión y salud de Cinthia </w:t>
      </w:r>
      <w:proofErr w:type="spellStart"/>
      <w:r w:rsidRPr="003D49EB">
        <w:rPr>
          <w:rFonts w:eastAsia="Batang"/>
          <w:spacing w:val="-2"/>
          <w:szCs w:val="20"/>
        </w:rPr>
        <w:t>Mirella</w:t>
      </w:r>
      <w:proofErr w:type="spellEnd"/>
      <w:r w:rsidRPr="003D49EB">
        <w:rPr>
          <w:rFonts w:eastAsia="Batang"/>
          <w:spacing w:val="-2"/>
          <w:szCs w:val="20"/>
        </w:rPr>
        <w:t xml:space="preserve"> Pacheco </w:t>
      </w:r>
      <w:proofErr w:type="spellStart"/>
      <w:r w:rsidRPr="003D49EB">
        <w:rPr>
          <w:rFonts w:eastAsia="Batang"/>
          <w:spacing w:val="-2"/>
          <w:szCs w:val="20"/>
        </w:rPr>
        <w:t>Deviciente</w:t>
      </w:r>
      <w:proofErr w:type="spellEnd"/>
      <w:r w:rsidRPr="003D49EB">
        <w:rPr>
          <w:rFonts w:eastAsia="Batang"/>
          <w:spacing w:val="-2"/>
          <w:szCs w:val="20"/>
        </w:rPr>
        <w:t xml:space="preserve"> y las circunstancias mencionadas atinentes a su hijo; los problemas puntuales de sueño y alimentación que tendría Andrea Pacheco López, así como el accidente de tránsito que habría padecido y sus consecuencias.</w:t>
      </w:r>
    </w:p>
    <w:p w14:paraId="5030632A" w14:textId="77777777" w:rsidR="008F42C5" w:rsidRPr="003D49EB" w:rsidRDefault="00792714"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180.</w:t>
      </w:r>
      <w:r w:rsidRPr="003D49EB">
        <w:rPr>
          <w:rFonts w:eastAsia="Batang"/>
          <w:spacing w:val="-2"/>
          <w:szCs w:val="20"/>
        </w:rPr>
        <w:tab/>
        <w:t xml:space="preserve">La Corte encuentra que es inconsistente la prueba concreta relativa a cada uno de los familiares del señor Pacheco, en cuanto a afectaciones que se habrían producido como consecuencia del modo en que se condujeron las investigaciones. No obstante, la Corte toma en cuenta, de acuerdo a lo expuesto, que </w:t>
      </w:r>
      <w:proofErr w:type="spellStart"/>
      <w:r w:rsidRPr="003D49EB">
        <w:rPr>
          <w:rFonts w:eastAsia="Batang"/>
          <w:spacing w:val="-2"/>
          <w:szCs w:val="20"/>
        </w:rPr>
        <w:t>Marleny</w:t>
      </w:r>
      <w:proofErr w:type="spellEnd"/>
      <w:r w:rsidRPr="003D49EB">
        <w:rPr>
          <w:rFonts w:eastAsia="Batang"/>
          <w:spacing w:val="-2"/>
          <w:szCs w:val="20"/>
        </w:rPr>
        <w:t xml:space="preserve"> Pacheco Posadas y José Pacheco asumieron la búsqueda de justicia, y la “revictimización” que en el marco del proceso interno sufrió </w:t>
      </w:r>
      <w:proofErr w:type="spellStart"/>
      <w:r w:rsidRPr="003D49EB">
        <w:rPr>
          <w:rFonts w:eastAsia="Batang"/>
          <w:spacing w:val="-2"/>
          <w:szCs w:val="20"/>
        </w:rPr>
        <w:t>Jimy</w:t>
      </w:r>
      <w:proofErr w:type="spellEnd"/>
      <w:r w:rsidRPr="003D49EB">
        <w:rPr>
          <w:rFonts w:eastAsia="Batang"/>
          <w:spacing w:val="-2"/>
          <w:szCs w:val="20"/>
        </w:rPr>
        <w:t xml:space="preserve"> Pacheco. Además, nota los señalamientos de la madre y compañera del señor Pacheco, Andrea Pacheco López y Blanca Rosa Herrera Rodríguez, sobre la afectación emocional vinculada a la falta de resultado de la investigación. Las referencias </w:t>
      </w:r>
      <w:proofErr w:type="spellStart"/>
      <w:r w:rsidRPr="003D49EB">
        <w:rPr>
          <w:rFonts w:eastAsia="Batang"/>
          <w:spacing w:val="-2"/>
          <w:szCs w:val="20"/>
        </w:rPr>
        <w:t>antendichas</w:t>
      </w:r>
      <w:proofErr w:type="spellEnd"/>
      <w:r w:rsidRPr="003D49EB">
        <w:rPr>
          <w:rFonts w:eastAsia="Batang"/>
          <w:spacing w:val="-2"/>
          <w:szCs w:val="20"/>
        </w:rPr>
        <w:t>, aunadas al dictamen pericial de la señora Rodríguez Matute, permiten concluir que las personas aludidas vieron afectada su integridad personal a causa del modo en que el Estado condujo las actuaciones de investigación.</w:t>
      </w:r>
    </w:p>
    <w:p w14:paraId="3C34190E" w14:textId="37034E1E" w:rsidR="000E6A69" w:rsidRDefault="000E6A69" w:rsidP="009A4683">
      <w:pPr>
        <w:tabs>
          <w:tab w:val="left" w:pos="720"/>
          <w:tab w:val="num" w:pos="11028"/>
        </w:tabs>
        <w:autoSpaceDE w:val="0"/>
        <w:autoSpaceDN w:val="0"/>
        <w:adjustRightInd w:val="0"/>
        <w:spacing w:after="100" w:afterAutospacing="1"/>
        <w:rPr>
          <w:rFonts w:eastAsia="Batang"/>
          <w:b/>
          <w:bCs/>
          <w:spacing w:val="-2"/>
          <w:szCs w:val="20"/>
          <w:lang w:val="es-GT"/>
        </w:rPr>
      </w:pPr>
      <w:r w:rsidRPr="000E6A69">
        <w:rPr>
          <w:rFonts w:eastAsia="Batang"/>
          <w:b/>
          <w:bCs/>
          <w:spacing w:val="-2"/>
          <w:szCs w:val="20"/>
          <w:lang w:val="es-GT"/>
        </w:rPr>
        <w:t>Corte IDH. Caso Poblete Vilches y otros Vs. Chile. Fondo, Reparaciones y Costas. Sentencia de 8 de marzo de 2018. Serie C No. 349</w:t>
      </w:r>
      <w:r>
        <w:rPr>
          <w:rFonts w:eastAsia="Batang"/>
          <w:b/>
          <w:bCs/>
          <w:spacing w:val="-2"/>
          <w:szCs w:val="20"/>
          <w:lang w:val="es-GT"/>
        </w:rPr>
        <w:t>.</w:t>
      </w:r>
      <w:r w:rsidRPr="000E6A69">
        <w:rPr>
          <w:rFonts w:eastAsia="Batang"/>
          <w:b/>
          <w:bCs/>
          <w:spacing w:val="-2"/>
          <w:szCs w:val="20"/>
          <w:vertAlign w:val="superscript"/>
          <w:lang w:val="es-GT"/>
        </w:rPr>
        <w:footnoteReference w:id="67"/>
      </w:r>
    </w:p>
    <w:p w14:paraId="52F40FA2" w14:textId="16E3CCCA" w:rsidR="008F42C5" w:rsidRPr="003D49EB" w:rsidRDefault="008F42C5"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205.</w:t>
      </w:r>
      <w:r w:rsidRPr="003D49EB">
        <w:rPr>
          <w:rFonts w:eastAsia="Batang"/>
          <w:spacing w:val="-2"/>
          <w:szCs w:val="20"/>
        </w:rPr>
        <w:tab/>
        <w:t>Esta Corte también ha destacado que la contribución de parte del Estado para crear o agravar la situación de vulnerabilidad de una persona posee un impacto significativo en la integridad de las personas que le rodean, en particular de los familiares cercanos que se ven obligados a afrontar la incertidumbre e inseguridad generada por la vulneración de su familia nuclear o cercana</w:t>
      </w:r>
      <w:r w:rsidR="006A660B" w:rsidRPr="003D49EB">
        <w:rPr>
          <w:rFonts w:eastAsia="Batang"/>
          <w:spacing w:val="-2"/>
          <w:szCs w:val="20"/>
        </w:rPr>
        <w:t>.</w:t>
      </w:r>
    </w:p>
    <w:p w14:paraId="7808AD76" w14:textId="77777777" w:rsidR="008F42C5" w:rsidRPr="003D49EB" w:rsidRDefault="008F42C5"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lastRenderedPageBreak/>
        <w:t>207.</w:t>
      </w:r>
      <w:r w:rsidRPr="003D49EB">
        <w:rPr>
          <w:rFonts w:eastAsia="Batang"/>
          <w:spacing w:val="-2"/>
          <w:szCs w:val="20"/>
        </w:rPr>
        <w:tab/>
        <w:t xml:space="preserve">Al respecto, la Corte no cuenta con elementos para determinar fehacientemente que los padecimientos físicos y los desenlaces mortales referidos por los familiares fueran consecuencia necesaria de los hechos analizados en este caso. Al no existir prueba que acredite el nexo causal entre sus afectaciones físicas y las imputaciones realizadas al Estado, la Corte concluye que no se acreditó una violación en este aspecto a la integridad personal en perjuicio de Blanca Tapia Encina, Vinicio Marco Antonio Poblete Vilches, </w:t>
      </w:r>
      <w:proofErr w:type="spellStart"/>
      <w:r w:rsidRPr="003D49EB">
        <w:rPr>
          <w:rFonts w:eastAsia="Batang"/>
          <w:spacing w:val="-2"/>
          <w:szCs w:val="20"/>
        </w:rPr>
        <w:t>Cesia</w:t>
      </w:r>
      <w:proofErr w:type="spellEnd"/>
      <w:r w:rsidRPr="003D49EB">
        <w:rPr>
          <w:rFonts w:eastAsia="Batang"/>
          <w:spacing w:val="-2"/>
          <w:szCs w:val="20"/>
        </w:rPr>
        <w:t xml:space="preserve"> Leila Siria Poblete Vilches y Gonzalo Poblete Vilches.</w:t>
      </w:r>
    </w:p>
    <w:p w14:paraId="7FF3927B" w14:textId="1DBF8935" w:rsidR="008F42C5" w:rsidRPr="003D49EB" w:rsidRDefault="008F42C5"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208.</w:t>
      </w:r>
      <w:r w:rsidRPr="003D49EB">
        <w:rPr>
          <w:rFonts w:eastAsia="Batang"/>
          <w:spacing w:val="-2"/>
          <w:szCs w:val="20"/>
        </w:rPr>
        <w:tab/>
        <w:t>No obstante, el Tribunal ha estimado violado el derecho a la integridad psíquica y moral en perjuicio de determinados familiares con motivo del sufrimiento que estos han padecido a causa de las actuaciones u omisiones de las autoridades estatales</w:t>
      </w:r>
      <w:r w:rsidR="006A660B" w:rsidRPr="003D49EB">
        <w:rPr>
          <w:rFonts w:eastAsia="Batang"/>
          <w:spacing w:val="-2"/>
          <w:szCs w:val="20"/>
        </w:rPr>
        <w:t>,</w:t>
      </w:r>
      <w:r w:rsidRPr="003D49EB">
        <w:rPr>
          <w:rFonts w:eastAsia="Batang"/>
          <w:spacing w:val="-2"/>
          <w:szCs w:val="20"/>
        </w:rPr>
        <w:t xml:space="preserve"> considerando, entre otros aspectos, las gestiones llevadas a cabo por éstos para obtener justicia y la existencia de un estrecho vínculo familiar</w:t>
      </w:r>
      <w:r w:rsidR="006A660B" w:rsidRPr="003D49EB">
        <w:rPr>
          <w:rFonts w:eastAsia="Batang"/>
          <w:spacing w:val="-2"/>
          <w:szCs w:val="20"/>
        </w:rPr>
        <w:t>.</w:t>
      </w:r>
      <w:r w:rsidRPr="003D49EB">
        <w:rPr>
          <w:rFonts w:eastAsia="Batang"/>
          <w:spacing w:val="-2"/>
          <w:szCs w:val="20"/>
        </w:rPr>
        <w:t xml:space="preserve"> Del mismo modo, ha sido determinado la violación de este derecho en virtud del sufrimiento ocasionado a partir de los hechos perpetrados en contra de sus seres queridos</w:t>
      </w:r>
      <w:r w:rsidR="006A660B" w:rsidRPr="003D49EB">
        <w:rPr>
          <w:rFonts w:eastAsia="Batang"/>
          <w:spacing w:val="-2"/>
          <w:szCs w:val="20"/>
        </w:rPr>
        <w:t>.</w:t>
      </w:r>
      <w:r w:rsidRPr="003D49EB">
        <w:rPr>
          <w:rFonts w:eastAsia="Batang"/>
          <w:spacing w:val="-2"/>
          <w:szCs w:val="20"/>
        </w:rPr>
        <w:t xml:space="preserve"> </w:t>
      </w:r>
    </w:p>
    <w:p w14:paraId="3E477A63" w14:textId="2909640B" w:rsidR="00792714" w:rsidRPr="003D49EB" w:rsidRDefault="008F42C5"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210.</w:t>
      </w:r>
      <w:r w:rsidRPr="003D49EB">
        <w:rPr>
          <w:rFonts w:eastAsia="Batang"/>
          <w:spacing w:val="-2"/>
          <w:szCs w:val="20"/>
        </w:rPr>
        <w:tab/>
        <w:t xml:space="preserve">En este sentido, el Tribunal estima que para el caso concreto se acreditó que, con motivo del estrecho vínculo familiar que guardaban con la víctima directa, se desprenden lógicos los sufrimientos ocasionados con motivo del trato recibido en un primer momento en el Hospital </w:t>
      </w:r>
      <w:proofErr w:type="spellStart"/>
      <w:r w:rsidRPr="003D49EB">
        <w:rPr>
          <w:rFonts w:eastAsia="Batang"/>
          <w:spacing w:val="-2"/>
          <w:szCs w:val="20"/>
        </w:rPr>
        <w:t>Sótero</w:t>
      </w:r>
      <w:proofErr w:type="spellEnd"/>
      <w:r w:rsidRPr="003D49EB">
        <w:rPr>
          <w:rFonts w:eastAsia="Batang"/>
          <w:spacing w:val="-2"/>
          <w:szCs w:val="20"/>
        </w:rPr>
        <w:t xml:space="preserve"> del Río, tales como la imposibilidad de ver a su familiar, la falta de información sobre un diagnóstico claro del paciente y forma de atenderlo en su domicilio al ser dado de alta, y particularmente la falta de obtención de su consentimiento respecto de la intervención a su familiar </w:t>
      </w:r>
      <w:r w:rsidR="00632C28">
        <w:rPr>
          <w:rFonts w:eastAsia="Batang"/>
          <w:spacing w:val="-2"/>
          <w:szCs w:val="20"/>
        </w:rPr>
        <w:t>[...]</w:t>
      </w:r>
      <w:r w:rsidRPr="003D49EB">
        <w:rPr>
          <w:rFonts w:eastAsia="Batang"/>
          <w:spacing w:val="-2"/>
          <w:szCs w:val="20"/>
        </w:rPr>
        <w:t xml:space="preserve">. Asimismo, la Corte entiende el sufrimiento de los familiares derivado del largo proceso en la búsqueda de la justicia, particularmente sobre el esclarecimiento de los hechos, así como de la incertidumbre por la indeterminación de la causa de muerte del señor Poblete Vilches, y frente a ello la respuesta ofrecida por las autoridades en distintas instancias </w:t>
      </w:r>
      <w:r w:rsidR="00632C28">
        <w:rPr>
          <w:rFonts w:eastAsia="Batang"/>
          <w:spacing w:val="-2"/>
          <w:szCs w:val="20"/>
        </w:rPr>
        <w:t>[...]</w:t>
      </w:r>
      <w:r w:rsidRPr="003D49EB">
        <w:rPr>
          <w:rFonts w:eastAsia="Batang"/>
          <w:spacing w:val="-2"/>
          <w:szCs w:val="20"/>
        </w:rPr>
        <w:t>. Dichas afectaciones repercutieron en el seno familiar y en el desarrollo de sus planes de vida. Por tanto, resulta responsable el Estado por la violación del artículo 5.1 de la Convención, en perjuicio de los familiares del señor Poblete Vilches.</w:t>
      </w:r>
    </w:p>
    <w:p w14:paraId="572EEBA0" w14:textId="77D01E1C" w:rsidR="00740849" w:rsidRPr="003D49EB" w:rsidRDefault="0088193A" w:rsidP="009A4683">
      <w:pPr>
        <w:tabs>
          <w:tab w:val="left" w:pos="720"/>
          <w:tab w:val="num" w:pos="11028"/>
        </w:tabs>
        <w:autoSpaceDE w:val="0"/>
        <w:autoSpaceDN w:val="0"/>
        <w:adjustRightInd w:val="0"/>
        <w:spacing w:after="100" w:afterAutospacing="1"/>
        <w:rPr>
          <w:rFonts w:eastAsia="Batang"/>
          <w:b/>
          <w:spacing w:val="-2"/>
          <w:szCs w:val="20"/>
        </w:rPr>
      </w:pPr>
      <w:r w:rsidRPr="0088193A">
        <w:rPr>
          <w:rFonts w:eastAsia="Batang"/>
          <w:b/>
          <w:bCs/>
          <w:spacing w:val="-2"/>
          <w:szCs w:val="20"/>
          <w:lang w:val="es-ES"/>
        </w:rPr>
        <w:t>Corte IDH. Caso V.R.P., V.P.C. y otros Vs. Nicaragua. Excepciones Preliminares, Fondo, Reparaciones y Costas. Sentencia de 8 de marzo de 2018. Serie C No. 350</w:t>
      </w:r>
      <w:r>
        <w:rPr>
          <w:rFonts w:eastAsia="Batang"/>
          <w:b/>
          <w:spacing w:val="-2"/>
          <w:szCs w:val="20"/>
        </w:rPr>
        <w:t>.</w:t>
      </w:r>
      <w:r w:rsidR="00740849" w:rsidRPr="003D49EB">
        <w:rPr>
          <w:rStyle w:val="Refdenotaalpie"/>
          <w:rFonts w:eastAsia="Batang"/>
          <w:b/>
          <w:spacing w:val="-2"/>
          <w:szCs w:val="20"/>
        </w:rPr>
        <w:footnoteReference w:id="68"/>
      </w:r>
    </w:p>
    <w:p w14:paraId="3E1233CA" w14:textId="397C40F8" w:rsidR="00695CC2" w:rsidRPr="003D49EB" w:rsidRDefault="00740849"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328.</w:t>
      </w:r>
      <w:r w:rsidRPr="003D49EB">
        <w:rPr>
          <w:rFonts w:eastAsia="Batang"/>
          <w:spacing w:val="-2"/>
          <w:szCs w:val="20"/>
        </w:rPr>
        <w:tab/>
        <w:t xml:space="preserve">La Corte ha señalado que se puede declarar la violación del derecho a la integridad psíquica y moral de familiares de víctimas de ciertas violaciones de derechos humanos aplicando una presunción </w:t>
      </w:r>
      <w:r w:rsidRPr="003D49EB">
        <w:rPr>
          <w:rFonts w:eastAsia="Batang"/>
          <w:i/>
          <w:spacing w:val="-2"/>
          <w:szCs w:val="20"/>
        </w:rPr>
        <w:t>iuris tantum</w:t>
      </w:r>
      <w:r w:rsidRPr="003D49EB">
        <w:rPr>
          <w:rFonts w:eastAsia="Batang"/>
          <w:spacing w:val="-2"/>
          <w:szCs w:val="20"/>
        </w:rPr>
        <w:t>, siempre que ello responda a las circunstancias particulares en el caso</w:t>
      </w:r>
      <w:r w:rsidR="006A660B" w:rsidRPr="003D49EB">
        <w:rPr>
          <w:rFonts w:eastAsia="Batang"/>
          <w:spacing w:val="-2"/>
          <w:szCs w:val="20"/>
        </w:rPr>
        <w:t>.</w:t>
      </w:r>
      <w:r w:rsidRPr="003D49EB">
        <w:rPr>
          <w:rFonts w:eastAsia="Batang"/>
          <w:spacing w:val="-2"/>
          <w:szCs w:val="20"/>
        </w:rPr>
        <w:t xml:space="preserve"> En los demás supuestos, la Corte deberá evaluar, por un lado, la existencia de un vínculo particularmente estrecho entre los familiares y la presunta víctima del caso que permita establecer una afectación a su integridad personal y, por otro lado, si de la prueba que consta en el expediente se acredita una violación del derecho a la integridad personal</w:t>
      </w:r>
      <w:r w:rsidR="006A660B" w:rsidRPr="003D49EB">
        <w:rPr>
          <w:rFonts w:eastAsia="Batang"/>
          <w:spacing w:val="-2"/>
          <w:szCs w:val="20"/>
        </w:rPr>
        <w:t>.</w:t>
      </w:r>
    </w:p>
    <w:p w14:paraId="5B599DFA" w14:textId="56AA2B01" w:rsidR="00740849" w:rsidRPr="003D49EB" w:rsidRDefault="00740849"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333.</w:t>
      </w:r>
      <w:r w:rsidRPr="003D49EB">
        <w:rPr>
          <w:rFonts w:eastAsia="Batang"/>
          <w:spacing w:val="-2"/>
          <w:szCs w:val="20"/>
        </w:rPr>
        <w:tab/>
        <w:t xml:space="preserve">La Corte advierte que, en el presente caso, la conducta estatal a raíz de la violación sexual sufrida por la niña V.R.P., la revictimización, la violencia institucional provocada por las autoridades intervinientes, las denuncias interpuestas por funcionarios y servidores públicos, según se determinó en la presente Sentencia, </w:t>
      </w:r>
      <w:r w:rsidRPr="003D49EB">
        <w:rPr>
          <w:rFonts w:eastAsia="Batang"/>
          <w:spacing w:val="-2"/>
          <w:szCs w:val="20"/>
        </w:rPr>
        <w:lastRenderedPageBreak/>
        <w:t xml:space="preserve">provocaron una afectación psíquica y emocional de envergadura en la señora V.P.C. y sus hijos N.R.P., H.J.R.P. y V.A.R.P. Además, la Corte considera que, según quedó establecido </w:t>
      </w:r>
      <w:r w:rsidR="00632C28">
        <w:rPr>
          <w:rFonts w:eastAsia="Batang"/>
          <w:spacing w:val="-2"/>
          <w:szCs w:val="20"/>
        </w:rPr>
        <w:t>[...]</w:t>
      </w:r>
      <w:r w:rsidRPr="003D49EB">
        <w:rPr>
          <w:rFonts w:eastAsia="Batang"/>
          <w:spacing w:val="-2"/>
          <w:szCs w:val="20"/>
        </w:rPr>
        <w:t>, la señora V.P.C. y sus dos hijas V.R.P. y N.R.P., se vieron forzadas a salir de Nicaragua y solicitaron asilo en otro país. Esta situación provocó dificultades socio-económicas en la familia así como la pérdida de sus empleos en el caso de V.P.C. y H.J.R.P. y, en el caso de V.A.R.P., la pérdida de la posibilidad de culminar sus estudios universitarios.</w:t>
      </w:r>
    </w:p>
    <w:p w14:paraId="180E789C" w14:textId="77777777" w:rsidR="00740849" w:rsidRPr="003D49EB" w:rsidRDefault="00740849"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334.</w:t>
      </w:r>
      <w:r w:rsidRPr="003D49EB">
        <w:rPr>
          <w:rFonts w:eastAsia="Batang"/>
          <w:spacing w:val="-2"/>
          <w:szCs w:val="20"/>
        </w:rPr>
        <w:tab/>
        <w:t>En consecuencia, este Tribunal considera que el Estado es responsable por la violación del derecho a la integridad personal, reconocido en el artículo 5.1 de la Convención, en relación con el artículo 1.1 de la misma, en perjuicio de los familiares de V.R.P., identificados como V.P.C., N.R.P., H.J.R.P. y V.A.R.P.</w:t>
      </w:r>
    </w:p>
    <w:p w14:paraId="7E35A4A7" w14:textId="28876029" w:rsidR="00B10948" w:rsidRDefault="007D3060" w:rsidP="007D3060">
      <w:pPr>
        <w:pStyle w:val="Caso"/>
        <w:rPr>
          <w:lang w:eastAsia="es-ES_tradnl"/>
        </w:rPr>
      </w:pPr>
      <w:r w:rsidRPr="007D3060">
        <w:rPr>
          <w:lang w:eastAsia="es-ES_tradnl"/>
        </w:rPr>
        <w:t>Corte IDH. Caso Herzog y otros Vs. Brasil. Excepciones Preliminares, Fondo, Reparaciones y Costas. Sentencia de 15 de marzo de 2018. Serie C No. 353.</w:t>
      </w:r>
      <w:r w:rsidRPr="007D3060">
        <w:rPr>
          <w:bCs/>
          <w:vertAlign w:val="superscript"/>
          <w:lang w:eastAsia="es-ES_tradnl"/>
        </w:rPr>
        <w:footnoteReference w:id="69"/>
      </w:r>
    </w:p>
    <w:p w14:paraId="5B96F770" w14:textId="77777777" w:rsidR="007D3060" w:rsidRPr="007D3060" w:rsidRDefault="007D3060" w:rsidP="007D3060">
      <w:pPr>
        <w:pStyle w:val="Caso"/>
        <w:rPr>
          <w:rFonts w:eastAsia="Batang"/>
          <w:spacing w:val="-2"/>
        </w:rPr>
      </w:pPr>
    </w:p>
    <w:p w14:paraId="6AFA8C68" w14:textId="258D05DC" w:rsidR="00B10948" w:rsidRPr="003D49EB" w:rsidRDefault="00B10948"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351.</w:t>
      </w:r>
      <w:r w:rsidRPr="003D49EB">
        <w:rPr>
          <w:rFonts w:eastAsia="Batang"/>
          <w:spacing w:val="-2"/>
          <w:szCs w:val="20"/>
        </w:rPr>
        <w:tab/>
        <w:t>Esta Corte ha considerado en numerosos casos que los familiares de las víctimas de violaciones de derechos humanos pueden ser a su vez víctimas</w:t>
      </w:r>
      <w:r w:rsidR="006A660B" w:rsidRPr="003D49EB">
        <w:rPr>
          <w:rFonts w:eastAsia="Batang"/>
          <w:spacing w:val="-2"/>
          <w:szCs w:val="20"/>
        </w:rPr>
        <w:t>.</w:t>
      </w:r>
      <w:r w:rsidRPr="003D49EB">
        <w:rPr>
          <w:rFonts w:eastAsia="Batang"/>
          <w:spacing w:val="-2"/>
          <w:szCs w:val="20"/>
        </w:rPr>
        <w:t xml:space="preserve"> En este sentido, el Tribunal ha considerado violado el derecho a la integridad psíquica y moral de familiares de víctimas con motivo del sufrimiento adicional que éstos han padecido como producto de las circunstancias particulares de las violaciones perpetradas contra sus seres queridos, y a causa de las posteriores actuaciones u omisiones de las autoridades estatales frente a los hechos</w:t>
      </w:r>
      <w:r w:rsidR="006A660B" w:rsidRPr="003D49EB">
        <w:rPr>
          <w:rFonts w:eastAsia="Batang"/>
          <w:spacing w:val="-2"/>
          <w:szCs w:val="20"/>
        </w:rPr>
        <w:t>.</w:t>
      </w:r>
      <w:r w:rsidRPr="003D49EB">
        <w:rPr>
          <w:rFonts w:eastAsia="Batang"/>
          <w:spacing w:val="-2"/>
          <w:szCs w:val="20"/>
        </w:rPr>
        <w:t xml:space="preserve"> Asimismo, en casos que suponen una violación grave de los derechos humanos, tales como masacres</w:t>
      </w:r>
      <w:r w:rsidR="006A660B" w:rsidRPr="003D49EB">
        <w:rPr>
          <w:rFonts w:eastAsia="Batang"/>
          <w:spacing w:val="-2"/>
          <w:szCs w:val="20"/>
        </w:rPr>
        <w:t>,</w:t>
      </w:r>
      <w:r w:rsidRPr="003D49EB">
        <w:rPr>
          <w:rFonts w:eastAsia="Batang"/>
          <w:spacing w:val="-2"/>
          <w:szCs w:val="20"/>
        </w:rPr>
        <w:t xml:space="preserve"> desapariciones forzadas de personas</w:t>
      </w:r>
      <w:r w:rsidR="006A660B" w:rsidRPr="003D49EB">
        <w:rPr>
          <w:rFonts w:eastAsia="Batang"/>
          <w:spacing w:val="-2"/>
          <w:szCs w:val="20"/>
        </w:rPr>
        <w:t>,</w:t>
      </w:r>
      <w:r w:rsidRPr="003D49EB">
        <w:rPr>
          <w:rFonts w:eastAsia="Batang"/>
          <w:spacing w:val="-2"/>
          <w:szCs w:val="20"/>
        </w:rPr>
        <w:t xml:space="preserve"> ejecuciones extrajudiciales</w:t>
      </w:r>
      <w:r w:rsidR="008B18CE" w:rsidRPr="003D49EB">
        <w:rPr>
          <w:rFonts w:eastAsia="Batang"/>
          <w:spacing w:val="-2"/>
          <w:szCs w:val="20"/>
        </w:rPr>
        <w:t xml:space="preserve"> </w:t>
      </w:r>
      <w:r w:rsidRPr="003D49EB">
        <w:rPr>
          <w:rFonts w:eastAsia="Batang"/>
          <w:spacing w:val="-2"/>
          <w:szCs w:val="20"/>
        </w:rPr>
        <w:t>o tortura</w:t>
      </w:r>
      <w:r w:rsidR="006A660B" w:rsidRPr="003D49EB">
        <w:rPr>
          <w:rFonts w:eastAsia="Batang"/>
          <w:spacing w:val="-2"/>
          <w:szCs w:val="20"/>
        </w:rPr>
        <w:t>,</w:t>
      </w:r>
      <w:r w:rsidRPr="003D49EB">
        <w:rPr>
          <w:rFonts w:eastAsia="Batang"/>
          <w:spacing w:val="-2"/>
          <w:szCs w:val="20"/>
        </w:rPr>
        <w:t xml:space="preserve"> la Corte ha considerado que la Comisión o los representantes no necesitan probar la vulneración a la integridad personal, ya que opera una presunción juris tantum</w:t>
      </w:r>
      <w:r w:rsidR="006A660B" w:rsidRPr="003D49EB">
        <w:rPr>
          <w:rFonts w:eastAsia="Batang"/>
          <w:spacing w:val="-2"/>
          <w:szCs w:val="20"/>
        </w:rPr>
        <w:t>.</w:t>
      </w:r>
      <w:r w:rsidRPr="003D49EB">
        <w:rPr>
          <w:rFonts w:eastAsia="Batang"/>
          <w:spacing w:val="-2"/>
          <w:szCs w:val="20"/>
        </w:rPr>
        <w:t xml:space="preserve"> De esta forma, correspondería al Estado desvirtuar la misma</w:t>
      </w:r>
      <w:r w:rsidR="008B18CE" w:rsidRPr="003D49EB">
        <w:rPr>
          <w:rFonts w:eastAsia="Batang"/>
          <w:spacing w:val="-2"/>
          <w:szCs w:val="20"/>
        </w:rPr>
        <w:t xml:space="preserve"> </w:t>
      </w:r>
      <w:r w:rsidRPr="003D49EB">
        <w:rPr>
          <w:rFonts w:eastAsia="Batang"/>
          <w:spacing w:val="-2"/>
          <w:szCs w:val="20"/>
        </w:rPr>
        <w:t>si éste considera que el citado agravio no ha ocurrido.</w:t>
      </w:r>
    </w:p>
    <w:p w14:paraId="28E967CC" w14:textId="68D38647" w:rsidR="00B10948" w:rsidRDefault="00495143" w:rsidP="009A4683">
      <w:pPr>
        <w:pStyle w:val="Caso"/>
        <w:rPr>
          <w:bCs/>
        </w:rPr>
      </w:pPr>
      <w:r w:rsidRPr="003D49EB">
        <w:rPr>
          <w:bCs/>
        </w:rPr>
        <w:t>Corte IDH. Caso Escaleras Mejía y otros Vs. Honduras. Sentencia de 26 de septiembre de 2018. Serie C No. 361.</w:t>
      </w:r>
      <w:r w:rsidR="007D3060">
        <w:rPr>
          <w:rStyle w:val="Refdenotaalpie"/>
          <w:bCs/>
        </w:rPr>
        <w:footnoteReference w:id="70"/>
      </w:r>
    </w:p>
    <w:p w14:paraId="230DF097" w14:textId="77777777" w:rsidR="007D3060" w:rsidRPr="003D49EB" w:rsidRDefault="007D3060" w:rsidP="009A4683">
      <w:pPr>
        <w:pStyle w:val="Caso"/>
        <w:rPr>
          <w:bCs/>
        </w:rPr>
      </w:pPr>
    </w:p>
    <w:p w14:paraId="26E9B687" w14:textId="471ED427" w:rsidR="00495143" w:rsidRPr="003D49EB" w:rsidRDefault="00495143"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lastRenderedPageBreak/>
        <w:t xml:space="preserve">55. En cuanto a la </w:t>
      </w:r>
      <w:proofErr w:type="spellStart"/>
      <w:r w:rsidRPr="003D49EB">
        <w:rPr>
          <w:rFonts w:eastAsia="Batang"/>
          <w:spacing w:val="-2"/>
          <w:szCs w:val="20"/>
        </w:rPr>
        <w:t>violación</w:t>
      </w:r>
      <w:proofErr w:type="spellEnd"/>
      <w:r w:rsidRPr="003D49EB">
        <w:rPr>
          <w:rFonts w:eastAsia="Batang"/>
          <w:spacing w:val="-2"/>
          <w:szCs w:val="20"/>
        </w:rPr>
        <w:t xml:space="preserve"> del derecho a la integridad personal, el Estado </w:t>
      </w:r>
      <w:proofErr w:type="spellStart"/>
      <w:r w:rsidRPr="003D49EB">
        <w:rPr>
          <w:rFonts w:eastAsia="Batang"/>
          <w:spacing w:val="-2"/>
          <w:szCs w:val="20"/>
        </w:rPr>
        <w:t>reconocio</w:t>
      </w:r>
      <w:proofErr w:type="spellEnd"/>
      <w:r w:rsidRPr="003D49EB">
        <w:rPr>
          <w:rFonts w:eastAsia="Batang"/>
          <w:spacing w:val="-2"/>
          <w:szCs w:val="20"/>
        </w:rPr>
        <w:t xml:space="preserve">́ que es responsable por la </w:t>
      </w:r>
      <w:proofErr w:type="spellStart"/>
      <w:r w:rsidRPr="003D49EB">
        <w:rPr>
          <w:rFonts w:eastAsia="Batang"/>
          <w:spacing w:val="-2"/>
          <w:szCs w:val="20"/>
        </w:rPr>
        <w:t>violación</w:t>
      </w:r>
      <w:proofErr w:type="spellEnd"/>
      <w:r w:rsidRPr="003D49EB">
        <w:rPr>
          <w:rFonts w:eastAsia="Batang"/>
          <w:spacing w:val="-2"/>
          <w:szCs w:val="20"/>
        </w:rPr>
        <w:t xml:space="preserve"> del artículo 5.1 de la Convención Americana en </w:t>
      </w:r>
      <w:proofErr w:type="spellStart"/>
      <w:r w:rsidRPr="003D49EB">
        <w:rPr>
          <w:rFonts w:eastAsia="Batang"/>
          <w:spacing w:val="-2"/>
          <w:szCs w:val="20"/>
        </w:rPr>
        <w:t>relación</w:t>
      </w:r>
      <w:proofErr w:type="spellEnd"/>
      <w:r w:rsidRPr="003D49EB">
        <w:rPr>
          <w:rFonts w:eastAsia="Batang"/>
          <w:spacing w:val="-2"/>
          <w:szCs w:val="20"/>
        </w:rPr>
        <w:t xml:space="preserve"> con el artículo 1.1 del mismo instrumento en perjuicio de los familiares de Carlos Escalera </w:t>
      </w:r>
      <w:proofErr w:type="spellStart"/>
      <w:r w:rsidRPr="003D49EB">
        <w:rPr>
          <w:rFonts w:eastAsia="Batang"/>
          <w:spacing w:val="-2"/>
          <w:szCs w:val="20"/>
        </w:rPr>
        <w:t>Mejía</w:t>
      </w:r>
      <w:proofErr w:type="spellEnd"/>
      <w:r w:rsidRPr="003D49EB">
        <w:rPr>
          <w:rFonts w:eastAsia="Batang"/>
          <w:spacing w:val="-2"/>
          <w:szCs w:val="20"/>
        </w:rPr>
        <w:t xml:space="preserve">, debido a la angustia que han experimentado en la </w:t>
      </w:r>
      <w:proofErr w:type="spellStart"/>
      <w:r w:rsidRPr="003D49EB">
        <w:rPr>
          <w:rFonts w:eastAsia="Batang"/>
          <w:spacing w:val="-2"/>
          <w:szCs w:val="20"/>
        </w:rPr>
        <w:t>búsqueda</w:t>
      </w:r>
      <w:proofErr w:type="spellEnd"/>
      <w:r w:rsidRPr="003D49EB">
        <w:rPr>
          <w:rFonts w:eastAsia="Batang"/>
          <w:spacing w:val="-2"/>
          <w:szCs w:val="20"/>
        </w:rPr>
        <w:t xml:space="preserve"> de justicia por su muerte, la falta de una protección efectiva, </w:t>
      </w:r>
      <w:proofErr w:type="spellStart"/>
      <w:r w:rsidRPr="003D49EB">
        <w:rPr>
          <w:rFonts w:eastAsia="Batang"/>
          <w:spacing w:val="-2"/>
          <w:szCs w:val="20"/>
        </w:rPr>
        <w:t>asi</w:t>
      </w:r>
      <w:proofErr w:type="spellEnd"/>
      <w:r w:rsidRPr="003D49EB">
        <w:rPr>
          <w:rFonts w:eastAsia="Batang"/>
          <w:spacing w:val="-2"/>
          <w:szCs w:val="20"/>
        </w:rPr>
        <w:t xml:space="preserve">́ como el profundo sufrimiento y el cambio radical en sus vidas. La </w:t>
      </w:r>
      <w:proofErr w:type="spellStart"/>
      <w:r w:rsidRPr="003D49EB">
        <w:rPr>
          <w:rFonts w:eastAsia="Batang"/>
          <w:spacing w:val="-2"/>
          <w:szCs w:val="20"/>
        </w:rPr>
        <w:t>pérdida</w:t>
      </w:r>
      <w:proofErr w:type="spellEnd"/>
      <w:r w:rsidRPr="003D49EB">
        <w:rPr>
          <w:rFonts w:eastAsia="Batang"/>
          <w:spacing w:val="-2"/>
          <w:szCs w:val="20"/>
        </w:rPr>
        <w:t xml:space="preserve"> de un ser querido en un contexto como el del presente caso, </w:t>
      </w:r>
      <w:proofErr w:type="spellStart"/>
      <w:r w:rsidRPr="003D49EB">
        <w:rPr>
          <w:rFonts w:eastAsia="Batang"/>
          <w:spacing w:val="-2"/>
          <w:szCs w:val="20"/>
        </w:rPr>
        <w:t>asi</w:t>
      </w:r>
      <w:proofErr w:type="spellEnd"/>
      <w:r w:rsidRPr="003D49EB">
        <w:rPr>
          <w:rFonts w:eastAsia="Batang"/>
          <w:spacing w:val="-2"/>
          <w:szCs w:val="20"/>
        </w:rPr>
        <w:t xml:space="preserve">́ como la ausencia de una </w:t>
      </w:r>
      <w:proofErr w:type="spellStart"/>
      <w:r w:rsidRPr="003D49EB">
        <w:rPr>
          <w:rFonts w:eastAsia="Batang"/>
          <w:spacing w:val="-2"/>
          <w:szCs w:val="20"/>
        </w:rPr>
        <w:t>investigación</w:t>
      </w:r>
      <w:proofErr w:type="spellEnd"/>
      <w:r w:rsidRPr="003D49EB">
        <w:rPr>
          <w:rFonts w:eastAsia="Batang"/>
          <w:spacing w:val="-2"/>
          <w:szCs w:val="20"/>
        </w:rPr>
        <w:t xml:space="preserve"> completa y efectiva, constituyen en sí una </w:t>
      </w:r>
      <w:proofErr w:type="spellStart"/>
      <w:r w:rsidRPr="003D49EB">
        <w:rPr>
          <w:rFonts w:eastAsia="Batang"/>
          <w:spacing w:val="-2"/>
          <w:szCs w:val="20"/>
        </w:rPr>
        <w:t>afectación</w:t>
      </w:r>
      <w:proofErr w:type="spellEnd"/>
      <w:r w:rsidRPr="003D49EB">
        <w:rPr>
          <w:rFonts w:eastAsia="Batang"/>
          <w:spacing w:val="-2"/>
          <w:szCs w:val="20"/>
        </w:rPr>
        <w:t xml:space="preserve"> a la integridad de los familiares del </w:t>
      </w:r>
      <w:proofErr w:type="spellStart"/>
      <w:r w:rsidRPr="003D49EB">
        <w:rPr>
          <w:rFonts w:eastAsia="Batang"/>
          <w:spacing w:val="-2"/>
          <w:szCs w:val="20"/>
        </w:rPr>
        <w:t>señor</w:t>
      </w:r>
      <w:proofErr w:type="spellEnd"/>
      <w:r w:rsidRPr="003D49EB">
        <w:rPr>
          <w:rFonts w:eastAsia="Batang"/>
          <w:spacing w:val="-2"/>
          <w:szCs w:val="20"/>
        </w:rPr>
        <w:t xml:space="preserve"> Escaleras </w:t>
      </w:r>
      <w:proofErr w:type="spellStart"/>
      <w:r w:rsidRPr="003D49EB">
        <w:rPr>
          <w:rFonts w:eastAsia="Batang"/>
          <w:spacing w:val="-2"/>
          <w:szCs w:val="20"/>
        </w:rPr>
        <w:t>Mejía</w:t>
      </w:r>
      <w:proofErr w:type="spellEnd"/>
      <w:r w:rsidRPr="003D49EB">
        <w:rPr>
          <w:rFonts w:eastAsia="Batang"/>
          <w:spacing w:val="-2"/>
          <w:szCs w:val="20"/>
        </w:rPr>
        <w:t>.</w:t>
      </w:r>
    </w:p>
    <w:p w14:paraId="1D3FB3E2" w14:textId="1DB25218" w:rsidR="00B10948" w:rsidRDefault="000A55D3" w:rsidP="009A4683">
      <w:pPr>
        <w:pStyle w:val="Caso"/>
      </w:pPr>
      <w:r w:rsidRPr="003D49EB">
        <w:t>Corte IDH. Caso Mujeres Víctimas de Tortura Sexual en Atenco Vs. México. Excepción Preliminar, Fondo, Reparaciones y Costas. Sentencia de 28 de noviembre de 2018. Serie C No. 371.</w:t>
      </w:r>
    </w:p>
    <w:p w14:paraId="5D042C86" w14:textId="77777777" w:rsidR="007D3060" w:rsidRPr="003D49EB" w:rsidRDefault="007D3060" w:rsidP="009A4683">
      <w:pPr>
        <w:pStyle w:val="Caso"/>
      </w:pPr>
    </w:p>
    <w:p w14:paraId="16B465C6" w14:textId="558A580B" w:rsidR="000A55D3" w:rsidRPr="007D3060" w:rsidRDefault="000A55D3" w:rsidP="007D3060">
      <w:pPr>
        <w:tabs>
          <w:tab w:val="left" w:pos="720"/>
          <w:tab w:val="num" w:pos="11028"/>
        </w:tabs>
        <w:autoSpaceDE w:val="0"/>
        <w:autoSpaceDN w:val="0"/>
        <w:adjustRightInd w:val="0"/>
        <w:spacing w:after="100" w:afterAutospacing="1"/>
        <w:rPr>
          <w:rFonts w:eastAsia="Batang"/>
          <w:spacing w:val="-2"/>
          <w:szCs w:val="20"/>
        </w:rPr>
      </w:pPr>
      <w:r w:rsidRPr="007D3060">
        <w:rPr>
          <w:rFonts w:eastAsia="Batang"/>
          <w:spacing w:val="-2"/>
          <w:szCs w:val="20"/>
        </w:rPr>
        <w:t>323.</w:t>
      </w:r>
      <w:r w:rsidRPr="007D3060">
        <w:rPr>
          <w:rFonts w:eastAsia="Batang"/>
          <w:spacing w:val="-2"/>
          <w:szCs w:val="20"/>
        </w:rPr>
        <w:tab/>
        <w:t xml:space="preserve">Sin </w:t>
      </w:r>
      <w:proofErr w:type="spellStart"/>
      <w:r w:rsidRPr="007D3060">
        <w:rPr>
          <w:rFonts w:eastAsia="Batang"/>
          <w:spacing w:val="-2"/>
          <w:szCs w:val="20"/>
        </w:rPr>
        <w:t>perjucio</w:t>
      </w:r>
      <w:proofErr w:type="spellEnd"/>
      <w:r w:rsidRPr="007D3060">
        <w:rPr>
          <w:rFonts w:eastAsia="Batang"/>
          <w:spacing w:val="-2"/>
          <w:szCs w:val="20"/>
        </w:rPr>
        <w:t xml:space="preserve"> de dicho reconocimiento y de la presunción aplicable en este caso, la Corte nota que surge de la prueba e información aportada al expediente que los familiares indicados por la Comisión y los representantes vieron en una medida u otra su integridad personal afectada por una o varias de las circunstancias siguientes : (i) la falta de información sobre la detención de sus familiares, lo cual les generó sentimientos de angustia e incertidumbre; (ii) se han involucrado en diversas acciones para la búsqueda de justicia o de información para lograr, por un lado, la libertad de sus familiares, y por el otro, la sanción de los responsables de la tortura sexual; (iii) la duración de la privación de la libertad y el conocimiento de la tortura sexual les ha generado secuelas a nivel personal, físico y emocional, afectando de esa manera, sus proyectos de vida; (iv) las dificultades para visitar a sus familiares en la cárcel, derivadas del trato humillante sufrido durante las inspecciones de seguridad; (v) la presencia de amenazas y hostigamiento por parte de la policía; (vi) los hechos han afectado sus relaciones sociales, y han causado rupturas en la dinámica familiar, así como cambios en la asignación de roles en las mismas; (vii) los actos cometidos les han provocado estigma y sentimiento de vergüenza frente a la sociedad; (viii) los acontecimientos han generado un sentimiento de miedo, inseguridad y vulnerabilidad frente a la represión del Estado, y (ix) las afectaciones que han experimentado se han visto agravadas por la impunidad en que se encuentran los hechos.</w:t>
      </w:r>
    </w:p>
    <w:p w14:paraId="49B2278D" w14:textId="39638128" w:rsidR="007D3060" w:rsidRDefault="008C1D04" w:rsidP="007D3060">
      <w:pPr>
        <w:pStyle w:val="Caso"/>
      </w:pPr>
      <w:r w:rsidRPr="003D49EB">
        <w:t xml:space="preserve">Corte IDH. Caso </w:t>
      </w:r>
      <w:proofErr w:type="spellStart"/>
      <w:r w:rsidRPr="003D49EB">
        <w:t>Guachalá</w:t>
      </w:r>
      <w:proofErr w:type="spellEnd"/>
      <w:r w:rsidRPr="003D49EB">
        <w:t xml:space="preserve"> Chimbo y otros Vs. Ecuador. Fondo, Reparaciones y Costas. Sentencia de 26 de marzo de 2021. Serie C No. 423.</w:t>
      </w:r>
    </w:p>
    <w:p w14:paraId="395EB898" w14:textId="77777777" w:rsidR="007D3060" w:rsidRPr="007D3060" w:rsidRDefault="007D3060" w:rsidP="007D3060">
      <w:pPr>
        <w:pStyle w:val="Caso"/>
      </w:pPr>
    </w:p>
    <w:p w14:paraId="5BF4E58C" w14:textId="042CE74D" w:rsidR="008C1D04" w:rsidRPr="007D3060" w:rsidRDefault="008C1D04" w:rsidP="007D3060">
      <w:pPr>
        <w:tabs>
          <w:tab w:val="left" w:pos="720"/>
          <w:tab w:val="num" w:pos="11028"/>
        </w:tabs>
        <w:autoSpaceDE w:val="0"/>
        <w:autoSpaceDN w:val="0"/>
        <w:adjustRightInd w:val="0"/>
        <w:spacing w:after="100" w:afterAutospacing="1"/>
        <w:rPr>
          <w:rFonts w:eastAsia="Batang"/>
          <w:spacing w:val="-2"/>
          <w:szCs w:val="20"/>
        </w:rPr>
      </w:pPr>
      <w:r w:rsidRPr="007D3060">
        <w:rPr>
          <w:rFonts w:eastAsia="Batang"/>
          <w:spacing w:val="-2"/>
          <w:szCs w:val="20"/>
        </w:rPr>
        <w:t xml:space="preserve">217. La Corte ha afirmado, en reiteradas oportunidades, que los familiares de las </w:t>
      </w:r>
      <w:proofErr w:type="spellStart"/>
      <w:r w:rsidRPr="007D3060">
        <w:rPr>
          <w:rFonts w:eastAsia="Batang"/>
          <w:spacing w:val="-2"/>
          <w:szCs w:val="20"/>
        </w:rPr>
        <w:t>víctimas</w:t>
      </w:r>
      <w:proofErr w:type="spellEnd"/>
      <w:r w:rsidRPr="007D3060">
        <w:rPr>
          <w:rFonts w:eastAsia="Batang"/>
          <w:spacing w:val="-2"/>
          <w:szCs w:val="20"/>
        </w:rPr>
        <w:t xml:space="preserve"> de violaciones de los derechos humanos pueden ser, a su vez, </w:t>
      </w:r>
      <w:proofErr w:type="spellStart"/>
      <w:r w:rsidRPr="007D3060">
        <w:rPr>
          <w:rFonts w:eastAsia="Batang"/>
          <w:spacing w:val="-2"/>
          <w:szCs w:val="20"/>
        </w:rPr>
        <w:t>víctimas</w:t>
      </w:r>
      <w:proofErr w:type="spellEnd"/>
      <w:r w:rsidRPr="007D3060">
        <w:rPr>
          <w:rFonts w:eastAsia="Batang"/>
          <w:spacing w:val="-2"/>
          <w:szCs w:val="20"/>
        </w:rPr>
        <w:t xml:space="preserve">. Este Tribunal ha considerado que se puede declarar violado el derecho a la integridad </w:t>
      </w:r>
      <w:proofErr w:type="spellStart"/>
      <w:r w:rsidRPr="007D3060">
        <w:rPr>
          <w:rFonts w:eastAsia="Batang"/>
          <w:spacing w:val="-2"/>
          <w:szCs w:val="20"/>
        </w:rPr>
        <w:t>psíquica</w:t>
      </w:r>
      <w:proofErr w:type="spellEnd"/>
      <w:r w:rsidRPr="007D3060">
        <w:rPr>
          <w:rFonts w:eastAsia="Batang"/>
          <w:spacing w:val="-2"/>
          <w:szCs w:val="20"/>
        </w:rPr>
        <w:t xml:space="preserve"> y moral de “familiares directos” de </w:t>
      </w:r>
      <w:proofErr w:type="spellStart"/>
      <w:r w:rsidRPr="007D3060">
        <w:rPr>
          <w:rFonts w:eastAsia="Batang"/>
          <w:spacing w:val="-2"/>
          <w:szCs w:val="20"/>
        </w:rPr>
        <w:t>víctimas</w:t>
      </w:r>
      <w:proofErr w:type="spellEnd"/>
      <w:r w:rsidRPr="007D3060">
        <w:rPr>
          <w:rFonts w:eastAsia="Batang"/>
          <w:spacing w:val="-2"/>
          <w:szCs w:val="20"/>
        </w:rPr>
        <w:t xml:space="preserve"> y de otras personas con </w:t>
      </w:r>
      <w:proofErr w:type="spellStart"/>
      <w:r w:rsidRPr="007D3060">
        <w:rPr>
          <w:rFonts w:eastAsia="Batang"/>
          <w:spacing w:val="-2"/>
          <w:szCs w:val="20"/>
        </w:rPr>
        <w:t>vínculos</w:t>
      </w:r>
      <w:proofErr w:type="spellEnd"/>
      <w:r w:rsidRPr="007D3060">
        <w:rPr>
          <w:rFonts w:eastAsia="Batang"/>
          <w:spacing w:val="-2"/>
          <w:szCs w:val="20"/>
        </w:rPr>
        <w:t xml:space="preserve"> estrechos con tales </w:t>
      </w:r>
      <w:proofErr w:type="spellStart"/>
      <w:r w:rsidRPr="007D3060">
        <w:rPr>
          <w:rFonts w:eastAsia="Batang"/>
          <w:spacing w:val="-2"/>
          <w:szCs w:val="20"/>
        </w:rPr>
        <w:t>víctimas</w:t>
      </w:r>
      <w:proofErr w:type="spellEnd"/>
      <w:r w:rsidRPr="007D3060">
        <w:rPr>
          <w:rFonts w:eastAsia="Batang"/>
          <w:spacing w:val="-2"/>
          <w:szCs w:val="20"/>
        </w:rPr>
        <w:t xml:space="preserve">, con motivo del sufrimiento adicional que estos han padecido como producto de las circunstancias particulares de las violaciones perpetradas contra sus seres queridos, y a causa de las posteriores actuaciones u omisiones de las autoridades estatales frente a estos hechos, tomando en cuenta, entre otros, las gestiones realizadas para obtener justicia y la existencia de un estrecho </w:t>
      </w:r>
      <w:proofErr w:type="spellStart"/>
      <w:r w:rsidRPr="007D3060">
        <w:rPr>
          <w:rFonts w:eastAsia="Batang"/>
          <w:spacing w:val="-2"/>
          <w:szCs w:val="20"/>
        </w:rPr>
        <w:t>vínculo</w:t>
      </w:r>
      <w:proofErr w:type="spellEnd"/>
      <w:r w:rsidRPr="007D3060">
        <w:rPr>
          <w:rFonts w:eastAsia="Batang"/>
          <w:spacing w:val="-2"/>
          <w:szCs w:val="20"/>
        </w:rPr>
        <w:t xml:space="preserve"> familiar.</w:t>
      </w:r>
    </w:p>
    <w:p w14:paraId="24A94E20" w14:textId="01DC69A0" w:rsidR="0066318B" w:rsidRDefault="0066318B" w:rsidP="0066318B">
      <w:pPr>
        <w:pStyle w:val="Caso"/>
      </w:pPr>
      <w:r w:rsidRPr="003D49EB">
        <w:t>Corte IDH. Caso Bedoya Lima y otra Vs. Colombia. Fondo, Reparaciones y Costas. Sentencia de 26 de agosto de 2021. Serie C No. 431.</w:t>
      </w:r>
    </w:p>
    <w:p w14:paraId="7FCCE0C2" w14:textId="77777777" w:rsidR="007D3060" w:rsidRPr="003D49EB" w:rsidRDefault="007D3060" w:rsidP="0066318B">
      <w:pPr>
        <w:pStyle w:val="Caso"/>
      </w:pPr>
    </w:p>
    <w:p w14:paraId="278D16D9" w14:textId="6AA8B84D" w:rsidR="0066318B" w:rsidRPr="003D49EB" w:rsidRDefault="0066318B" w:rsidP="0066318B">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 xml:space="preserve">158. La Corte ha afirmado en reiteradas oportunidades que los familiares de las </w:t>
      </w:r>
      <w:proofErr w:type="spellStart"/>
      <w:r w:rsidRPr="003D49EB">
        <w:rPr>
          <w:rFonts w:eastAsia="Batang"/>
          <w:spacing w:val="-2"/>
          <w:szCs w:val="20"/>
        </w:rPr>
        <w:t>víctimas</w:t>
      </w:r>
      <w:proofErr w:type="spellEnd"/>
      <w:r w:rsidRPr="003D49EB">
        <w:rPr>
          <w:rFonts w:eastAsia="Batang"/>
          <w:spacing w:val="-2"/>
          <w:szCs w:val="20"/>
        </w:rPr>
        <w:t xml:space="preserve"> de violaciones de los derechos humanos pueden ser, a su vez, </w:t>
      </w:r>
      <w:proofErr w:type="spellStart"/>
      <w:r w:rsidRPr="003D49EB">
        <w:rPr>
          <w:rFonts w:eastAsia="Batang"/>
          <w:spacing w:val="-2"/>
          <w:szCs w:val="20"/>
        </w:rPr>
        <w:t>víctimas</w:t>
      </w:r>
      <w:proofErr w:type="spellEnd"/>
      <w:r w:rsidRPr="003D49EB">
        <w:rPr>
          <w:rFonts w:eastAsia="Batang"/>
          <w:spacing w:val="-2"/>
          <w:szCs w:val="20"/>
        </w:rPr>
        <w:t xml:space="preserve">. Este Tribunal ha considerado que se puede declarar violado el derecho a la integridad </w:t>
      </w:r>
      <w:proofErr w:type="spellStart"/>
      <w:r w:rsidRPr="003D49EB">
        <w:rPr>
          <w:rFonts w:eastAsia="Batang"/>
          <w:spacing w:val="-2"/>
          <w:szCs w:val="20"/>
        </w:rPr>
        <w:t>psíquica</w:t>
      </w:r>
      <w:proofErr w:type="spellEnd"/>
      <w:r w:rsidRPr="003D49EB">
        <w:rPr>
          <w:rFonts w:eastAsia="Batang"/>
          <w:spacing w:val="-2"/>
          <w:szCs w:val="20"/>
        </w:rPr>
        <w:t xml:space="preserve"> y moral de “familiares directos” u otras personas con </w:t>
      </w:r>
      <w:proofErr w:type="spellStart"/>
      <w:r w:rsidRPr="003D49EB">
        <w:rPr>
          <w:rFonts w:eastAsia="Batang"/>
          <w:spacing w:val="-2"/>
          <w:szCs w:val="20"/>
        </w:rPr>
        <w:t>vínculos</w:t>
      </w:r>
      <w:proofErr w:type="spellEnd"/>
      <w:r w:rsidRPr="003D49EB">
        <w:rPr>
          <w:rFonts w:eastAsia="Batang"/>
          <w:spacing w:val="-2"/>
          <w:szCs w:val="20"/>
        </w:rPr>
        <w:t xml:space="preserve"> estrechos con las </w:t>
      </w:r>
      <w:proofErr w:type="spellStart"/>
      <w:r w:rsidRPr="003D49EB">
        <w:rPr>
          <w:rFonts w:eastAsia="Batang"/>
          <w:spacing w:val="-2"/>
          <w:szCs w:val="20"/>
        </w:rPr>
        <w:t>víctimas</w:t>
      </w:r>
      <w:proofErr w:type="spellEnd"/>
      <w:r w:rsidRPr="003D49EB">
        <w:rPr>
          <w:rFonts w:eastAsia="Batang"/>
          <w:spacing w:val="-2"/>
          <w:szCs w:val="20"/>
        </w:rPr>
        <w:t xml:space="preserve"> con motivo del sufrimiento adicional que </w:t>
      </w:r>
      <w:proofErr w:type="spellStart"/>
      <w:r w:rsidRPr="003D49EB">
        <w:rPr>
          <w:rFonts w:eastAsia="Batang"/>
          <w:spacing w:val="-2"/>
          <w:szCs w:val="20"/>
        </w:rPr>
        <w:t>aquéllos</w:t>
      </w:r>
      <w:proofErr w:type="spellEnd"/>
      <w:r w:rsidRPr="003D49EB">
        <w:rPr>
          <w:rFonts w:eastAsia="Batang"/>
          <w:spacing w:val="-2"/>
          <w:szCs w:val="20"/>
        </w:rPr>
        <w:t xml:space="preserve"> han padecido como </w:t>
      </w:r>
      <w:r w:rsidRPr="003D49EB">
        <w:rPr>
          <w:rFonts w:eastAsia="Batang"/>
          <w:spacing w:val="-2"/>
          <w:szCs w:val="20"/>
        </w:rPr>
        <w:lastRenderedPageBreak/>
        <w:t xml:space="preserve">producto de las circunstancias particulares de las violaciones perpetradas contra sus seres queridos, y a causa de las posteriores actuaciones u omisiones de las autoridades estatales frente a estos hechos, tomando en cuenta, entre otros elementos, las gestiones realizadas para obtener justicia y la existencia de un estrecho </w:t>
      </w:r>
      <w:proofErr w:type="spellStart"/>
      <w:r w:rsidRPr="003D49EB">
        <w:rPr>
          <w:rFonts w:eastAsia="Batang"/>
          <w:spacing w:val="-2"/>
          <w:szCs w:val="20"/>
        </w:rPr>
        <w:t>vínculo</w:t>
      </w:r>
      <w:proofErr w:type="spellEnd"/>
      <w:r w:rsidRPr="003D49EB">
        <w:rPr>
          <w:rFonts w:eastAsia="Batang"/>
          <w:spacing w:val="-2"/>
          <w:szCs w:val="20"/>
        </w:rPr>
        <w:t xml:space="preserve"> familiar.</w:t>
      </w:r>
      <w:r w:rsidR="00630F37">
        <w:rPr>
          <w:rFonts w:eastAsia="Batang"/>
          <w:spacing w:val="-2"/>
          <w:szCs w:val="20"/>
        </w:rPr>
        <w:t xml:space="preserve"> </w:t>
      </w:r>
      <w:r w:rsidR="00630F37" w:rsidRPr="00630F37">
        <w:rPr>
          <w:rStyle w:val="EnelmismoCar"/>
        </w:rPr>
        <w:t>En similar sentido, ver entre otros: Corte IDH. Caso Barbosa de Souza y otros Vs. Brasil. Excepciones preliminares, Fondo, Reparaciones y Costas. Sentencia de 7 de septiembre de 2021. Serie C No. 435</w:t>
      </w:r>
      <w:r w:rsidR="00630F37" w:rsidRPr="00630F37">
        <w:rPr>
          <w:rStyle w:val="EnelmismoCar"/>
          <w:rFonts w:eastAsia="Batang"/>
        </w:rPr>
        <w:t>, párr. 155.</w:t>
      </w:r>
    </w:p>
    <w:p w14:paraId="6AB2509B" w14:textId="5A2CA201" w:rsidR="0066318B" w:rsidRPr="003D49EB" w:rsidRDefault="0066318B" w:rsidP="0066318B">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 xml:space="preserve">159. El Tribunal advierte las especiales </w:t>
      </w:r>
      <w:proofErr w:type="spellStart"/>
      <w:r w:rsidRPr="003D49EB">
        <w:rPr>
          <w:rFonts w:eastAsia="Batang"/>
          <w:spacing w:val="-2"/>
          <w:szCs w:val="20"/>
        </w:rPr>
        <w:t>características</w:t>
      </w:r>
      <w:proofErr w:type="spellEnd"/>
      <w:r w:rsidRPr="003D49EB">
        <w:rPr>
          <w:rFonts w:eastAsia="Batang"/>
          <w:spacing w:val="-2"/>
          <w:szCs w:val="20"/>
        </w:rPr>
        <w:t xml:space="preserve"> que tuvo el impacto de los actos de violencia sexual y amenazas que </w:t>
      </w:r>
      <w:proofErr w:type="spellStart"/>
      <w:r w:rsidRPr="003D49EB">
        <w:rPr>
          <w:rFonts w:eastAsia="Batang"/>
          <w:spacing w:val="-2"/>
          <w:szCs w:val="20"/>
        </w:rPr>
        <w:t>sufrio</w:t>
      </w:r>
      <w:proofErr w:type="spellEnd"/>
      <w:r w:rsidRPr="003D49EB">
        <w:rPr>
          <w:rFonts w:eastAsia="Batang"/>
          <w:spacing w:val="-2"/>
          <w:szCs w:val="20"/>
        </w:rPr>
        <w:t xml:space="preserve">́ la madre de la </w:t>
      </w:r>
      <w:proofErr w:type="spellStart"/>
      <w:r w:rsidRPr="003D49EB">
        <w:rPr>
          <w:rFonts w:eastAsia="Batang"/>
          <w:spacing w:val="-2"/>
          <w:szCs w:val="20"/>
        </w:rPr>
        <w:t>señora</w:t>
      </w:r>
      <w:proofErr w:type="spellEnd"/>
      <w:r w:rsidRPr="003D49EB">
        <w:rPr>
          <w:rFonts w:eastAsia="Batang"/>
          <w:spacing w:val="-2"/>
          <w:szCs w:val="20"/>
        </w:rPr>
        <w:t xml:space="preserve"> Bedoya. A este respecto, la perita Clara Sandoval abordó el impacto y daño diferenciado que experimentan las madres de las </w:t>
      </w:r>
      <w:proofErr w:type="spellStart"/>
      <w:r w:rsidRPr="003D49EB">
        <w:rPr>
          <w:rFonts w:eastAsia="Batang"/>
          <w:spacing w:val="-2"/>
          <w:szCs w:val="20"/>
        </w:rPr>
        <w:t>víctimas</w:t>
      </w:r>
      <w:proofErr w:type="spellEnd"/>
      <w:r w:rsidRPr="003D49EB">
        <w:rPr>
          <w:rFonts w:eastAsia="Batang"/>
          <w:spacing w:val="-2"/>
          <w:szCs w:val="20"/>
        </w:rPr>
        <w:t xml:space="preserve"> de violencia sexual, el cual debe ser analizado desde una perspectiva de </w:t>
      </w:r>
      <w:proofErr w:type="spellStart"/>
      <w:r w:rsidRPr="003D49EB">
        <w:rPr>
          <w:rFonts w:eastAsia="Batang"/>
          <w:spacing w:val="-2"/>
          <w:szCs w:val="20"/>
        </w:rPr>
        <w:t>género</w:t>
      </w:r>
      <w:proofErr w:type="spellEnd"/>
      <w:r w:rsidRPr="003D49EB">
        <w:rPr>
          <w:rFonts w:eastAsia="Batang"/>
          <w:spacing w:val="-2"/>
          <w:szCs w:val="20"/>
        </w:rPr>
        <w:t xml:space="preserve">. </w:t>
      </w:r>
      <w:proofErr w:type="spellStart"/>
      <w:r w:rsidRPr="003D49EB">
        <w:rPr>
          <w:rFonts w:eastAsia="Batang"/>
          <w:spacing w:val="-2"/>
          <w:szCs w:val="20"/>
        </w:rPr>
        <w:t>Asi</w:t>
      </w:r>
      <w:proofErr w:type="spellEnd"/>
      <w:r w:rsidRPr="003D49EB">
        <w:rPr>
          <w:rFonts w:eastAsia="Batang"/>
          <w:spacing w:val="-2"/>
          <w:szCs w:val="20"/>
        </w:rPr>
        <w:t xml:space="preserve">́, explicó que, cuando las </w:t>
      </w:r>
      <w:proofErr w:type="spellStart"/>
      <w:r w:rsidRPr="003D49EB">
        <w:rPr>
          <w:rFonts w:eastAsia="Batang"/>
          <w:spacing w:val="-2"/>
          <w:szCs w:val="20"/>
        </w:rPr>
        <w:t>víctimas</w:t>
      </w:r>
      <w:proofErr w:type="spellEnd"/>
      <w:r w:rsidRPr="003D49EB">
        <w:rPr>
          <w:rFonts w:eastAsia="Batang"/>
          <w:spacing w:val="-2"/>
          <w:szCs w:val="20"/>
        </w:rPr>
        <w:t xml:space="preserve"> de violencia sexual son estigmatizadas y alienadas, las madres son quienes se quedan a lado de sus hijas amplificando el impacto emocional que la madre sufre y </w:t>
      </w:r>
      <w:proofErr w:type="spellStart"/>
      <w:r w:rsidRPr="003D49EB">
        <w:rPr>
          <w:rFonts w:eastAsia="Batang"/>
          <w:spacing w:val="-2"/>
          <w:szCs w:val="20"/>
        </w:rPr>
        <w:t>exponiéndose</w:t>
      </w:r>
      <w:proofErr w:type="spellEnd"/>
      <w:r w:rsidRPr="003D49EB">
        <w:rPr>
          <w:rFonts w:eastAsia="Batang"/>
          <w:spacing w:val="-2"/>
          <w:szCs w:val="20"/>
        </w:rPr>
        <w:t xml:space="preserve"> también a la </w:t>
      </w:r>
      <w:proofErr w:type="spellStart"/>
      <w:r w:rsidRPr="003D49EB">
        <w:rPr>
          <w:rFonts w:eastAsia="Batang"/>
          <w:spacing w:val="-2"/>
          <w:szCs w:val="20"/>
        </w:rPr>
        <w:t>revictimización</w:t>
      </w:r>
      <w:proofErr w:type="spellEnd"/>
      <w:r w:rsidRPr="003D49EB">
        <w:rPr>
          <w:rFonts w:eastAsia="Batang"/>
          <w:spacing w:val="-2"/>
          <w:szCs w:val="20"/>
        </w:rPr>
        <w:t xml:space="preserve"> y estigma de la violencia sexual. La </w:t>
      </w:r>
      <w:proofErr w:type="spellStart"/>
      <w:r w:rsidRPr="003D49EB">
        <w:rPr>
          <w:rFonts w:eastAsia="Batang"/>
          <w:spacing w:val="-2"/>
          <w:szCs w:val="20"/>
        </w:rPr>
        <w:t>señora</w:t>
      </w:r>
      <w:proofErr w:type="spellEnd"/>
      <w:r w:rsidRPr="003D49EB">
        <w:rPr>
          <w:rFonts w:eastAsia="Batang"/>
          <w:spacing w:val="-2"/>
          <w:szCs w:val="20"/>
        </w:rPr>
        <w:t xml:space="preserve"> Bedoya declaró a este respecto que su madre “carga con mi dolor, pero también con su dolor, y creo que eso es lo que nos ocurre a todas las </w:t>
      </w:r>
      <w:proofErr w:type="spellStart"/>
      <w:r w:rsidRPr="003D49EB">
        <w:rPr>
          <w:rFonts w:eastAsia="Batang"/>
          <w:spacing w:val="-2"/>
          <w:szCs w:val="20"/>
        </w:rPr>
        <w:t>víctimas</w:t>
      </w:r>
      <w:proofErr w:type="spellEnd"/>
      <w:r w:rsidRPr="003D49EB">
        <w:rPr>
          <w:rFonts w:eastAsia="Batang"/>
          <w:spacing w:val="-2"/>
          <w:szCs w:val="20"/>
        </w:rPr>
        <w:t xml:space="preserve">, sobre todo, cuando quien ha sufrido el hecho </w:t>
      </w:r>
      <w:proofErr w:type="spellStart"/>
      <w:r w:rsidRPr="003D49EB">
        <w:rPr>
          <w:rFonts w:eastAsia="Batang"/>
          <w:spacing w:val="-2"/>
          <w:szCs w:val="20"/>
        </w:rPr>
        <w:t>victimizante</w:t>
      </w:r>
      <w:proofErr w:type="spellEnd"/>
      <w:r w:rsidRPr="003D49EB">
        <w:rPr>
          <w:rFonts w:eastAsia="Batang"/>
          <w:spacing w:val="-2"/>
          <w:szCs w:val="20"/>
        </w:rPr>
        <w:t xml:space="preserve"> es alguien de nuestro entorno, porque es un doble dolor, y eso es lo que le ha pasado a ella”. De hecho, las madres de </w:t>
      </w:r>
      <w:proofErr w:type="spellStart"/>
      <w:r w:rsidRPr="003D49EB">
        <w:rPr>
          <w:rFonts w:eastAsia="Batang"/>
          <w:spacing w:val="-2"/>
          <w:szCs w:val="20"/>
        </w:rPr>
        <w:t>víctimas</w:t>
      </w:r>
      <w:proofErr w:type="spellEnd"/>
      <w:r w:rsidRPr="003D49EB">
        <w:rPr>
          <w:rFonts w:eastAsia="Batang"/>
          <w:spacing w:val="-2"/>
          <w:szCs w:val="20"/>
        </w:rPr>
        <w:t xml:space="preserve"> de violencia sexual “sufren el temor producto de la nueva violencia porque el problema con ciertas violencias sexuales es que siempre puede darse el continuo y es que se vuelva a repetir”. Lo anterior se vio también refrendado por lo declarado por la </w:t>
      </w:r>
      <w:proofErr w:type="spellStart"/>
      <w:r w:rsidRPr="003D49EB">
        <w:rPr>
          <w:rFonts w:eastAsia="Batang"/>
          <w:spacing w:val="-2"/>
          <w:szCs w:val="20"/>
        </w:rPr>
        <w:t>señora</w:t>
      </w:r>
      <w:proofErr w:type="spellEnd"/>
      <w:r w:rsidRPr="003D49EB">
        <w:rPr>
          <w:rFonts w:eastAsia="Batang"/>
          <w:spacing w:val="-2"/>
          <w:szCs w:val="20"/>
        </w:rPr>
        <w:t xml:space="preserve"> Lima en el marco del presente procedimiento, quien indicó que “los hechos del 25 de mayo de 2000 y las amenazas que ha recibido </w:t>
      </w:r>
      <w:proofErr w:type="spellStart"/>
      <w:r w:rsidRPr="003D49EB">
        <w:rPr>
          <w:rFonts w:eastAsia="Batang"/>
          <w:spacing w:val="-2"/>
          <w:szCs w:val="20"/>
        </w:rPr>
        <w:t>Jineth</w:t>
      </w:r>
      <w:proofErr w:type="spellEnd"/>
      <w:r w:rsidRPr="003D49EB">
        <w:rPr>
          <w:rFonts w:eastAsia="Batang"/>
          <w:spacing w:val="-2"/>
          <w:szCs w:val="20"/>
        </w:rPr>
        <w:t xml:space="preserve"> son cosas que me afectan todos los </w:t>
      </w:r>
      <w:proofErr w:type="spellStart"/>
      <w:r w:rsidRPr="003D49EB">
        <w:rPr>
          <w:rFonts w:eastAsia="Batang"/>
          <w:spacing w:val="-2"/>
          <w:szCs w:val="20"/>
        </w:rPr>
        <w:t>días</w:t>
      </w:r>
      <w:proofErr w:type="spellEnd"/>
      <w:r w:rsidRPr="003D49EB">
        <w:rPr>
          <w:rFonts w:eastAsia="Batang"/>
          <w:spacing w:val="-2"/>
          <w:szCs w:val="20"/>
        </w:rPr>
        <w:t xml:space="preserve"> de la vida”. Asimismo, la </w:t>
      </w:r>
      <w:proofErr w:type="spellStart"/>
      <w:r w:rsidRPr="003D49EB">
        <w:rPr>
          <w:rFonts w:eastAsia="Batang"/>
          <w:spacing w:val="-2"/>
          <w:szCs w:val="20"/>
        </w:rPr>
        <w:t>señora</w:t>
      </w:r>
      <w:proofErr w:type="spellEnd"/>
      <w:r w:rsidRPr="003D49EB">
        <w:rPr>
          <w:rFonts w:eastAsia="Batang"/>
          <w:spacing w:val="-2"/>
          <w:szCs w:val="20"/>
        </w:rPr>
        <w:t xml:space="preserve"> Bedoya hizo referencia </w:t>
      </w:r>
      <w:proofErr w:type="spellStart"/>
      <w:r w:rsidRPr="003D49EB">
        <w:rPr>
          <w:rFonts w:eastAsia="Batang"/>
          <w:spacing w:val="-2"/>
          <w:szCs w:val="20"/>
        </w:rPr>
        <w:t>específica</w:t>
      </w:r>
      <w:proofErr w:type="spellEnd"/>
      <w:r w:rsidRPr="003D49EB">
        <w:rPr>
          <w:rFonts w:eastAsia="Batang"/>
          <w:spacing w:val="-2"/>
          <w:szCs w:val="20"/>
        </w:rPr>
        <w:t xml:space="preserve"> a las afectaciones que todos los hechos de violencia dirigidos contra ella y la inactividad del Estado le </w:t>
      </w:r>
      <w:proofErr w:type="spellStart"/>
      <w:r w:rsidRPr="003D49EB">
        <w:rPr>
          <w:rFonts w:eastAsia="Batang"/>
          <w:spacing w:val="-2"/>
          <w:szCs w:val="20"/>
        </w:rPr>
        <w:t>habían</w:t>
      </w:r>
      <w:proofErr w:type="spellEnd"/>
      <w:r w:rsidRPr="003D49EB">
        <w:rPr>
          <w:rFonts w:eastAsia="Batang"/>
          <w:spacing w:val="-2"/>
          <w:szCs w:val="20"/>
        </w:rPr>
        <w:t xml:space="preserve"> causado al indicar en la audiencia </w:t>
      </w:r>
      <w:proofErr w:type="spellStart"/>
      <w:r w:rsidRPr="003D49EB">
        <w:rPr>
          <w:rFonts w:eastAsia="Batang"/>
          <w:spacing w:val="-2"/>
          <w:szCs w:val="20"/>
        </w:rPr>
        <w:t>pública</w:t>
      </w:r>
      <w:proofErr w:type="spellEnd"/>
      <w:r w:rsidRPr="003D49EB">
        <w:rPr>
          <w:rFonts w:eastAsia="Batang"/>
          <w:spacing w:val="-2"/>
          <w:szCs w:val="20"/>
        </w:rPr>
        <w:t xml:space="preserve"> celebrada ante esta Corte lo siguiente:</w:t>
      </w:r>
    </w:p>
    <w:p w14:paraId="55CB38FA" w14:textId="1D36DC1F" w:rsidR="0066318B" w:rsidRPr="003D49EB" w:rsidRDefault="0066318B" w:rsidP="002E1AFB">
      <w:pPr>
        <w:pStyle w:val="NormalNumbered"/>
        <w:rPr>
          <w:rFonts w:eastAsia="Batang"/>
        </w:rPr>
      </w:pPr>
      <w:r w:rsidRPr="003D49EB">
        <w:rPr>
          <w:rFonts w:eastAsia="Batang"/>
        </w:rPr>
        <w:t xml:space="preserve">Mi mamá, tengo que decir que nunca ha tenido apoyo del Estado en el tema de seguridad, [...], y a ella le han hecho seguimientos, a veces llaman a su </w:t>
      </w:r>
      <w:proofErr w:type="spellStart"/>
      <w:r w:rsidRPr="003D49EB">
        <w:rPr>
          <w:rFonts w:eastAsia="Batang"/>
        </w:rPr>
        <w:t>teléfono</w:t>
      </w:r>
      <w:proofErr w:type="spellEnd"/>
      <w:r w:rsidRPr="003D49EB">
        <w:rPr>
          <w:rFonts w:eastAsia="Batang"/>
        </w:rPr>
        <w:t xml:space="preserve"> a preguntarle cosas sobre mí, y sabemos que algo para intimidarla, sabemos que juegan también a eso, al acoso </w:t>
      </w:r>
      <w:proofErr w:type="spellStart"/>
      <w:r w:rsidRPr="003D49EB">
        <w:rPr>
          <w:rFonts w:eastAsia="Batang"/>
        </w:rPr>
        <w:t>psicológico</w:t>
      </w:r>
      <w:proofErr w:type="spellEnd"/>
      <w:r w:rsidRPr="003D49EB">
        <w:rPr>
          <w:rFonts w:eastAsia="Batang"/>
        </w:rPr>
        <w:t xml:space="preserve"> y al acoso emocional, y yo lo puedo manejar porque he vivido en medio de eso durante 20 </w:t>
      </w:r>
      <w:proofErr w:type="spellStart"/>
      <w:r w:rsidRPr="003D49EB">
        <w:rPr>
          <w:rFonts w:eastAsia="Batang"/>
        </w:rPr>
        <w:t>años</w:t>
      </w:r>
      <w:proofErr w:type="spellEnd"/>
      <w:r w:rsidRPr="003D49EB">
        <w:rPr>
          <w:rFonts w:eastAsia="Batang"/>
        </w:rPr>
        <w:t xml:space="preserve">, me acostumbré a vivir en medio de eso, [...], pero ella no, creo que eso ha sido lo </w:t>
      </w:r>
      <w:proofErr w:type="spellStart"/>
      <w:r w:rsidRPr="003D49EB">
        <w:rPr>
          <w:rFonts w:eastAsia="Batang"/>
        </w:rPr>
        <w:t>más</w:t>
      </w:r>
      <w:proofErr w:type="spellEnd"/>
      <w:r w:rsidRPr="003D49EB">
        <w:rPr>
          <w:rFonts w:eastAsia="Batang"/>
        </w:rPr>
        <w:t xml:space="preserve"> duro [...]. Una condición de salud que se ha deteriorado en todos estos </w:t>
      </w:r>
      <w:proofErr w:type="spellStart"/>
      <w:r w:rsidRPr="003D49EB">
        <w:rPr>
          <w:rFonts w:eastAsia="Batang"/>
        </w:rPr>
        <w:t>años</w:t>
      </w:r>
      <w:proofErr w:type="spellEnd"/>
      <w:r w:rsidRPr="003D49EB">
        <w:rPr>
          <w:rFonts w:eastAsia="Batang"/>
        </w:rPr>
        <w:t>, pero sobre todo el no poder tener una vida libre, el no poder vivir.</w:t>
      </w:r>
    </w:p>
    <w:p w14:paraId="5DA7850D" w14:textId="39A37498" w:rsidR="0066318B" w:rsidRPr="003D49EB" w:rsidRDefault="0066318B" w:rsidP="0066318B">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 xml:space="preserve">160. A lo anterior se une el grave hecho de que la propia </w:t>
      </w:r>
      <w:proofErr w:type="spellStart"/>
      <w:r w:rsidRPr="003D49EB">
        <w:rPr>
          <w:rFonts w:eastAsia="Batang"/>
          <w:spacing w:val="-2"/>
          <w:szCs w:val="20"/>
        </w:rPr>
        <w:t>señora</w:t>
      </w:r>
      <w:proofErr w:type="spellEnd"/>
      <w:r w:rsidRPr="003D49EB">
        <w:rPr>
          <w:rFonts w:eastAsia="Batang"/>
          <w:spacing w:val="-2"/>
          <w:szCs w:val="20"/>
        </w:rPr>
        <w:t xml:space="preserve"> Lima fue </w:t>
      </w:r>
      <w:proofErr w:type="spellStart"/>
      <w:r w:rsidRPr="003D49EB">
        <w:rPr>
          <w:rFonts w:eastAsia="Batang"/>
          <w:spacing w:val="-2"/>
          <w:szCs w:val="20"/>
        </w:rPr>
        <w:t>víctima</w:t>
      </w:r>
      <w:proofErr w:type="spellEnd"/>
      <w:r w:rsidRPr="003D49EB">
        <w:rPr>
          <w:rFonts w:eastAsia="Batang"/>
          <w:spacing w:val="-2"/>
          <w:szCs w:val="20"/>
        </w:rPr>
        <w:t xml:space="preserve"> colateral de un atentado dirigido contra su hija el 27 de mayo de 1999 tras el cual </w:t>
      </w:r>
      <w:proofErr w:type="spellStart"/>
      <w:r w:rsidRPr="003D49EB">
        <w:rPr>
          <w:rFonts w:eastAsia="Batang"/>
          <w:spacing w:val="-2"/>
          <w:szCs w:val="20"/>
        </w:rPr>
        <w:t>además</w:t>
      </w:r>
      <w:proofErr w:type="spellEnd"/>
      <w:r w:rsidRPr="003D49EB">
        <w:rPr>
          <w:rFonts w:eastAsia="Batang"/>
          <w:spacing w:val="-2"/>
          <w:szCs w:val="20"/>
        </w:rPr>
        <w:t xml:space="preserve"> tuvo que ser hospitalizada.</w:t>
      </w:r>
    </w:p>
    <w:p w14:paraId="7EA832D6" w14:textId="4B2FE329" w:rsidR="0066318B" w:rsidRPr="003D49EB" w:rsidRDefault="0066318B" w:rsidP="0066318B">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 xml:space="preserve">161. Por </w:t>
      </w:r>
      <w:proofErr w:type="spellStart"/>
      <w:r w:rsidRPr="003D49EB">
        <w:rPr>
          <w:rFonts w:eastAsia="Batang"/>
          <w:spacing w:val="-2"/>
          <w:szCs w:val="20"/>
        </w:rPr>
        <w:t>último</w:t>
      </w:r>
      <w:proofErr w:type="spellEnd"/>
      <w:r w:rsidRPr="003D49EB">
        <w:rPr>
          <w:rFonts w:eastAsia="Batang"/>
          <w:spacing w:val="-2"/>
          <w:szCs w:val="20"/>
        </w:rPr>
        <w:t xml:space="preserve">, el Tribunal considera que el hecho de que las amenazas recibidas por la </w:t>
      </w:r>
      <w:proofErr w:type="spellStart"/>
      <w:r w:rsidRPr="003D49EB">
        <w:rPr>
          <w:rFonts w:eastAsia="Batang"/>
          <w:spacing w:val="-2"/>
          <w:szCs w:val="20"/>
        </w:rPr>
        <w:t>señora</w:t>
      </w:r>
      <w:proofErr w:type="spellEnd"/>
      <w:r w:rsidRPr="003D49EB">
        <w:rPr>
          <w:rFonts w:eastAsia="Batang"/>
          <w:spacing w:val="-2"/>
          <w:szCs w:val="20"/>
        </w:rPr>
        <w:t xml:space="preserve"> Bedoya </w:t>
      </w:r>
      <w:proofErr w:type="spellStart"/>
      <w:r w:rsidRPr="003D49EB">
        <w:rPr>
          <w:rFonts w:eastAsia="Batang"/>
          <w:spacing w:val="-2"/>
          <w:szCs w:val="20"/>
        </w:rPr>
        <w:t>continúen</w:t>
      </w:r>
      <w:proofErr w:type="spellEnd"/>
      <w:r w:rsidRPr="003D49EB">
        <w:rPr>
          <w:rFonts w:eastAsia="Batang"/>
          <w:spacing w:val="-2"/>
          <w:szCs w:val="20"/>
        </w:rPr>
        <w:t xml:space="preserve"> en la impunidad también le ha generado sufrimiento a su madre, quien declaró que </w:t>
      </w:r>
      <w:proofErr w:type="spellStart"/>
      <w:r w:rsidRPr="003D49EB">
        <w:rPr>
          <w:rFonts w:eastAsia="Batang"/>
          <w:spacing w:val="-2"/>
          <w:szCs w:val="20"/>
        </w:rPr>
        <w:t>todavía</w:t>
      </w:r>
      <w:proofErr w:type="spellEnd"/>
      <w:r w:rsidRPr="003D49EB">
        <w:rPr>
          <w:rFonts w:eastAsia="Batang"/>
          <w:spacing w:val="-2"/>
          <w:szCs w:val="20"/>
        </w:rPr>
        <w:t xml:space="preserve"> siente “mucho miedo” porque sabe que </w:t>
      </w:r>
      <w:proofErr w:type="spellStart"/>
      <w:r w:rsidRPr="003D49EB">
        <w:rPr>
          <w:rFonts w:eastAsia="Batang"/>
          <w:spacing w:val="-2"/>
          <w:szCs w:val="20"/>
        </w:rPr>
        <w:t>todavía</w:t>
      </w:r>
      <w:proofErr w:type="spellEnd"/>
      <w:r w:rsidRPr="003D49EB">
        <w:rPr>
          <w:rFonts w:eastAsia="Batang"/>
          <w:spacing w:val="-2"/>
          <w:szCs w:val="20"/>
        </w:rPr>
        <w:t xml:space="preserve"> hay personas que quieren atentar contra la vida de su hija.</w:t>
      </w:r>
    </w:p>
    <w:p w14:paraId="7360BDF0" w14:textId="15B34A42" w:rsidR="0066318B" w:rsidRPr="003D49EB" w:rsidRDefault="0066318B" w:rsidP="0066318B">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 xml:space="preserve">162. Por consiguiente, en vista de la prueba e </w:t>
      </w:r>
      <w:proofErr w:type="spellStart"/>
      <w:r w:rsidRPr="003D49EB">
        <w:rPr>
          <w:rFonts w:eastAsia="Batang"/>
          <w:spacing w:val="-2"/>
          <w:szCs w:val="20"/>
        </w:rPr>
        <w:t>información</w:t>
      </w:r>
      <w:proofErr w:type="spellEnd"/>
      <w:r w:rsidRPr="003D49EB">
        <w:rPr>
          <w:rFonts w:eastAsia="Batang"/>
          <w:spacing w:val="-2"/>
          <w:szCs w:val="20"/>
        </w:rPr>
        <w:t xml:space="preserve"> aportada al expediente, </w:t>
      </w:r>
      <w:proofErr w:type="spellStart"/>
      <w:r w:rsidRPr="003D49EB">
        <w:rPr>
          <w:rFonts w:eastAsia="Batang"/>
          <w:spacing w:val="-2"/>
          <w:szCs w:val="20"/>
        </w:rPr>
        <w:t>asi</w:t>
      </w:r>
      <w:proofErr w:type="spellEnd"/>
      <w:r w:rsidRPr="003D49EB">
        <w:rPr>
          <w:rFonts w:eastAsia="Batang"/>
          <w:spacing w:val="-2"/>
          <w:szCs w:val="20"/>
        </w:rPr>
        <w:t xml:space="preserve">́ como de las circunstancias particulares del presente caso, este Tribunal considera que, como consecuencia directa de los hechos de violencia en contra de su hija, por </w:t>
      </w:r>
      <w:proofErr w:type="spellStart"/>
      <w:r w:rsidRPr="003D49EB">
        <w:rPr>
          <w:rFonts w:eastAsia="Batang"/>
          <w:spacing w:val="-2"/>
          <w:szCs w:val="20"/>
        </w:rPr>
        <w:t>acompañarla</w:t>
      </w:r>
      <w:proofErr w:type="spellEnd"/>
      <w:r w:rsidRPr="003D49EB">
        <w:rPr>
          <w:rFonts w:eastAsia="Batang"/>
          <w:spacing w:val="-2"/>
          <w:szCs w:val="20"/>
        </w:rPr>
        <w:t xml:space="preserve"> durante </w:t>
      </w:r>
      <w:proofErr w:type="spellStart"/>
      <w:r w:rsidRPr="003D49EB">
        <w:rPr>
          <w:rFonts w:eastAsia="Batang"/>
          <w:spacing w:val="-2"/>
          <w:szCs w:val="20"/>
        </w:rPr>
        <w:t>más</w:t>
      </w:r>
      <w:proofErr w:type="spellEnd"/>
      <w:r w:rsidRPr="003D49EB">
        <w:rPr>
          <w:rFonts w:eastAsia="Batang"/>
          <w:spacing w:val="-2"/>
          <w:szCs w:val="20"/>
        </w:rPr>
        <w:t xml:space="preserve"> de dos </w:t>
      </w:r>
      <w:proofErr w:type="spellStart"/>
      <w:r w:rsidRPr="003D49EB">
        <w:rPr>
          <w:rFonts w:eastAsia="Batang"/>
          <w:spacing w:val="-2"/>
          <w:szCs w:val="20"/>
        </w:rPr>
        <w:t>décadas</w:t>
      </w:r>
      <w:proofErr w:type="spellEnd"/>
      <w:r w:rsidRPr="003D49EB">
        <w:rPr>
          <w:rFonts w:eastAsia="Batang"/>
          <w:spacing w:val="-2"/>
          <w:szCs w:val="20"/>
        </w:rPr>
        <w:t xml:space="preserve"> en su </w:t>
      </w:r>
      <w:proofErr w:type="spellStart"/>
      <w:r w:rsidRPr="003D49EB">
        <w:rPr>
          <w:rFonts w:eastAsia="Batang"/>
          <w:spacing w:val="-2"/>
          <w:szCs w:val="20"/>
        </w:rPr>
        <w:t>búsqueda</w:t>
      </w:r>
      <w:proofErr w:type="spellEnd"/>
      <w:r w:rsidRPr="003D49EB">
        <w:rPr>
          <w:rFonts w:eastAsia="Batang"/>
          <w:spacing w:val="-2"/>
          <w:szCs w:val="20"/>
        </w:rPr>
        <w:t xml:space="preserve"> de justicia y que los hechos </w:t>
      </w:r>
      <w:proofErr w:type="spellStart"/>
      <w:r w:rsidRPr="003D49EB">
        <w:rPr>
          <w:rFonts w:eastAsia="Batang"/>
          <w:spacing w:val="-2"/>
          <w:szCs w:val="20"/>
        </w:rPr>
        <w:t>continúen</w:t>
      </w:r>
      <w:proofErr w:type="spellEnd"/>
      <w:r w:rsidRPr="003D49EB">
        <w:rPr>
          <w:rFonts w:eastAsia="Batang"/>
          <w:spacing w:val="-2"/>
          <w:szCs w:val="20"/>
        </w:rPr>
        <w:t xml:space="preserve"> en una impunidad parcial y por las amenazas que incluso en la actualidad recibe su hija, la </w:t>
      </w:r>
      <w:proofErr w:type="spellStart"/>
      <w:r w:rsidRPr="003D49EB">
        <w:rPr>
          <w:rFonts w:eastAsia="Batang"/>
          <w:spacing w:val="-2"/>
          <w:szCs w:val="20"/>
        </w:rPr>
        <w:t>señora</w:t>
      </w:r>
      <w:proofErr w:type="spellEnd"/>
      <w:r w:rsidRPr="003D49EB">
        <w:rPr>
          <w:rFonts w:eastAsia="Batang"/>
          <w:spacing w:val="-2"/>
          <w:szCs w:val="20"/>
        </w:rPr>
        <w:t xml:space="preserve"> Lima </w:t>
      </w:r>
      <w:proofErr w:type="spellStart"/>
      <w:r w:rsidRPr="003D49EB">
        <w:rPr>
          <w:rFonts w:eastAsia="Batang"/>
          <w:spacing w:val="-2"/>
          <w:szCs w:val="20"/>
        </w:rPr>
        <w:t>padecio</w:t>
      </w:r>
      <w:proofErr w:type="spellEnd"/>
      <w:r w:rsidRPr="003D49EB">
        <w:rPr>
          <w:rFonts w:eastAsia="Batang"/>
          <w:spacing w:val="-2"/>
          <w:szCs w:val="20"/>
        </w:rPr>
        <w:t xml:space="preserve">́ y padece un profundo sufrimiento y angustia en detrimento de su integridad </w:t>
      </w:r>
      <w:proofErr w:type="spellStart"/>
      <w:r w:rsidRPr="003D49EB">
        <w:rPr>
          <w:rFonts w:eastAsia="Batang"/>
          <w:spacing w:val="-2"/>
          <w:szCs w:val="20"/>
        </w:rPr>
        <w:t>psíquica</w:t>
      </w:r>
      <w:proofErr w:type="spellEnd"/>
      <w:r w:rsidRPr="003D49EB">
        <w:rPr>
          <w:rFonts w:eastAsia="Batang"/>
          <w:spacing w:val="-2"/>
          <w:szCs w:val="20"/>
        </w:rPr>
        <w:t xml:space="preserve"> y moral, en </w:t>
      </w:r>
      <w:proofErr w:type="spellStart"/>
      <w:r w:rsidRPr="003D49EB">
        <w:rPr>
          <w:rFonts w:eastAsia="Batang"/>
          <w:spacing w:val="-2"/>
          <w:szCs w:val="20"/>
        </w:rPr>
        <w:t>violación</w:t>
      </w:r>
      <w:proofErr w:type="spellEnd"/>
      <w:r w:rsidRPr="003D49EB">
        <w:rPr>
          <w:rFonts w:eastAsia="Batang"/>
          <w:spacing w:val="-2"/>
          <w:szCs w:val="20"/>
        </w:rPr>
        <w:t xml:space="preserve"> del artículo 5.1 de la Convención Americana, en </w:t>
      </w:r>
      <w:proofErr w:type="spellStart"/>
      <w:r w:rsidRPr="003D49EB">
        <w:rPr>
          <w:rFonts w:eastAsia="Batang"/>
          <w:spacing w:val="-2"/>
          <w:szCs w:val="20"/>
        </w:rPr>
        <w:t>relación</w:t>
      </w:r>
      <w:proofErr w:type="spellEnd"/>
      <w:r w:rsidRPr="003D49EB">
        <w:rPr>
          <w:rFonts w:eastAsia="Batang"/>
          <w:spacing w:val="-2"/>
          <w:szCs w:val="20"/>
        </w:rPr>
        <w:t xml:space="preserve"> con el artículo 1.1 del mismo instrumento.</w:t>
      </w:r>
    </w:p>
    <w:p w14:paraId="21459FF4" w14:textId="71D7772D" w:rsidR="000734D7" w:rsidRDefault="000734D7" w:rsidP="009A4683">
      <w:pPr>
        <w:pStyle w:val="Caso"/>
      </w:pPr>
      <w:r w:rsidRPr="003D49EB">
        <w:lastRenderedPageBreak/>
        <w:t>Corte IDH. Caso Garzón Guzmán y otros Vs. Ecuador. Fondo, Reparaciones y Costas. Sentencia de 1 de septiembre de 2021. Serie C No. 434.</w:t>
      </w:r>
    </w:p>
    <w:p w14:paraId="7203DE20" w14:textId="77777777" w:rsidR="007D3060" w:rsidRPr="003D49EB" w:rsidRDefault="007D3060" w:rsidP="009A4683">
      <w:pPr>
        <w:pStyle w:val="Caso"/>
      </w:pPr>
    </w:p>
    <w:p w14:paraId="07AAF273" w14:textId="77777777" w:rsidR="004F58F9" w:rsidRDefault="000734D7"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 xml:space="preserve">90. Este Tribunal ha considerado de forma reiterada que en casos que involucran la </w:t>
      </w:r>
      <w:proofErr w:type="spellStart"/>
      <w:r w:rsidRPr="003D49EB">
        <w:rPr>
          <w:rFonts w:eastAsia="Batang"/>
          <w:spacing w:val="-2"/>
          <w:szCs w:val="20"/>
        </w:rPr>
        <w:t>desaparición</w:t>
      </w:r>
      <w:proofErr w:type="spellEnd"/>
      <w:r w:rsidRPr="003D49EB">
        <w:rPr>
          <w:rFonts w:eastAsia="Batang"/>
          <w:spacing w:val="-2"/>
          <w:szCs w:val="20"/>
        </w:rPr>
        <w:t xml:space="preserve"> forzada de personas, es posible entender que la </w:t>
      </w:r>
      <w:proofErr w:type="spellStart"/>
      <w:r w:rsidRPr="003D49EB">
        <w:rPr>
          <w:rFonts w:eastAsia="Batang"/>
          <w:spacing w:val="-2"/>
          <w:szCs w:val="20"/>
        </w:rPr>
        <w:t>violación</w:t>
      </w:r>
      <w:proofErr w:type="spellEnd"/>
      <w:r w:rsidRPr="003D49EB">
        <w:rPr>
          <w:rFonts w:eastAsia="Batang"/>
          <w:spacing w:val="-2"/>
          <w:szCs w:val="20"/>
        </w:rPr>
        <w:t xml:space="preserve"> del derecho a la integridad </w:t>
      </w:r>
      <w:proofErr w:type="spellStart"/>
      <w:r w:rsidRPr="003D49EB">
        <w:rPr>
          <w:rFonts w:eastAsia="Batang"/>
          <w:spacing w:val="-2"/>
          <w:szCs w:val="20"/>
        </w:rPr>
        <w:t>psíquica</w:t>
      </w:r>
      <w:proofErr w:type="spellEnd"/>
      <w:r w:rsidRPr="003D49EB">
        <w:rPr>
          <w:rFonts w:eastAsia="Batang"/>
          <w:spacing w:val="-2"/>
          <w:szCs w:val="20"/>
        </w:rPr>
        <w:t xml:space="preserve"> y moral de los familiares de la </w:t>
      </w:r>
      <w:proofErr w:type="spellStart"/>
      <w:r w:rsidRPr="003D49EB">
        <w:rPr>
          <w:rFonts w:eastAsia="Batang"/>
          <w:spacing w:val="-2"/>
          <w:szCs w:val="20"/>
        </w:rPr>
        <w:t>víctima</w:t>
      </w:r>
      <w:proofErr w:type="spellEnd"/>
      <w:r w:rsidRPr="003D49EB">
        <w:rPr>
          <w:rFonts w:eastAsia="Batang"/>
          <w:spacing w:val="-2"/>
          <w:szCs w:val="20"/>
        </w:rPr>
        <w:t xml:space="preserve">, es una consecuencia directa de ese </w:t>
      </w:r>
      <w:proofErr w:type="spellStart"/>
      <w:r w:rsidRPr="003D49EB">
        <w:rPr>
          <w:rFonts w:eastAsia="Batang"/>
          <w:spacing w:val="-2"/>
          <w:szCs w:val="20"/>
        </w:rPr>
        <w:t>fenómeno</w:t>
      </w:r>
      <w:proofErr w:type="spellEnd"/>
      <w:r w:rsidRPr="003D49EB">
        <w:rPr>
          <w:rFonts w:eastAsia="Batang"/>
          <w:spacing w:val="-2"/>
          <w:szCs w:val="20"/>
        </w:rPr>
        <w:t xml:space="preserve">, el cual les causa un severo sufrimiento por el hecho mismo y se acrecienta, entre otros factores, por la constante negativa de las autoridades estatales de proporcionar </w:t>
      </w:r>
      <w:proofErr w:type="spellStart"/>
      <w:r w:rsidRPr="003D49EB">
        <w:rPr>
          <w:rFonts w:eastAsia="Batang"/>
          <w:spacing w:val="-2"/>
          <w:szCs w:val="20"/>
        </w:rPr>
        <w:t>información</w:t>
      </w:r>
      <w:proofErr w:type="spellEnd"/>
      <w:r w:rsidRPr="003D49EB">
        <w:rPr>
          <w:rFonts w:eastAsia="Batang"/>
          <w:spacing w:val="-2"/>
          <w:szCs w:val="20"/>
        </w:rPr>
        <w:t xml:space="preserve"> sobre el paradero de la </w:t>
      </w:r>
      <w:proofErr w:type="spellStart"/>
      <w:r w:rsidRPr="003D49EB">
        <w:rPr>
          <w:rFonts w:eastAsia="Batang"/>
          <w:spacing w:val="-2"/>
          <w:szCs w:val="20"/>
        </w:rPr>
        <w:t>víctima</w:t>
      </w:r>
      <w:proofErr w:type="spellEnd"/>
      <w:r w:rsidRPr="003D49EB">
        <w:rPr>
          <w:rFonts w:eastAsia="Batang"/>
          <w:spacing w:val="-2"/>
          <w:szCs w:val="20"/>
        </w:rPr>
        <w:t xml:space="preserve"> o de realizar una </w:t>
      </w:r>
      <w:proofErr w:type="spellStart"/>
      <w:r w:rsidRPr="003D49EB">
        <w:rPr>
          <w:rFonts w:eastAsia="Batang"/>
          <w:spacing w:val="-2"/>
          <w:szCs w:val="20"/>
        </w:rPr>
        <w:t>investigación</w:t>
      </w:r>
      <w:proofErr w:type="spellEnd"/>
      <w:r w:rsidRPr="003D49EB">
        <w:rPr>
          <w:rFonts w:eastAsia="Batang"/>
          <w:spacing w:val="-2"/>
          <w:szCs w:val="20"/>
        </w:rPr>
        <w:t xml:space="preserve"> eficaz para lograr el esclarecimiento de lo sucedido. Estas afectaciones hacen presumir un daño a la integridad </w:t>
      </w:r>
      <w:proofErr w:type="spellStart"/>
      <w:r w:rsidRPr="003D49EB">
        <w:rPr>
          <w:rFonts w:eastAsia="Batang"/>
          <w:spacing w:val="-2"/>
          <w:szCs w:val="20"/>
        </w:rPr>
        <w:t>psíquica</w:t>
      </w:r>
      <w:proofErr w:type="spellEnd"/>
      <w:r w:rsidRPr="003D49EB">
        <w:rPr>
          <w:rFonts w:eastAsia="Batang"/>
          <w:spacing w:val="-2"/>
          <w:szCs w:val="20"/>
        </w:rPr>
        <w:t xml:space="preserve"> y moral de los familiares. En casos anteriores, la Corte ha establecido que dicha </w:t>
      </w:r>
      <w:proofErr w:type="spellStart"/>
      <w:r w:rsidRPr="003D49EB">
        <w:rPr>
          <w:rFonts w:eastAsia="Batang"/>
          <w:spacing w:val="-2"/>
          <w:szCs w:val="20"/>
        </w:rPr>
        <w:t>presunción</w:t>
      </w:r>
      <w:proofErr w:type="spellEnd"/>
      <w:r w:rsidRPr="003D49EB">
        <w:rPr>
          <w:rFonts w:eastAsia="Batang"/>
          <w:spacing w:val="-2"/>
          <w:szCs w:val="20"/>
        </w:rPr>
        <w:t xml:space="preserve"> se establece juris tantum respecto de madres y padres, hijas e hijos, </w:t>
      </w:r>
      <w:proofErr w:type="spellStart"/>
      <w:r w:rsidRPr="003D49EB">
        <w:rPr>
          <w:rFonts w:eastAsia="Batang"/>
          <w:spacing w:val="-2"/>
          <w:szCs w:val="20"/>
        </w:rPr>
        <w:t>cónyuges</w:t>
      </w:r>
      <w:proofErr w:type="spellEnd"/>
      <w:r w:rsidRPr="003D49EB">
        <w:rPr>
          <w:rFonts w:eastAsia="Batang"/>
          <w:spacing w:val="-2"/>
          <w:szCs w:val="20"/>
        </w:rPr>
        <w:t xml:space="preserve">, </w:t>
      </w:r>
      <w:proofErr w:type="spellStart"/>
      <w:r w:rsidRPr="003D49EB">
        <w:rPr>
          <w:rFonts w:eastAsia="Batang"/>
          <w:spacing w:val="-2"/>
          <w:szCs w:val="20"/>
        </w:rPr>
        <w:t>compañeros</w:t>
      </w:r>
      <w:proofErr w:type="spellEnd"/>
      <w:r w:rsidRPr="003D49EB">
        <w:rPr>
          <w:rFonts w:eastAsia="Batang"/>
          <w:spacing w:val="-2"/>
          <w:szCs w:val="20"/>
        </w:rPr>
        <w:t xml:space="preserve"> y </w:t>
      </w:r>
      <w:proofErr w:type="spellStart"/>
      <w:r w:rsidRPr="003D49EB">
        <w:rPr>
          <w:rFonts w:eastAsia="Batang"/>
          <w:spacing w:val="-2"/>
          <w:szCs w:val="20"/>
        </w:rPr>
        <w:t>compañeras</w:t>
      </w:r>
      <w:proofErr w:type="spellEnd"/>
      <w:r w:rsidRPr="003D49EB">
        <w:rPr>
          <w:rFonts w:eastAsia="Batang"/>
          <w:spacing w:val="-2"/>
          <w:szCs w:val="20"/>
        </w:rPr>
        <w:t xml:space="preserve"> permanentes, hermanos y hermanas, siempre que corresponda a las circunstancias particulares del caso.</w:t>
      </w:r>
    </w:p>
    <w:p w14:paraId="4A905D56" w14:textId="68B8AB37" w:rsidR="004F58F9" w:rsidRDefault="004F58F9" w:rsidP="004F58F9">
      <w:pPr>
        <w:pStyle w:val="Caso"/>
      </w:pPr>
      <w:r w:rsidRPr="004F58F9">
        <w:t>Caso Vera Rojas y otros Vs. Chile. Excepciones preliminares, Fondo, Reparaciones y Costas. Sentencia de 1 de octubre de 2021. Serie C No. 439.</w:t>
      </w:r>
    </w:p>
    <w:p w14:paraId="4790CFC7" w14:textId="77777777" w:rsidR="004F58F9" w:rsidRDefault="004F58F9" w:rsidP="004F58F9">
      <w:pPr>
        <w:pStyle w:val="Caso"/>
      </w:pPr>
    </w:p>
    <w:p w14:paraId="2FE4B67A" w14:textId="7E67D245" w:rsidR="00695CC2" w:rsidRPr="004F58F9" w:rsidRDefault="004F58F9" w:rsidP="004F58F9">
      <w:pPr>
        <w:rPr>
          <w:rFonts w:eastAsia="Calibri"/>
        </w:rPr>
      </w:pPr>
      <w:r w:rsidRPr="004F58F9">
        <w:rPr>
          <w:rFonts w:eastAsia="Batang"/>
        </w:rPr>
        <w:t>153.</w:t>
      </w:r>
      <w:r>
        <w:rPr>
          <w:rFonts w:eastAsia="Batang"/>
        </w:rPr>
        <w:t xml:space="preserve"> L</w:t>
      </w:r>
      <w:r w:rsidRPr="004F58F9">
        <w:rPr>
          <w:rFonts w:eastAsia="Batang"/>
        </w:rPr>
        <w:t xml:space="preserve">a Corte ha considerado que los familiares de las </w:t>
      </w:r>
      <w:proofErr w:type="spellStart"/>
      <w:r w:rsidRPr="004F58F9">
        <w:rPr>
          <w:rFonts w:eastAsia="Batang"/>
        </w:rPr>
        <w:t>víctimas</w:t>
      </w:r>
      <w:proofErr w:type="spellEnd"/>
      <w:r w:rsidRPr="004F58F9">
        <w:rPr>
          <w:rFonts w:eastAsia="Batang"/>
        </w:rPr>
        <w:t xml:space="preserve"> de violaciones de derechos</w:t>
      </w:r>
      <w:r>
        <w:rPr>
          <w:rFonts w:eastAsia="Batang"/>
        </w:rPr>
        <w:t xml:space="preserve"> </w:t>
      </w:r>
      <w:r w:rsidRPr="004F58F9">
        <w:rPr>
          <w:rFonts w:eastAsia="Batang"/>
        </w:rPr>
        <w:t xml:space="preserve">humanos pueden ser, a su vez, </w:t>
      </w:r>
      <w:proofErr w:type="spellStart"/>
      <w:r w:rsidRPr="004F58F9">
        <w:rPr>
          <w:rFonts w:eastAsia="Batang"/>
        </w:rPr>
        <w:t>víctimas</w:t>
      </w:r>
      <w:proofErr w:type="spellEnd"/>
      <w:r w:rsidRPr="004F58F9">
        <w:rPr>
          <w:rFonts w:eastAsia="Batang"/>
        </w:rPr>
        <w:t>. En ese sentido, el Tribunal ha considerado violado</w:t>
      </w:r>
      <w:r>
        <w:rPr>
          <w:rFonts w:eastAsia="Batang"/>
        </w:rPr>
        <w:t xml:space="preserve"> </w:t>
      </w:r>
      <w:r w:rsidRPr="004F58F9">
        <w:rPr>
          <w:rFonts w:eastAsia="Batang"/>
        </w:rPr>
        <w:t xml:space="preserve">el derecho a la integridad </w:t>
      </w:r>
      <w:proofErr w:type="spellStart"/>
      <w:r w:rsidRPr="004F58F9">
        <w:rPr>
          <w:rFonts w:eastAsia="Batang"/>
        </w:rPr>
        <w:t>psíquica</w:t>
      </w:r>
      <w:proofErr w:type="spellEnd"/>
      <w:r w:rsidRPr="004F58F9">
        <w:rPr>
          <w:rFonts w:eastAsia="Batang"/>
        </w:rPr>
        <w:t xml:space="preserve"> y moral de familiares de </w:t>
      </w:r>
      <w:proofErr w:type="spellStart"/>
      <w:r w:rsidRPr="004F58F9">
        <w:rPr>
          <w:rFonts w:eastAsia="Batang"/>
        </w:rPr>
        <w:t>víctimas</w:t>
      </w:r>
      <w:proofErr w:type="spellEnd"/>
      <w:r w:rsidRPr="004F58F9">
        <w:rPr>
          <w:rFonts w:eastAsia="Batang"/>
        </w:rPr>
        <w:t xml:space="preserve"> con motivo del sufrimiento</w:t>
      </w:r>
      <w:r>
        <w:rPr>
          <w:rFonts w:eastAsia="Batang"/>
        </w:rPr>
        <w:t xml:space="preserve"> </w:t>
      </w:r>
      <w:r w:rsidRPr="004F58F9">
        <w:rPr>
          <w:rFonts w:eastAsia="Batang"/>
        </w:rPr>
        <w:t xml:space="preserve">adicional que </w:t>
      </w:r>
      <w:proofErr w:type="spellStart"/>
      <w:r w:rsidRPr="004F58F9">
        <w:rPr>
          <w:rFonts w:eastAsia="Batang"/>
        </w:rPr>
        <w:t>éstos</w:t>
      </w:r>
      <w:proofErr w:type="spellEnd"/>
      <w:r w:rsidRPr="004F58F9">
        <w:rPr>
          <w:rFonts w:eastAsia="Batang"/>
        </w:rPr>
        <w:t xml:space="preserve"> han padecido como producto de las circunstancias particulares de las</w:t>
      </w:r>
      <w:r>
        <w:rPr>
          <w:rFonts w:eastAsia="Batang"/>
        </w:rPr>
        <w:t xml:space="preserve"> </w:t>
      </w:r>
      <w:r w:rsidRPr="004F58F9">
        <w:rPr>
          <w:rFonts w:eastAsia="Batang"/>
        </w:rPr>
        <w:t>violaciones perpetradas contra sus seres queridos, y a causa de las posteriores actuaciones u</w:t>
      </w:r>
      <w:r>
        <w:rPr>
          <w:rFonts w:eastAsia="Batang"/>
        </w:rPr>
        <w:t xml:space="preserve"> </w:t>
      </w:r>
      <w:r w:rsidRPr="004F58F9">
        <w:rPr>
          <w:rFonts w:eastAsia="Batang"/>
        </w:rPr>
        <w:t>omisiones de las autoridades estatales frente a los hechos, tomando en cuenta, entre otros,</w:t>
      </w:r>
      <w:r>
        <w:rPr>
          <w:rFonts w:eastAsia="Batang"/>
        </w:rPr>
        <w:t xml:space="preserve"> </w:t>
      </w:r>
      <w:r w:rsidRPr="004F58F9">
        <w:rPr>
          <w:rFonts w:eastAsia="Batang"/>
        </w:rPr>
        <w:t xml:space="preserve">las gestiones realizadas para obtener justicia y la existencia de un estrecho </w:t>
      </w:r>
      <w:proofErr w:type="spellStart"/>
      <w:r w:rsidRPr="004F58F9">
        <w:rPr>
          <w:rFonts w:eastAsia="Batang"/>
        </w:rPr>
        <w:t>vínculo</w:t>
      </w:r>
      <w:proofErr w:type="spellEnd"/>
      <w:r w:rsidRPr="004F58F9">
        <w:rPr>
          <w:rFonts w:eastAsia="Batang"/>
        </w:rPr>
        <w:t xml:space="preserve"> familiar.</w:t>
      </w:r>
      <w:r>
        <w:rPr>
          <w:rFonts w:eastAsia="Batang"/>
        </w:rPr>
        <w:t xml:space="preserve"> </w:t>
      </w:r>
      <w:r w:rsidRPr="004F58F9">
        <w:rPr>
          <w:rFonts w:eastAsia="Batang"/>
        </w:rPr>
        <w:t xml:space="preserve">También se ha declarado la </w:t>
      </w:r>
      <w:proofErr w:type="spellStart"/>
      <w:r w:rsidRPr="004F58F9">
        <w:rPr>
          <w:rFonts w:eastAsia="Batang"/>
        </w:rPr>
        <w:t>violación</w:t>
      </w:r>
      <w:proofErr w:type="spellEnd"/>
      <w:r w:rsidRPr="004F58F9">
        <w:rPr>
          <w:rFonts w:eastAsia="Batang"/>
        </w:rPr>
        <w:t xml:space="preserve"> de este derecho por el sufrimiento generado a</w:t>
      </w:r>
      <w:r>
        <w:rPr>
          <w:rFonts w:eastAsia="Batang"/>
        </w:rPr>
        <w:t xml:space="preserve"> </w:t>
      </w:r>
      <w:r w:rsidRPr="004F58F9">
        <w:rPr>
          <w:rFonts w:eastAsia="Batang"/>
        </w:rPr>
        <w:t>partir de los</w:t>
      </w:r>
      <w:r>
        <w:rPr>
          <w:rFonts w:eastAsia="Batang"/>
        </w:rPr>
        <w:t xml:space="preserve"> </w:t>
      </w:r>
      <w:r w:rsidRPr="004F58F9">
        <w:rPr>
          <w:rFonts w:eastAsia="Batang"/>
        </w:rPr>
        <w:t>hechos perpetrados en contra de sus seres queridos. Adicionalmente, este Tribunal ha</w:t>
      </w:r>
      <w:r>
        <w:rPr>
          <w:rFonts w:eastAsia="Batang"/>
        </w:rPr>
        <w:t xml:space="preserve"> </w:t>
      </w:r>
      <w:proofErr w:type="spellStart"/>
      <w:r w:rsidRPr="004F58F9">
        <w:rPr>
          <w:rFonts w:eastAsia="Batang"/>
        </w:rPr>
        <w:t>señalado</w:t>
      </w:r>
      <w:proofErr w:type="spellEnd"/>
      <w:r w:rsidRPr="004F58F9">
        <w:rPr>
          <w:rFonts w:eastAsia="Batang"/>
        </w:rPr>
        <w:t xml:space="preserve"> que la </w:t>
      </w:r>
      <w:proofErr w:type="spellStart"/>
      <w:r w:rsidRPr="004F58F9">
        <w:rPr>
          <w:rFonts w:eastAsia="Batang"/>
        </w:rPr>
        <w:t>contribución</w:t>
      </w:r>
      <w:proofErr w:type="spellEnd"/>
      <w:r w:rsidRPr="004F58F9">
        <w:rPr>
          <w:rFonts w:eastAsia="Batang"/>
        </w:rPr>
        <w:t xml:space="preserve"> por parte del Estado al crear o agravar la situación de vulnerabilidad</w:t>
      </w:r>
      <w:r>
        <w:rPr>
          <w:rFonts w:eastAsia="Batang"/>
        </w:rPr>
        <w:t xml:space="preserve"> </w:t>
      </w:r>
      <w:r w:rsidRPr="004F58F9">
        <w:rPr>
          <w:rFonts w:eastAsia="Batang"/>
        </w:rPr>
        <w:t>de una persona tiene un impacto significativo en la integridad de las personas que le rodean, en</w:t>
      </w:r>
      <w:r>
        <w:rPr>
          <w:rFonts w:eastAsia="Batang"/>
        </w:rPr>
        <w:t xml:space="preserve"> </w:t>
      </w:r>
      <w:r w:rsidRPr="004F58F9">
        <w:rPr>
          <w:rFonts w:eastAsia="Batang"/>
        </w:rPr>
        <w:t>especial de familiares cercanos que se ven enfrentados a la incertidumbre e inseguridad</w:t>
      </w:r>
      <w:r>
        <w:rPr>
          <w:rFonts w:eastAsia="Batang"/>
        </w:rPr>
        <w:t xml:space="preserve"> </w:t>
      </w:r>
      <w:r w:rsidRPr="004F58F9">
        <w:rPr>
          <w:rFonts w:eastAsia="Batang"/>
        </w:rPr>
        <w:t>generada por la vulneración de su familia nuclear o cercana.</w:t>
      </w:r>
    </w:p>
    <w:p w14:paraId="31ED76D4" w14:textId="1339FD1E" w:rsidR="004F58F9" w:rsidRDefault="004F58F9">
      <w:pPr>
        <w:spacing w:after="200" w:line="252" w:lineRule="auto"/>
        <w:jc w:val="left"/>
        <w:rPr>
          <w:b/>
          <w:caps/>
          <w:spacing w:val="20"/>
          <w:sz w:val="24"/>
        </w:rPr>
      </w:pPr>
      <w:bookmarkStart w:id="53" w:name="_Toc530497990"/>
      <w:r>
        <w:br w:type="page"/>
      </w:r>
    </w:p>
    <w:p w14:paraId="32B035CA" w14:textId="77777777" w:rsidR="00681B0D" w:rsidRPr="003D49EB" w:rsidRDefault="00681B0D" w:rsidP="009A4683">
      <w:pPr>
        <w:pStyle w:val="Ttulo1"/>
      </w:pPr>
    </w:p>
    <w:p w14:paraId="448817C1" w14:textId="091B72E2" w:rsidR="001D746B" w:rsidRPr="003D49EB" w:rsidRDefault="00EF2B94" w:rsidP="009A4683">
      <w:pPr>
        <w:pStyle w:val="Ttulo1"/>
      </w:pPr>
      <w:bookmarkStart w:id="54" w:name="_Toc88914990"/>
      <w:r w:rsidRPr="003D49EB">
        <w:t xml:space="preserve">5. </w:t>
      </w:r>
      <w:r w:rsidR="00375D83" w:rsidRPr="003D49EB">
        <w:t>Las obligaciones del Estado respecto del derecho a la integridad personal</w:t>
      </w:r>
      <w:bookmarkEnd w:id="53"/>
      <w:bookmarkEnd w:id="54"/>
      <w:r w:rsidR="00375D83" w:rsidRPr="003D49EB">
        <w:t xml:space="preserve"> </w:t>
      </w:r>
    </w:p>
    <w:p w14:paraId="12BB118C" w14:textId="77777777" w:rsidR="007D3060" w:rsidRDefault="007D3060" w:rsidP="009A4683">
      <w:pPr>
        <w:spacing w:after="100" w:afterAutospacing="1"/>
        <w:rPr>
          <w:szCs w:val="20"/>
        </w:rPr>
      </w:pPr>
    </w:p>
    <w:p w14:paraId="34042DB1" w14:textId="196D574E" w:rsidR="00547489" w:rsidRPr="003D49EB" w:rsidRDefault="00B34938" w:rsidP="009A4683">
      <w:pPr>
        <w:spacing w:after="100" w:afterAutospacing="1"/>
        <w:rPr>
          <w:szCs w:val="20"/>
        </w:rPr>
      </w:pPr>
      <w:r w:rsidRPr="003D49EB">
        <w:rPr>
          <w:szCs w:val="20"/>
        </w:rPr>
        <w:t xml:space="preserve">La Corte IDH ha desarrollado el contenido y alcance de las obligaciones generales de </w:t>
      </w:r>
      <w:proofErr w:type="spellStart"/>
      <w:r w:rsidRPr="003D49EB">
        <w:rPr>
          <w:szCs w:val="20"/>
        </w:rPr>
        <w:t>repeto</w:t>
      </w:r>
      <w:proofErr w:type="spellEnd"/>
      <w:r w:rsidRPr="003D49EB">
        <w:rPr>
          <w:szCs w:val="20"/>
        </w:rPr>
        <w:t xml:space="preserve"> y garantía en relación al derecho a la integridad personal, poniendo especial énfasis en que respecto de ciertos grupos de la población –dependiendo de sus características personales o por las condiciones que se encuentran- se derivan deberes especiales para el Estado.</w:t>
      </w:r>
      <w:r w:rsidR="009651CF" w:rsidRPr="003D49EB">
        <w:rPr>
          <w:szCs w:val="20"/>
        </w:rPr>
        <w:t xml:space="preserve"> Asimismo, como parte de la obligación de garantía ha desarrollado el deber de los Estados de investigar violaciones a la integridad personal, adoptar legislación y prevenir su violación.</w:t>
      </w:r>
    </w:p>
    <w:p w14:paraId="4E34E1DD" w14:textId="31524133" w:rsidR="00EF2B94" w:rsidRPr="003D49EB" w:rsidRDefault="000445D1" w:rsidP="009A4683">
      <w:pPr>
        <w:pStyle w:val="Ttulo2"/>
      </w:pPr>
      <w:bookmarkStart w:id="55" w:name="_Toc530497991"/>
      <w:bookmarkStart w:id="56" w:name="_Toc88914991"/>
      <w:r w:rsidRPr="003D49EB">
        <w:t>Obligación general de</w:t>
      </w:r>
      <w:r w:rsidR="00750B30" w:rsidRPr="003D49EB">
        <w:t xml:space="preserve"> respeto y </w:t>
      </w:r>
      <w:r w:rsidRPr="003D49EB">
        <w:t>garantía</w:t>
      </w:r>
      <w:bookmarkEnd w:id="55"/>
      <w:bookmarkEnd w:id="56"/>
    </w:p>
    <w:p w14:paraId="3B9C1AEB" w14:textId="77777777" w:rsidR="00050C62" w:rsidRPr="003D49EB" w:rsidRDefault="00050C62" w:rsidP="00050C62">
      <w:pPr>
        <w:rPr>
          <w:lang w:val="es-CR"/>
        </w:rPr>
      </w:pPr>
    </w:p>
    <w:p w14:paraId="5DC9C2D6" w14:textId="23EA618E" w:rsidR="004D3C4E" w:rsidRPr="003D49EB" w:rsidRDefault="00050C62" w:rsidP="009A4683">
      <w:pPr>
        <w:spacing w:after="100" w:afterAutospacing="1"/>
        <w:rPr>
          <w:b/>
          <w:szCs w:val="20"/>
        </w:rPr>
      </w:pPr>
      <w:r w:rsidRPr="003D49EB">
        <w:rPr>
          <w:b/>
          <w:szCs w:val="20"/>
        </w:rPr>
        <w:t xml:space="preserve">Corte IDH. Caso Cantoral </w:t>
      </w:r>
      <w:proofErr w:type="spellStart"/>
      <w:r w:rsidRPr="003D49EB">
        <w:rPr>
          <w:b/>
          <w:szCs w:val="20"/>
        </w:rPr>
        <w:t>Huamaní</w:t>
      </w:r>
      <w:proofErr w:type="spellEnd"/>
      <w:r w:rsidRPr="003D49EB">
        <w:rPr>
          <w:b/>
          <w:szCs w:val="20"/>
        </w:rPr>
        <w:t xml:space="preserve"> y García Santa Cruz Vs. Perú. Excepción Preliminar, Fondo, Reparaciones y Costas. Sentencia de 10 de julio de 2007. Serie C No. 167.</w:t>
      </w:r>
    </w:p>
    <w:p w14:paraId="204466A2" w14:textId="77777777" w:rsidR="004D3C4E" w:rsidRPr="003D49EB" w:rsidRDefault="004D3C4E" w:rsidP="009A4683">
      <w:pPr>
        <w:spacing w:after="100" w:afterAutospacing="1"/>
        <w:rPr>
          <w:szCs w:val="20"/>
        </w:rPr>
      </w:pPr>
      <w:r w:rsidRPr="003D49EB">
        <w:rPr>
          <w:rFonts w:eastAsia="Calibri"/>
          <w:szCs w:val="20"/>
        </w:rPr>
        <w:t>101.</w:t>
      </w:r>
      <w:r w:rsidRPr="003D49EB">
        <w:rPr>
          <w:rFonts w:eastAsia="Calibri"/>
          <w:szCs w:val="20"/>
        </w:rPr>
        <w:tab/>
        <w:t xml:space="preserve">El deber de garantizar implica la obligación positiva de adopción, por parte del Estado, de una serie de conductas, dependiendo del derecho sustantivo específico de que se trate. En el presente caso, cuyos hechos se refieren a la privación ilegítima de la libertad de Saúl Cantoral </w:t>
      </w:r>
      <w:proofErr w:type="spellStart"/>
      <w:r w:rsidRPr="003D49EB">
        <w:rPr>
          <w:rFonts w:eastAsia="Calibri"/>
          <w:szCs w:val="20"/>
        </w:rPr>
        <w:t>Huamaní</w:t>
      </w:r>
      <w:proofErr w:type="spellEnd"/>
      <w:r w:rsidRPr="003D49EB">
        <w:rPr>
          <w:rFonts w:eastAsia="Calibri"/>
          <w:szCs w:val="20"/>
        </w:rPr>
        <w:t xml:space="preserve"> y Consuelo García Santa Cruz, seguida del sometimiento a un tratamiento violatorio de su integridad personal y su posterior ejecución, la obligación de garantizar los derechos protegidos en los artículos 4, 5 y 7 de la Convención conlleva el deber de investigar los hechos que afectaron tales derechos sustantivos. </w:t>
      </w:r>
    </w:p>
    <w:p w14:paraId="7B2214FD" w14:textId="2D9CE2E8" w:rsidR="0012188D" w:rsidRDefault="0012188D" w:rsidP="009A4683">
      <w:pPr>
        <w:pStyle w:val="Caso"/>
        <w:rPr>
          <w:shd w:val="clear" w:color="auto" w:fill="FFFFFF"/>
        </w:rPr>
      </w:pPr>
      <w:r w:rsidRPr="003D49EB">
        <w:rPr>
          <w:shd w:val="clear" w:color="auto" w:fill="FFFFFF"/>
        </w:rPr>
        <w:t xml:space="preserve">Caso Masacre de Santo Domingo Vs. Colombia. Excepciones Preliminares, Fondo y Reparaciones. Sentencia de 30 de noviembre de 2012. </w:t>
      </w:r>
      <w:r w:rsidR="00114134" w:rsidRPr="003D49EB">
        <w:rPr>
          <w:shd w:val="clear" w:color="auto" w:fill="FFFFFF"/>
        </w:rPr>
        <w:t>Serie C No. 259.</w:t>
      </w:r>
    </w:p>
    <w:p w14:paraId="76B996D9" w14:textId="77777777" w:rsidR="007D3060" w:rsidRPr="003D49EB" w:rsidRDefault="007D3060" w:rsidP="009A4683">
      <w:pPr>
        <w:pStyle w:val="Caso"/>
        <w:rPr>
          <w:shd w:val="clear" w:color="auto" w:fill="FFFFFF"/>
        </w:rPr>
      </w:pPr>
    </w:p>
    <w:p w14:paraId="658C1A54" w14:textId="77777777" w:rsidR="0012188D" w:rsidRPr="003D49EB" w:rsidRDefault="0012188D" w:rsidP="00114134">
      <w:pPr>
        <w:rPr>
          <w:rFonts w:eastAsiaTheme="minorHAnsi"/>
          <w:shd w:val="clear" w:color="auto" w:fill="FFFFFF"/>
        </w:rPr>
      </w:pPr>
      <w:r w:rsidRPr="003D49EB">
        <w:rPr>
          <w:rFonts w:eastAsiaTheme="minorHAnsi"/>
          <w:shd w:val="clear" w:color="auto" w:fill="FFFFFF"/>
        </w:rPr>
        <w:t>188.</w:t>
      </w:r>
      <w:r w:rsidRPr="003D49EB">
        <w:rPr>
          <w:rFonts w:eastAsiaTheme="minorHAnsi"/>
          <w:shd w:val="clear" w:color="auto" w:fill="FFFFFF"/>
        </w:rPr>
        <w:tab/>
        <w:t>Con respecto a los derechos a la vida y a la integridad personal, la Corte reitera que los mismos no sólo implican que el Estado debe respetarlos, sino que, además, requiere que el Estado adopte todas las medidas apropiadas para garantizarlos, en cumplimiento de su deber general establecido en el artículo 1.1 de la Convención Americana. Con respecto a lo anterior el Tribunal ha señalado que, de las obligaciones generales de respetar y garantizar los derechos que establece el artículo 1.1 de la Convención Americana, derivan deberes especiales determinables en función de las particulares necesidades de protección del sujeto de derecho, ya sea por su condición personal o por la situación específica en que se encuentre. Además, la Corte ha establecido también que la responsabilidad internacional del Estado se funda en actos u omisiones de cualquier poder u órgano de éste, independientemente de su jerarquía, que sean violatorios de los derechos y obligaciones contenidos en la Convención Americana.</w:t>
      </w:r>
    </w:p>
    <w:p w14:paraId="4A2225D1" w14:textId="77777777" w:rsidR="00114134" w:rsidRPr="003D49EB" w:rsidRDefault="00114134" w:rsidP="009A4683">
      <w:pPr>
        <w:rPr>
          <w:rFonts w:eastAsiaTheme="minorHAnsi"/>
          <w:shd w:val="clear" w:color="auto" w:fill="FFFFFF"/>
        </w:rPr>
      </w:pPr>
    </w:p>
    <w:p w14:paraId="4ADB026C" w14:textId="1B118D1B" w:rsidR="0012188D" w:rsidRPr="003D49EB" w:rsidRDefault="0012188D" w:rsidP="00114134">
      <w:pPr>
        <w:rPr>
          <w:rFonts w:eastAsiaTheme="minorHAnsi"/>
          <w:shd w:val="clear" w:color="auto" w:fill="FFFFFF"/>
        </w:rPr>
      </w:pPr>
      <w:r w:rsidRPr="003D49EB">
        <w:rPr>
          <w:rFonts w:eastAsiaTheme="minorHAnsi"/>
          <w:shd w:val="clear" w:color="auto" w:fill="FFFFFF"/>
        </w:rPr>
        <w:t>189.</w:t>
      </w:r>
      <w:r w:rsidRPr="003D49EB">
        <w:rPr>
          <w:rFonts w:eastAsiaTheme="minorHAnsi"/>
          <w:shd w:val="clear" w:color="auto" w:fill="FFFFFF"/>
        </w:rPr>
        <w:tab/>
        <w:t xml:space="preserve">En lo que se refiere a la obligación de respeto, la primera asumida por los Estados Parte, en los términos del citado artículo implica necesariamente la noción de la restricción al ejercicio del poder estatal. Por otro lado, en cuanto a la obligación de garantía, la Corte ha establecido que ésta puede ser cumplida de diferentes maneras, en función del derecho específico que el Estado deba garantizar y de las particulares necesidades de protección. Esta obligación implica el deber de los Estados de organizar todo el aparato gubernamental y, en general, todas las </w:t>
      </w:r>
      <w:r w:rsidRPr="003D49EB">
        <w:rPr>
          <w:rFonts w:eastAsiaTheme="minorHAnsi"/>
          <w:shd w:val="clear" w:color="auto" w:fill="FFFFFF"/>
        </w:rPr>
        <w:lastRenderedPageBreak/>
        <w:t>estructuras a través de las cuales se manifiesta el ejercicio del poder público, de manera tal que sean capaces de asegurar jurídicamente el libre y pleno ejercicio de los derechos humanos. Como parte de dicha obligación, el Estado está en el deber jurídico de “prevenir, razonablemente, las violaciones de los derechos humanos, de investigar seriamente con los medios a su alcance las violaciones que se hayan cometido dentro del ámbito de su jurisdicción a fin de identificar a los responsables, de imponerles las sanciones pertinentes y de asegurar a la víctima una adecuada reparación”.</w:t>
      </w:r>
    </w:p>
    <w:p w14:paraId="0B5F17E8" w14:textId="77777777" w:rsidR="00114134" w:rsidRPr="003D49EB" w:rsidRDefault="00114134" w:rsidP="00114134">
      <w:pPr>
        <w:rPr>
          <w:rFonts w:eastAsiaTheme="minorHAnsi"/>
          <w:shd w:val="clear" w:color="auto" w:fill="FFFFFF"/>
        </w:rPr>
      </w:pPr>
    </w:p>
    <w:p w14:paraId="299D37CB" w14:textId="4F1A74E7" w:rsidR="00994980" w:rsidRDefault="00994980" w:rsidP="009A4683">
      <w:pPr>
        <w:pStyle w:val="Caso"/>
        <w:rPr>
          <w:shd w:val="clear" w:color="auto" w:fill="FFFFFF"/>
        </w:rPr>
      </w:pPr>
      <w:r w:rsidRPr="003D49EB">
        <w:rPr>
          <w:shd w:val="clear" w:color="auto" w:fill="FFFFFF"/>
        </w:rPr>
        <w:t>Corte IDH. Caso Bedoya Lima y otra Vs. Colombia. Fondo, Reparaciones y Costas. Sentencia de 26 de agosto de 2021. Serie C No. 431.</w:t>
      </w:r>
    </w:p>
    <w:p w14:paraId="4503A9FE" w14:textId="77777777" w:rsidR="00D01AEE" w:rsidRPr="003D49EB" w:rsidRDefault="00D01AEE" w:rsidP="009A4683">
      <w:pPr>
        <w:pStyle w:val="Caso"/>
        <w:rPr>
          <w:shd w:val="clear" w:color="auto" w:fill="FFFFFF"/>
        </w:rPr>
      </w:pPr>
    </w:p>
    <w:p w14:paraId="2C0F3B8E" w14:textId="5A24E39D" w:rsidR="00994980" w:rsidRPr="003D49EB" w:rsidRDefault="00994980" w:rsidP="00114134">
      <w:pPr>
        <w:rPr>
          <w:rFonts w:eastAsiaTheme="minorHAnsi"/>
          <w:shd w:val="clear" w:color="auto" w:fill="FFFFFF"/>
        </w:rPr>
      </w:pPr>
      <w:r w:rsidRPr="003D49EB">
        <w:rPr>
          <w:rFonts w:eastAsiaTheme="minorHAnsi"/>
          <w:shd w:val="clear" w:color="auto" w:fill="FFFFFF"/>
        </w:rPr>
        <w:t xml:space="preserve">88. De acuerdo con el artículo 1.1 de la Convención, los Estados </w:t>
      </w:r>
      <w:proofErr w:type="spellStart"/>
      <w:r w:rsidRPr="003D49EB">
        <w:rPr>
          <w:rFonts w:eastAsiaTheme="minorHAnsi"/>
          <w:shd w:val="clear" w:color="auto" w:fill="FFFFFF"/>
        </w:rPr>
        <w:t>están</w:t>
      </w:r>
      <w:proofErr w:type="spellEnd"/>
      <w:r w:rsidRPr="003D49EB">
        <w:rPr>
          <w:rFonts w:eastAsiaTheme="minorHAnsi"/>
          <w:shd w:val="clear" w:color="auto" w:fill="FFFFFF"/>
        </w:rPr>
        <w:t xml:space="preserve"> obligados a respetar y garantizar los derechos humanos reconocidos en ella. La responsabilidad internacional del Estado se funda en actos u omisiones de cualquier poder u </w:t>
      </w:r>
      <w:proofErr w:type="spellStart"/>
      <w:r w:rsidRPr="003D49EB">
        <w:rPr>
          <w:rFonts w:eastAsiaTheme="minorHAnsi"/>
          <w:shd w:val="clear" w:color="auto" w:fill="FFFFFF"/>
        </w:rPr>
        <w:t>órgano</w:t>
      </w:r>
      <w:proofErr w:type="spellEnd"/>
      <w:r w:rsidRPr="003D49EB">
        <w:rPr>
          <w:rFonts w:eastAsiaTheme="minorHAnsi"/>
          <w:shd w:val="clear" w:color="auto" w:fill="FFFFFF"/>
        </w:rPr>
        <w:t xml:space="preserve"> de </w:t>
      </w:r>
      <w:proofErr w:type="spellStart"/>
      <w:r w:rsidRPr="003D49EB">
        <w:rPr>
          <w:rFonts w:eastAsiaTheme="minorHAnsi"/>
          <w:shd w:val="clear" w:color="auto" w:fill="FFFFFF"/>
        </w:rPr>
        <w:t>éste</w:t>
      </w:r>
      <w:proofErr w:type="spellEnd"/>
      <w:r w:rsidRPr="003D49EB">
        <w:rPr>
          <w:rFonts w:eastAsiaTheme="minorHAnsi"/>
          <w:shd w:val="clear" w:color="auto" w:fill="FFFFFF"/>
        </w:rPr>
        <w:t xml:space="preserve">, independientemente de su </w:t>
      </w:r>
      <w:proofErr w:type="spellStart"/>
      <w:r w:rsidRPr="003D49EB">
        <w:rPr>
          <w:rFonts w:eastAsiaTheme="minorHAnsi"/>
          <w:shd w:val="clear" w:color="auto" w:fill="FFFFFF"/>
        </w:rPr>
        <w:t>jerarquía</w:t>
      </w:r>
      <w:proofErr w:type="spellEnd"/>
      <w:r w:rsidRPr="003D49EB">
        <w:rPr>
          <w:rFonts w:eastAsiaTheme="minorHAnsi"/>
          <w:shd w:val="clear" w:color="auto" w:fill="FFFFFF"/>
        </w:rPr>
        <w:t>, que violen la Convención Americana. En lo que respecta al deber de respeto, la Corte ha sostenido que el mismo constituye, la “primera obligación asumida por los Estados Partes”, lo cual se traduce en una “</w:t>
      </w:r>
      <w:proofErr w:type="spellStart"/>
      <w:r w:rsidRPr="003D49EB">
        <w:rPr>
          <w:rFonts w:eastAsiaTheme="minorHAnsi"/>
          <w:shd w:val="clear" w:color="auto" w:fill="FFFFFF"/>
        </w:rPr>
        <w:t>restricción</w:t>
      </w:r>
      <w:proofErr w:type="spellEnd"/>
      <w:r w:rsidRPr="003D49EB">
        <w:rPr>
          <w:rFonts w:eastAsiaTheme="minorHAnsi"/>
          <w:shd w:val="clear" w:color="auto" w:fill="FFFFFF"/>
        </w:rPr>
        <w:t xml:space="preserve"> al ejercicio del poder estatal” cuando este colisiona con los derechos amparados por el referido tratado internacional. </w:t>
      </w:r>
      <w:proofErr w:type="spellStart"/>
      <w:r w:rsidRPr="003D49EB">
        <w:rPr>
          <w:rFonts w:eastAsiaTheme="minorHAnsi"/>
          <w:shd w:val="clear" w:color="auto" w:fill="FFFFFF"/>
        </w:rPr>
        <w:t>Además</w:t>
      </w:r>
      <w:proofErr w:type="spellEnd"/>
      <w:r w:rsidRPr="003D49EB">
        <w:rPr>
          <w:rFonts w:eastAsiaTheme="minorHAnsi"/>
          <w:shd w:val="clear" w:color="auto" w:fill="FFFFFF"/>
        </w:rPr>
        <w:t xml:space="preserve">, la Corte ha establecido en su jurisprudencia que “para fincar responsabilidad estatal por </w:t>
      </w:r>
      <w:proofErr w:type="spellStart"/>
      <w:r w:rsidRPr="003D49EB">
        <w:rPr>
          <w:rFonts w:eastAsiaTheme="minorHAnsi"/>
          <w:shd w:val="clear" w:color="auto" w:fill="FFFFFF"/>
        </w:rPr>
        <w:t>transgresión</w:t>
      </w:r>
      <w:proofErr w:type="spellEnd"/>
      <w:r w:rsidRPr="003D49EB">
        <w:rPr>
          <w:rFonts w:eastAsiaTheme="minorHAnsi"/>
          <w:shd w:val="clear" w:color="auto" w:fill="FFFFFF"/>
        </w:rPr>
        <w:t xml:space="preserve"> al deber de respeto en </w:t>
      </w:r>
      <w:proofErr w:type="spellStart"/>
      <w:r w:rsidRPr="003D49EB">
        <w:rPr>
          <w:rFonts w:eastAsiaTheme="minorHAnsi"/>
          <w:shd w:val="clear" w:color="auto" w:fill="FFFFFF"/>
        </w:rPr>
        <w:t>relación</w:t>
      </w:r>
      <w:proofErr w:type="spellEnd"/>
      <w:r w:rsidRPr="003D49EB">
        <w:rPr>
          <w:rFonts w:eastAsiaTheme="minorHAnsi"/>
          <w:shd w:val="clear" w:color="auto" w:fill="FFFFFF"/>
        </w:rPr>
        <w:t xml:space="preserve"> con el actuar de terceros, no basta con una situación general de contexto de </w:t>
      </w:r>
      <w:proofErr w:type="spellStart"/>
      <w:r w:rsidRPr="003D49EB">
        <w:rPr>
          <w:rFonts w:eastAsiaTheme="minorHAnsi"/>
          <w:shd w:val="clear" w:color="auto" w:fill="FFFFFF"/>
        </w:rPr>
        <w:t>colaboración</w:t>
      </w:r>
      <w:proofErr w:type="spellEnd"/>
      <w:r w:rsidRPr="003D49EB">
        <w:rPr>
          <w:rFonts w:eastAsiaTheme="minorHAnsi"/>
          <w:shd w:val="clear" w:color="auto" w:fill="FFFFFF"/>
        </w:rPr>
        <w:t xml:space="preserve"> y de aquiescencia, sino que es necesario que en el caso concreto se desprenda la aquiescencia o </w:t>
      </w:r>
      <w:proofErr w:type="spellStart"/>
      <w:r w:rsidRPr="003D49EB">
        <w:rPr>
          <w:rFonts w:eastAsiaTheme="minorHAnsi"/>
          <w:shd w:val="clear" w:color="auto" w:fill="FFFFFF"/>
        </w:rPr>
        <w:t>colaboración</w:t>
      </w:r>
      <w:proofErr w:type="spellEnd"/>
      <w:r w:rsidRPr="003D49EB">
        <w:rPr>
          <w:rFonts w:eastAsiaTheme="minorHAnsi"/>
          <w:shd w:val="clear" w:color="auto" w:fill="FFFFFF"/>
        </w:rPr>
        <w:t xml:space="preserve"> estatal en las circunstancias propias del mismo”. Lo decisivo, ha </w:t>
      </w:r>
      <w:proofErr w:type="spellStart"/>
      <w:r w:rsidRPr="003D49EB">
        <w:rPr>
          <w:rFonts w:eastAsiaTheme="minorHAnsi"/>
          <w:shd w:val="clear" w:color="auto" w:fill="FFFFFF"/>
        </w:rPr>
        <w:t>señalado</w:t>
      </w:r>
      <w:proofErr w:type="spellEnd"/>
      <w:r w:rsidRPr="003D49EB">
        <w:rPr>
          <w:rFonts w:eastAsiaTheme="minorHAnsi"/>
          <w:shd w:val="clear" w:color="auto" w:fill="FFFFFF"/>
        </w:rPr>
        <w:t xml:space="preserve"> la Corte, es dilucidar “si una determinada </w:t>
      </w:r>
      <w:proofErr w:type="spellStart"/>
      <w:r w:rsidRPr="003D49EB">
        <w:rPr>
          <w:rFonts w:eastAsiaTheme="minorHAnsi"/>
          <w:shd w:val="clear" w:color="auto" w:fill="FFFFFF"/>
        </w:rPr>
        <w:t>violación</w:t>
      </w:r>
      <w:proofErr w:type="spellEnd"/>
      <w:r w:rsidRPr="003D49EB">
        <w:rPr>
          <w:rFonts w:eastAsiaTheme="minorHAnsi"/>
          <w:shd w:val="clear" w:color="auto" w:fill="FFFFFF"/>
        </w:rPr>
        <w:t xml:space="preserve"> [...] ha tenido lugar con el apoyo o la tolerancia del poder </w:t>
      </w:r>
      <w:proofErr w:type="spellStart"/>
      <w:r w:rsidRPr="003D49EB">
        <w:rPr>
          <w:rFonts w:eastAsiaTheme="minorHAnsi"/>
          <w:shd w:val="clear" w:color="auto" w:fill="FFFFFF"/>
        </w:rPr>
        <w:t>público</w:t>
      </w:r>
      <w:proofErr w:type="spellEnd"/>
      <w:r w:rsidRPr="003D49EB">
        <w:rPr>
          <w:rFonts w:eastAsiaTheme="minorHAnsi"/>
          <w:shd w:val="clear" w:color="auto" w:fill="FFFFFF"/>
        </w:rPr>
        <w:t xml:space="preserve"> o si este ha actuado de manera que la </w:t>
      </w:r>
      <w:proofErr w:type="spellStart"/>
      <w:r w:rsidRPr="003D49EB">
        <w:rPr>
          <w:rFonts w:eastAsiaTheme="minorHAnsi"/>
          <w:shd w:val="clear" w:color="auto" w:fill="FFFFFF"/>
        </w:rPr>
        <w:t>transgresión</w:t>
      </w:r>
      <w:proofErr w:type="spellEnd"/>
      <w:r w:rsidRPr="003D49EB">
        <w:rPr>
          <w:rFonts w:eastAsiaTheme="minorHAnsi"/>
          <w:shd w:val="clear" w:color="auto" w:fill="FFFFFF"/>
        </w:rPr>
        <w:t xml:space="preserve"> se haya cumplido en defecto de toda prevención o impunemente”. Por otra parte, el Tribunal ha establecido que la obligación de garantizar presupone el deber de los Estados de prevenir violaciones a los derechos humanos, inclusive aquellas cometidas por terceros particulares. La obligación de prevenir es de medio o comportamiento y no se demuestra su incumplimiento por el mero hecho de que un derecho haya sido violado.</w:t>
      </w:r>
    </w:p>
    <w:p w14:paraId="543CF10D" w14:textId="77777777" w:rsidR="00114134" w:rsidRPr="003D49EB" w:rsidRDefault="00114134" w:rsidP="00114134">
      <w:pPr>
        <w:rPr>
          <w:rFonts w:eastAsiaTheme="minorHAnsi"/>
          <w:shd w:val="clear" w:color="auto" w:fill="FFFFFF"/>
        </w:rPr>
      </w:pPr>
    </w:p>
    <w:p w14:paraId="0D270326" w14:textId="40F85298" w:rsidR="00994980" w:rsidRPr="003D49EB" w:rsidRDefault="00994980" w:rsidP="00114134">
      <w:pPr>
        <w:rPr>
          <w:rFonts w:eastAsiaTheme="minorHAnsi"/>
          <w:shd w:val="clear" w:color="auto" w:fill="FFFFFF"/>
        </w:rPr>
      </w:pPr>
      <w:r w:rsidRPr="003D49EB">
        <w:rPr>
          <w:rFonts w:eastAsiaTheme="minorHAnsi"/>
          <w:shd w:val="clear" w:color="auto" w:fill="FFFFFF"/>
        </w:rPr>
        <w:t xml:space="preserve">89. </w:t>
      </w:r>
      <w:proofErr w:type="spellStart"/>
      <w:r w:rsidRPr="003D49EB">
        <w:rPr>
          <w:rFonts w:eastAsiaTheme="minorHAnsi"/>
          <w:shd w:val="clear" w:color="auto" w:fill="FFFFFF"/>
        </w:rPr>
        <w:t>Asi</w:t>
      </w:r>
      <w:proofErr w:type="spellEnd"/>
      <w:r w:rsidRPr="003D49EB">
        <w:rPr>
          <w:rFonts w:eastAsiaTheme="minorHAnsi"/>
          <w:shd w:val="clear" w:color="auto" w:fill="FFFFFF"/>
        </w:rPr>
        <w:t xml:space="preserve">́, los derechos reconocidos en la Convención Americana no solo conllevan obligaciones de </w:t>
      </w:r>
      <w:proofErr w:type="spellStart"/>
      <w:r w:rsidRPr="003D49EB">
        <w:rPr>
          <w:rFonts w:eastAsiaTheme="minorHAnsi"/>
          <w:shd w:val="clear" w:color="auto" w:fill="FFFFFF"/>
        </w:rPr>
        <w:t>carácter</w:t>
      </w:r>
      <w:proofErr w:type="spellEnd"/>
      <w:r w:rsidRPr="003D49EB">
        <w:rPr>
          <w:rFonts w:eastAsiaTheme="minorHAnsi"/>
          <w:shd w:val="clear" w:color="auto" w:fill="FFFFFF"/>
        </w:rPr>
        <w:t xml:space="preserve"> negativo sino que, </w:t>
      </w:r>
      <w:proofErr w:type="spellStart"/>
      <w:r w:rsidRPr="003D49EB">
        <w:rPr>
          <w:rFonts w:eastAsiaTheme="minorHAnsi"/>
          <w:shd w:val="clear" w:color="auto" w:fill="FFFFFF"/>
        </w:rPr>
        <w:t>además</w:t>
      </w:r>
      <w:proofErr w:type="spellEnd"/>
      <w:r w:rsidRPr="003D49EB">
        <w:rPr>
          <w:rFonts w:eastAsiaTheme="minorHAnsi"/>
          <w:shd w:val="clear" w:color="auto" w:fill="FFFFFF"/>
        </w:rPr>
        <w:t xml:space="preserve">, requieren que el Estado adopte todas las medidas apropiadas para garantizarlos (esto es, obligaciones de </w:t>
      </w:r>
      <w:proofErr w:type="spellStart"/>
      <w:r w:rsidRPr="003D49EB">
        <w:rPr>
          <w:rFonts w:eastAsiaTheme="minorHAnsi"/>
          <w:shd w:val="clear" w:color="auto" w:fill="FFFFFF"/>
        </w:rPr>
        <w:t>carácter</w:t>
      </w:r>
      <w:proofErr w:type="spellEnd"/>
      <w:r w:rsidRPr="003D49EB">
        <w:rPr>
          <w:rFonts w:eastAsiaTheme="minorHAnsi"/>
          <w:shd w:val="clear" w:color="auto" w:fill="FFFFFF"/>
        </w:rPr>
        <w:t xml:space="preserve"> positivo). Este deber abarca todas aquellas medidas de </w:t>
      </w:r>
      <w:proofErr w:type="spellStart"/>
      <w:r w:rsidRPr="003D49EB">
        <w:rPr>
          <w:rFonts w:eastAsiaTheme="minorHAnsi"/>
          <w:shd w:val="clear" w:color="auto" w:fill="FFFFFF"/>
        </w:rPr>
        <w:t>carácter</w:t>
      </w:r>
      <w:proofErr w:type="spellEnd"/>
      <w:r w:rsidRPr="003D49EB">
        <w:rPr>
          <w:rFonts w:eastAsiaTheme="minorHAnsi"/>
          <w:shd w:val="clear" w:color="auto" w:fill="FFFFFF"/>
        </w:rPr>
        <w:t xml:space="preserve"> </w:t>
      </w:r>
      <w:proofErr w:type="spellStart"/>
      <w:r w:rsidRPr="003D49EB">
        <w:rPr>
          <w:rFonts w:eastAsiaTheme="minorHAnsi"/>
          <w:shd w:val="clear" w:color="auto" w:fill="FFFFFF"/>
        </w:rPr>
        <w:t>jurídico</w:t>
      </w:r>
      <w:proofErr w:type="spellEnd"/>
      <w:r w:rsidRPr="003D49EB">
        <w:rPr>
          <w:rFonts w:eastAsiaTheme="minorHAnsi"/>
          <w:shd w:val="clear" w:color="auto" w:fill="FFFFFF"/>
        </w:rPr>
        <w:t xml:space="preserve">, </w:t>
      </w:r>
      <w:proofErr w:type="spellStart"/>
      <w:r w:rsidRPr="003D49EB">
        <w:rPr>
          <w:rFonts w:eastAsiaTheme="minorHAnsi"/>
          <w:shd w:val="clear" w:color="auto" w:fill="FFFFFF"/>
        </w:rPr>
        <w:t>político</w:t>
      </w:r>
      <w:proofErr w:type="spellEnd"/>
      <w:r w:rsidRPr="003D49EB">
        <w:rPr>
          <w:rFonts w:eastAsiaTheme="minorHAnsi"/>
          <w:shd w:val="clear" w:color="auto" w:fill="FFFFFF"/>
        </w:rPr>
        <w:t xml:space="preserve">, administrativo y cultural, que promuevan la salvaguarda de los derechos humanos y que aseguren que las eventuales violaciones a los mismos sean efectivamente consideradas y tratadas como un hecho </w:t>
      </w:r>
      <w:proofErr w:type="spellStart"/>
      <w:r w:rsidRPr="003D49EB">
        <w:rPr>
          <w:rFonts w:eastAsiaTheme="minorHAnsi"/>
          <w:shd w:val="clear" w:color="auto" w:fill="FFFFFF"/>
        </w:rPr>
        <w:t>ilícito</w:t>
      </w:r>
      <w:proofErr w:type="spellEnd"/>
      <w:r w:rsidRPr="003D49EB">
        <w:rPr>
          <w:rFonts w:eastAsiaTheme="minorHAnsi"/>
          <w:shd w:val="clear" w:color="auto" w:fill="FFFFFF"/>
        </w:rPr>
        <w:t xml:space="preserve"> que, como tal, es susceptible de acarrear sanciones para quien las cometa, </w:t>
      </w:r>
      <w:proofErr w:type="spellStart"/>
      <w:r w:rsidRPr="003D49EB">
        <w:rPr>
          <w:rFonts w:eastAsiaTheme="minorHAnsi"/>
          <w:shd w:val="clear" w:color="auto" w:fill="FFFFFF"/>
        </w:rPr>
        <w:t>asi</w:t>
      </w:r>
      <w:proofErr w:type="spellEnd"/>
      <w:r w:rsidRPr="003D49EB">
        <w:rPr>
          <w:rFonts w:eastAsiaTheme="minorHAnsi"/>
          <w:shd w:val="clear" w:color="auto" w:fill="FFFFFF"/>
        </w:rPr>
        <w:t xml:space="preserve">́ como la obligación de reparar integralmente a las </w:t>
      </w:r>
      <w:proofErr w:type="spellStart"/>
      <w:r w:rsidRPr="003D49EB">
        <w:rPr>
          <w:rFonts w:eastAsiaTheme="minorHAnsi"/>
          <w:shd w:val="clear" w:color="auto" w:fill="FFFFFF"/>
        </w:rPr>
        <w:t>víctimas</w:t>
      </w:r>
      <w:proofErr w:type="spellEnd"/>
      <w:r w:rsidRPr="003D49EB">
        <w:rPr>
          <w:rFonts w:eastAsiaTheme="minorHAnsi"/>
          <w:shd w:val="clear" w:color="auto" w:fill="FFFFFF"/>
        </w:rPr>
        <w:t xml:space="preserve"> por sus consecuencias perjudiciales.</w:t>
      </w:r>
    </w:p>
    <w:p w14:paraId="11856704" w14:textId="77777777" w:rsidR="00114134" w:rsidRPr="003D49EB" w:rsidRDefault="00114134" w:rsidP="00114134">
      <w:pPr>
        <w:rPr>
          <w:rFonts w:eastAsiaTheme="minorHAnsi"/>
          <w:shd w:val="clear" w:color="auto" w:fill="FFFFFF"/>
        </w:rPr>
      </w:pPr>
    </w:p>
    <w:p w14:paraId="6F52636C" w14:textId="45CDB71B" w:rsidR="00994980" w:rsidRPr="003D49EB" w:rsidRDefault="00994980" w:rsidP="00114134">
      <w:pPr>
        <w:rPr>
          <w:rFonts w:eastAsiaTheme="minorHAnsi"/>
          <w:shd w:val="clear" w:color="auto" w:fill="FFFFFF"/>
        </w:rPr>
      </w:pPr>
      <w:r w:rsidRPr="003D49EB">
        <w:rPr>
          <w:rFonts w:eastAsiaTheme="minorHAnsi"/>
          <w:shd w:val="clear" w:color="auto" w:fill="FFFFFF"/>
        </w:rPr>
        <w:t xml:space="preserve">90. Asimismo, en casos de violencia contra la mujer, los Estados tienen, </w:t>
      </w:r>
      <w:proofErr w:type="spellStart"/>
      <w:r w:rsidRPr="003D49EB">
        <w:rPr>
          <w:rFonts w:eastAsiaTheme="minorHAnsi"/>
          <w:shd w:val="clear" w:color="auto" w:fill="FFFFFF"/>
        </w:rPr>
        <w:t>además</w:t>
      </w:r>
      <w:proofErr w:type="spellEnd"/>
      <w:r w:rsidRPr="003D49EB">
        <w:rPr>
          <w:rFonts w:eastAsiaTheme="minorHAnsi"/>
          <w:shd w:val="clear" w:color="auto" w:fill="FFFFFF"/>
        </w:rPr>
        <w:t xml:space="preserve"> de las obligaciones </w:t>
      </w:r>
      <w:proofErr w:type="spellStart"/>
      <w:r w:rsidRPr="003D49EB">
        <w:rPr>
          <w:rFonts w:eastAsiaTheme="minorHAnsi"/>
          <w:shd w:val="clear" w:color="auto" w:fill="FFFFFF"/>
        </w:rPr>
        <w:t>genéricas</w:t>
      </w:r>
      <w:proofErr w:type="spellEnd"/>
      <w:r w:rsidRPr="003D49EB">
        <w:rPr>
          <w:rFonts w:eastAsiaTheme="minorHAnsi"/>
          <w:shd w:val="clear" w:color="auto" w:fill="FFFFFF"/>
        </w:rPr>
        <w:t xml:space="preserve"> contenidas en la Convención Americana, obligaciones </w:t>
      </w:r>
      <w:proofErr w:type="spellStart"/>
      <w:r w:rsidRPr="003D49EB">
        <w:rPr>
          <w:rFonts w:eastAsiaTheme="minorHAnsi"/>
          <w:shd w:val="clear" w:color="auto" w:fill="FFFFFF"/>
        </w:rPr>
        <w:t>específicas</w:t>
      </w:r>
      <w:proofErr w:type="spellEnd"/>
      <w:r w:rsidRPr="003D49EB">
        <w:rPr>
          <w:rFonts w:eastAsiaTheme="minorHAnsi"/>
          <w:shd w:val="clear" w:color="auto" w:fill="FFFFFF"/>
        </w:rPr>
        <w:t xml:space="preserve"> a partir de la Convención de </w:t>
      </w:r>
      <w:proofErr w:type="spellStart"/>
      <w:r w:rsidRPr="003D49EB">
        <w:rPr>
          <w:rFonts w:eastAsiaTheme="minorHAnsi"/>
          <w:shd w:val="clear" w:color="auto" w:fill="FFFFFF"/>
        </w:rPr>
        <w:t>Belém</w:t>
      </w:r>
      <w:proofErr w:type="spellEnd"/>
      <w:r w:rsidRPr="003D49EB">
        <w:rPr>
          <w:rFonts w:eastAsiaTheme="minorHAnsi"/>
          <w:shd w:val="clear" w:color="auto" w:fill="FFFFFF"/>
        </w:rPr>
        <w:t xml:space="preserve"> do Pará, las cuales irradian sobre esferas tradicionalmente consideradas privadas o en que el Estado no </w:t>
      </w:r>
      <w:proofErr w:type="spellStart"/>
      <w:r w:rsidRPr="003D49EB">
        <w:rPr>
          <w:rFonts w:eastAsiaTheme="minorHAnsi"/>
          <w:shd w:val="clear" w:color="auto" w:fill="FFFFFF"/>
        </w:rPr>
        <w:t>intervenía</w:t>
      </w:r>
      <w:proofErr w:type="spellEnd"/>
      <w:r w:rsidRPr="003D49EB">
        <w:rPr>
          <w:rFonts w:eastAsiaTheme="minorHAnsi"/>
          <w:shd w:val="clear" w:color="auto" w:fill="FFFFFF"/>
        </w:rPr>
        <w:t xml:space="preserve">. Este tratado regional dirigido </w:t>
      </w:r>
      <w:proofErr w:type="spellStart"/>
      <w:r w:rsidRPr="003D49EB">
        <w:rPr>
          <w:rFonts w:eastAsiaTheme="minorHAnsi"/>
          <w:shd w:val="clear" w:color="auto" w:fill="FFFFFF"/>
        </w:rPr>
        <w:t>específicamente</w:t>
      </w:r>
      <w:proofErr w:type="spellEnd"/>
      <w:r w:rsidRPr="003D49EB">
        <w:rPr>
          <w:rFonts w:eastAsiaTheme="minorHAnsi"/>
          <w:shd w:val="clear" w:color="auto" w:fill="FFFFFF"/>
        </w:rPr>
        <w:t xml:space="preserve"> a combatir la violencia contra la mujer contiene una </w:t>
      </w:r>
      <w:proofErr w:type="spellStart"/>
      <w:r w:rsidRPr="003D49EB">
        <w:rPr>
          <w:rFonts w:eastAsiaTheme="minorHAnsi"/>
          <w:shd w:val="clear" w:color="auto" w:fill="FFFFFF"/>
        </w:rPr>
        <w:t>definición</w:t>
      </w:r>
      <w:proofErr w:type="spellEnd"/>
      <w:r w:rsidRPr="003D49EB">
        <w:rPr>
          <w:rFonts w:eastAsiaTheme="minorHAnsi"/>
          <w:shd w:val="clear" w:color="auto" w:fill="FFFFFF"/>
        </w:rPr>
        <w:t xml:space="preserve"> amplia de lo que es violencia contra la mujer en sus </w:t>
      </w:r>
      <w:proofErr w:type="spellStart"/>
      <w:r w:rsidRPr="003D49EB">
        <w:rPr>
          <w:rFonts w:eastAsiaTheme="minorHAnsi"/>
          <w:shd w:val="clear" w:color="auto" w:fill="FFFFFF"/>
        </w:rPr>
        <w:t>artículos</w:t>
      </w:r>
      <w:proofErr w:type="spellEnd"/>
      <w:r w:rsidRPr="003D49EB">
        <w:rPr>
          <w:rFonts w:eastAsiaTheme="minorHAnsi"/>
          <w:shd w:val="clear" w:color="auto" w:fill="FFFFFF"/>
        </w:rPr>
        <w:t xml:space="preserve"> 1 y 21. </w:t>
      </w:r>
      <w:proofErr w:type="spellStart"/>
      <w:r w:rsidRPr="003D49EB">
        <w:rPr>
          <w:rFonts w:eastAsiaTheme="minorHAnsi"/>
          <w:shd w:val="clear" w:color="auto" w:fill="FFFFFF"/>
        </w:rPr>
        <w:t>Además</w:t>
      </w:r>
      <w:proofErr w:type="spellEnd"/>
      <w:r w:rsidRPr="003D49EB">
        <w:rPr>
          <w:rFonts w:eastAsiaTheme="minorHAnsi"/>
          <w:shd w:val="clear" w:color="auto" w:fill="FFFFFF"/>
        </w:rPr>
        <w:t xml:space="preserve">, la propia Convención de </w:t>
      </w:r>
      <w:proofErr w:type="spellStart"/>
      <w:r w:rsidRPr="003D49EB">
        <w:rPr>
          <w:rFonts w:eastAsiaTheme="minorHAnsi"/>
          <w:shd w:val="clear" w:color="auto" w:fill="FFFFFF"/>
        </w:rPr>
        <w:t>Belém</w:t>
      </w:r>
      <w:proofErr w:type="spellEnd"/>
      <w:r w:rsidRPr="003D49EB">
        <w:rPr>
          <w:rFonts w:eastAsiaTheme="minorHAnsi"/>
          <w:shd w:val="clear" w:color="auto" w:fill="FFFFFF"/>
        </w:rPr>
        <w:t xml:space="preserve"> do Pará, en su artículo 2, incluye el secuestro como una de las conductas comprendidas dentro del concepto de violencia contra la mujer. Por otro lado, en su artículo 7 instituye deberes estatales para prevenir, sancionar y erradicar la violencia contra la mujer, que especifican y complementan las obligaciones que tiene el Estado respecto al cumplimiento de los derechos reconocidos en la Convención Americana, tales como los previstos en los </w:t>
      </w:r>
      <w:proofErr w:type="spellStart"/>
      <w:r w:rsidRPr="003D49EB">
        <w:rPr>
          <w:rFonts w:eastAsiaTheme="minorHAnsi"/>
          <w:shd w:val="clear" w:color="auto" w:fill="FFFFFF"/>
        </w:rPr>
        <w:t>artículos</w:t>
      </w:r>
      <w:proofErr w:type="spellEnd"/>
      <w:r w:rsidRPr="003D49EB">
        <w:rPr>
          <w:rFonts w:eastAsiaTheme="minorHAnsi"/>
          <w:shd w:val="clear" w:color="auto" w:fill="FFFFFF"/>
        </w:rPr>
        <w:t xml:space="preserve"> 4 y 51. Al respecto, el Tribunal ha establecido que los Estados deben adoptar </w:t>
      </w:r>
      <w:r w:rsidRPr="003D49EB">
        <w:rPr>
          <w:rFonts w:eastAsiaTheme="minorHAnsi"/>
          <w:shd w:val="clear" w:color="auto" w:fill="FFFFFF"/>
        </w:rPr>
        <w:lastRenderedPageBreak/>
        <w:t xml:space="preserve">medidas integrales para cumplir con la debida diligencia en casos de violencia contra las mujeres. En particular, deben contar con un adecuado marco </w:t>
      </w:r>
      <w:proofErr w:type="spellStart"/>
      <w:r w:rsidRPr="003D49EB">
        <w:rPr>
          <w:rFonts w:eastAsiaTheme="minorHAnsi"/>
          <w:shd w:val="clear" w:color="auto" w:fill="FFFFFF"/>
        </w:rPr>
        <w:t>jurídico</w:t>
      </w:r>
      <w:proofErr w:type="spellEnd"/>
      <w:r w:rsidRPr="003D49EB">
        <w:rPr>
          <w:rFonts w:eastAsiaTheme="minorHAnsi"/>
          <w:shd w:val="clear" w:color="auto" w:fill="FFFFFF"/>
        </w:rPr>
        <w:t xml:space="preserve"> de protección, con una </w:t>
      </w:r>
      <w:proofErr w:type="spellStart"/>
      <w:r w:rsidRPr="003D49EB">
        <w:rPr>
          <w:rFonts w:eastAsiaTheme="minorHAnsi"/>
          <w:shd w:val="clear" w:color="auto" w:fill="FFFFFF"/>
        </w:rPr>
        <w:t>aplicación</w:t>
      </w:r>
      <w:proofErr w:type="spellEnd"/>
      <w:r w:rsidRPr="003D49EB">
        <w:rPr>
          <w:rFonts w:eastAsiaTheme="minorHAnsi"/>
          <w:shd w:val="clear" w:color="auto" w:fill="FFFFFF"/>
        </w:rPr>
        <w:t xml:space="preserve"> efectiva del mismo y con </w:t>
      </w:r>
      <w:proofErr w:type="spellStart"/>
      <w:r w:rsidRPr="003D49EB">
        <w:rPr>
          <w:rFonts w:eastAsiaTheme="minorHAnsi"/>
          <w:shd w:val="clear" w:color="auto" w:fill="FFFFFF"/>
        </w:rPr>
        <w:t>políticas</w:t>
      </w:r>
      <w:proofErr w:type="spellEnd"/>
      <w:r w:rsidRPr="003D49EB">
        <w:rPr>
          <w:rFonts w:eastAsiaTheme="minorHAnsi"/>
          <w:shd w:val="clear" w:color="auto" w:fill="FFFFFF"/>
        </w:rPr>
        <w:t xml:space="preserve"> de prevención y </w:t>
      </w:r>
      <w:proofErr w:type="spellStart"/>
      <w:r w:rsidRPr="003D49EB">
        <w:rPr>
          <w:rFonts w:eastAsiaTheme="minorHAnsi"/>
          <w:shd w:val="clear" w:color="auto" w:fill="FFFFFF"/>
        </w:rPr>
        <w:t>prácticas</w:t>
      </w:r>
      <w:proofErr w:type="spellEnd"/>
      <w:r w:rsidRPr="003D49EB">
        <w:rPr>
          <w:rFonts w:eastAsiaTheme="minorHAnsi"/>
          <w:shd w:val="clear" w:color="auto" w:fill="FFFFFF"/>
        </w:rPr>
        <w:t xml:space="preserve"> que permitan actuar de una manera eficaz ante las denuncias. La estrategia de prevención debe ser integral, es decir, debe prevenir los factores de riesgo y a la vez fortalecer las instituciones para que puedan proporcionar una respuesta efectiva a los casos de violencia contra la mujer.</w:t>
      </w:r>
    </w:p>
    <w:p w14:paraId="7FF6588D" w14:textId="77777777" w:rsidR="00114134" w:rsidRPr="003D49EB" w:rsidRDefault="00114134" w:rsidP="00114134">
      <w:pPr>
        <w:rPr>
          <w:rFonts w:eastAsiaTheme="minorHAnsi"/>
          <w:shd w:val="clear" w:color="auto" w:fill="FFFFFF"/>
        </w:rPr>
      </w:pPr>
    </w:p>
    <w:p w14:paraId="78CF0761" w14:textId="28B01FF2" w:rsidR="00994980" w:rsidRPr="003D49EB" w:rsidRDefault="00994980" w:rsidP="00114134">
      <w:pPr>
        <w:rPr>
          <w:rFonts w:eastAsiaTheme="minorHAnsi"/>
          <w:shd w:val="clear" w:color="auto" w:fill="FFFFFF"/>
        </w:rPr>
      </w:pPr>
      <w:r w:rsidRPr="003D49EB">
        <w:rPr>
          <w:rFonts w:eastAsiaTheme="minorHAnsi"/>
          <w:shd w:val="clear" w:color="auto" w:fill="FFFFFF"/>
        </w:rPr>
        <w:t xml:space="preserve">91. El Tribunal resalta que, en </w:t>
      </w:r>
      <w:proofErr w:type="spellStart"/>
      <w:r w:rsidRPr="003D49EB">
        <w:rPr>
          <w:rFonts w:eastAsiaTheme="minorHAnsi"/>
          <w:shd w:val="clear" w:color="auto" w:fill="FFFFFF"/>
        </w:rPr>
        <w:t>conexión</w:t>
      </w:r>
      <w:proofErr w:type="spellEnd"/>
      <w:r w:rsidRPr="003D49EB">
        <w:rPr>
          <w:rFonts w:eastAsiaTheme="minorHAnsi"/>
          <w:shd w:val="clear" w:color="auto" w:fill="FFFFFF"/>
        </w:rPr>
        <w:t xml:space="preserve"> con el riesgo particular que enfrentan las mujeres periodistas, organismos internacionales y regionales han considerado que, al adoptar medidas de protección de periodistas, los Estados deben aplicar un fuerte enfoque diferencial que tenga en cuenta consideraciones de </w:t>
      </w:r>
      <w:proofErr w:type="spellStart"/>
      <w:r w:rsidRPr="003D49EB">
        <w:rPr>
          <w:rFonts w:eastAsiaTheme="minorHAnsi"/>
          <w:shd w:val="clear" w:color="auto" w:fill="FFFFFF"/>
        </w:rPr>
        <w:t>género</w:t>
      </w:r>
      <w:proofErr w:type="spellEnd"/>
      <w:r w:rsidRPr="003D49EB">
        <w:rPr>
          <w:rFonts w:eastAsiaTheme="minorHAnsi"/>
          <w:shd w:val="clear" w:color="auto" w:fill="FFFFFF"/>
        </w:rPr>
        <w:t xml:space="preserve">, realizar un </w:t>
      </w:r>
      <w:proofErr w:type="spellStart"/>
      <w:r w:rsidRPr="003D49EB">
        <w:rPr>
          <w:rFonts w:eastAsiaTheme="minorHAnsi"/>
          <w:shd w:val="clear" w:color="auto" w:fill="FFFFFF"/>
        </w:rPr>
        <w:t>análisis</w:t>
      </w:r>
      <w:proofErr w:type="spellEnd"/>
      <w:r w:rsidRPr="003D49EB">
        <w:rPr>
          <w:rFonts w:eastAsiaTheme="minorHAnsi"/>
          <w:shd w:val="clear" w:color="auto" w:fill="FFFFFF"/>
        </w:rPr>
        <w:t xml:space="preserve"> de riesgo e implementar medidas de protección que consideren el referido riesgo enfrentado por mujeres periodistas como resultado de violencia basada en el </w:t>
      </w:r>
      <w:proofErr w:type="spellStart"/>
      <w:r w:rsidRPr="003D49EB">
        <w:rPr>
          <w:rFonts w:eastAsiaTheme="minorHAnsi"/>
          <w:shd w:val="clear" w:color="auto" w:fill="FFFFFF"/>
        </w:rPr>
        <w:t>género</w:t>
      </w:r>
      <w:proofErr w:type="spellEnd"/>
      <w:r w:rsidRPr="003D49EB">
        <w:rPr>
          <w:rFonts w:eastAsiaTheme="minorHAnsi"/>
          <w:shd w:val="clear" w:color="auto" w:fill="FFFFFF"/>
        </w:rPr>
        <w:t xml:space="preserve">. En particular, los Estados deben observar, no solo los </w:t>
      </w:r>
      <w:proofErr w:type="spellStart"/>
      <w:r w:rsidRPr="003D49EB">
        <w:rPr>
          <w:rFonts w:eastAsiaTheme="minorHAnsi"/>
          <w:shd w:val="clear" w:color="auto" w:fill="FFFFFF"/>
        </w:rPr>
        <w:t>estándares</w:t>
      </w:r>
      <w:proofErr w:type="spellEnd"/>
      <w:r w:rsidRPr="003D49EB">
        <w:rPr>
          <w:rFonts w:eastAsiaTheme="minorHAnsi"/>
          <w:shd w:val="clear" w:color="auto" w:fill="FFFFFF"/>
        </w:rPr>
        <w:t xml:space="preserve"> de violencia de </w:t>
      </w:r>
      <w:proofErr w:type="spellStart"/>
      <w:r w:rsidRPr="003D49EB">
        <w:rPr>
          <w:rFonts w:eastAsiaTheme="minorHAnsi"/>
          <w:shd w:val="clear" w:color="auto" w:fill="FFFFFF"/>
        </w:rPr>
        <w:t>género</w:t>
      </w:r>
      <w:proofErr w:type="spellEnd"/>
      <w:r w:rsidRPr="003D49EB">
        <w:rPr>
          <w:rFonts w:eastAsiaTheme="minorHAnsi"/>
          <w:shd w:val="clear" w:color="auto" w:fill="FFFFFF"/>
        </w:rPr>
        <w:t xml:space="preserve"> y no discriminación ya desarrollados por esta Corte, sino que, </w:t>
      </w:r>
      <w:proofErr w:type="spellStart"/>
      <w:r w:rsidRPr="003D49EB">
        <w:rPr>
          <w:rFonts w:eastAsiaTheme="minorHAnsi"/>
          <w:shd w:val="clear" w:color="auto" w:fill="FFFFFF"/>
        </w:rPr>
        <w:t>además</w:t>
      </w:r>
      <w:proofErr w:type="spellEnd"/>
      <w:r w:rsidRPr="003D49EB">
        <w:rPr>
          <w:rFonts w:eastAsiaTheme="minorHAnsi"/>
          <w:shd w:val="clear" w:color="auto" w:fill="FFFFFF"/>
        </w:rPr>
        <w:t xml:space="preserve">, se les imponen obligaciones positivas como las siguientes: a) identificar e investigar con la debida diligencia los riesgos especiales que corren de manera diferencial por el hecho de ser mujeres periodistas, </w:t>
      </w:r>
      <w:proofErr w:type="spellStart"/>
      <w:r w:rsidRPr="003D49EB">
        <w:rPr>
          <w:rFonts w:eastAsiaTheme="minorHAnsi"/>
          <w:shd w:val="clear" w:color="auto" w:fill="FFFFFF"/>
        </w:rPr>
        <w:t>asi</w:t>
      </w:r>
      <w:proofErr w:type="spellEnd"/>
      <w:r w:rsidRPr="003D49EB">
        <w:rPr>
          <w:rFonts w:eastAsiaTheme="minorHAnsi"/>
          <w:shd w:val="clear" w:color="auto" w:fill="FFFFFF"/>
        </w:rPr>
        <w:t xml:space="preserve">́ como los factores que aumentan la posibilidad de que sean </w:t>
      </w:r>
      <w:proofErr w:type="spellStart"/>
      <w:r w:rsidRPr="003D49EB">
        <w:rPr>
          <w:rFonts w:eastAsiaTheme="minorHAnsi"/>
          <w:shd w:val="clear" w:color="auto" w:fill="FFFFFF"/>
        </w:rPr>
        <w:t>víctimas</w:t>
      </w:r>
      <w:proofErr w:type="spellEnd"/>
      <w:r w:rsidRPr="003D49EB">
        <w:rPr>
          <w:rFonts w:eastAsiaTheme="minorHAnsi"/>
          <w:shd w:val="clear" w:color="auto" w:fill="FFFFFF"/>
        </w:rPr>
        <w:t xml:space="preserve"> de violencia, </w:t>
      </w:r>
      <w:proofErr w:type="spellStart"/>
      <w:r w:rsidRPr="003D49EB">
        <w:rPr>
          <w:rFonts w:eastAsiaTheme="minorHAnsi"/>
          <w:shd w:val="clear" w:color="auto" w:fill="FFFFFF"/>
        </w:rPr>
        <w:t>asi</w:t>
      </w:r>
      <w:proofErr w:type="spellEnd"/>
      <w:r w:rsidRPr="003D49EB">
        <w:rPr>
          <w:rFonts w:eastAsiaTheme="minorHAnsi"/>
          <w:shd w:val="clear" w:color="auto" w:fill="FFFFFF"/>
        </w:rPr>
        <w:t xml:space="preserve">́ como b) adoptar un enfoque de </w:t>
      </w:r>
      <w:proofErr w:type="spellStart"/>
      <w:r w:rsidRPr="003D49EB">
        <w:rPr>
          <w:rFonts w:eastAsiaTheme="minorHAnsi"/>
          <w:shd w:val="clear" w:color="auto" w:fill="FFFFFF"/>
        </w:rPr>
        <w:t>género</w:t>
      </w:r>
      <w:proofErr w:type="spellEnd"/>
      <w:r w:rsidRPr="003D49EB">
        <w:rPr>
          <w:rFonts w:eastAsiaTheme="minorHAnsi"/>
          <w:shd w:val="clear" w:color="auto" w:fill="FFFFFF"/>
        </w:rPr>
        <w:t xml:space="preserve"> al momento de adoptar medidas para garantizar la seguridad de mujeres periodistas, las cuales incluyen aquellas de </w:t>
      </w:r>
      <w:proofErr w:type="spellStart"/>
      <w:r w:rsidRPr="003D49EB">
        <w:rPr>
          <w:rFonts w:eastAsiaTheme="minorHAnsi"/>
          <w:shd w:val="clear" w:color="auto" w:fill="FFFFFF"/>
        </w:rPr>
        <w:t>carácter</w:t>
      </w:r>
      <w:proofErr w:type="spellEnd"/>
      <w:r w:rsidRPr="003D49EB">
        <w:rPr>
          <w:rFonts w:eastAsiaTheme="minorHAnsi"/>
          <w:shd w:val="clear" w:color="auto" w:fill="FFFFFF"/>
        </w:rPr>
        <w:t xml:space="preserve"> preventivo, cuando sean solicitadas, </w:t>
      </w:r>
      <w:proofErr w:type="spellStart"/>
      <w:r w:rsidRPr="003D49EB">
        <w:rPr>
          <w:rFonts w:eastAsiaTheme="minorHAnsi"/>
          <w:shd w:val="clear" w:color="auto" w:fill="FFFFFF"/>
        </w:rPr>
        <w:t>asi</w:t>
      </w:r>
      <w:proofErr w:type="spellEnd"/>
      <w:r w:rsidRPr="003D49EB">
        <w:rPr>
          <w:rFonts w:eastAsiaTheme="minorHAnsi"/>
          <w:shd w:val="clear" w:color="auto" w:fill="FFFFFF"/>
        </w:rPr>
        <w:t xml:space="preserve">́ como aquellas dirigidas a protegerlas contra represalias. La Corte considera que, dadas las circunstancias particulares del presente caso, el deber de prevención del Estado </w:t>
      </w:r>
      <w:proofErr w:type="spellStart"/>
      <w:r w:rsidRPr="003D49EB">
        <w:rPr>
          <w:rFonts w:eastAsiaTheme="minorHAnsi"/>
          <w:shd w:val="clear" w:color="auto" w:fill="FFFFFF"/>
        </w:rPr>
        <w:t>requería</w:t>
      </w:r>
      <w:proofErr w:type="spellEnd"/>
      <w:r w:rsidRPr="003D49EB">
        <w:rPr>
          <w:rFonts w:eastAsiaTheme="minorHAnsi"/>
          <w:shd w:val="clear" w:color="auto" w:fill="FFFFFF"/>
        </w:rPr>
        <w:t xml:space="preserve"> de una diligencia reforzada. En efecto, a la vista de los antecedentes de hecho, unido al contexto existente en la </w:t>
      </w:r>
      <w:proofErr w:type="spellStart"/>
      <w:r w:rsidRPr="003D49EB">
        <w:rPr>
          <w:rFonts w:eastAsiaTheme="minorHAnsi"/>
          <w:shd w:val="clear" w:color="auto" w:fill="FFFFFF"/>
        </w:rPr>
        <w:t>época</w:t>
      </w:r>
      <w:proofErr w:type="spellEnd"/>
      <w:r w:rsidRPr="003D49EB">
        <w:rPr>
          <w:rFonts w:eastAsiaTheme="minorHAnsi"/>
          <w:shd w:val="clear" w:color="auto" w:fill="FFFFFF"/>
        </w:rPr>
        <w:t xml:space="preserve"> que ocurrieron los mismos, el Tribunal nota, desde una perspectiva interseccional, que la </w:t>
      </w:r>
      <w:proofErr w:type="spellStart"/>
      <w:r w:rsidRPr="003D49EB">
        <w:rPr>
          <w:rFonts w:eastAsiaTheme="minorHAnsi"/>
          <w:shd w:val="clear" w:color="auto" w:fill="FFFFFF"/>
        </w:rPr>
        <w:t>señora</w:t>
      </w:r>
      <w:proofErr w:type="spellEnd"/>
      <w:r w:rsidRPr="003D49EB">
        <w:rPr>
          <w:rFonts w:eastAsiaTheme="minorHAnsi"/>
          <w:shd w:val="clear" w:color="auto" w:fill="FFFFFF"/>
        </w:rPr>
        <w:t xml:space="preserve"> Bedoya se encontraba en una situación doblemente vulnerable, por su labor de periodista y por ser mujer.</w:t>
      </w:r>
    </w:p>
    <w:p w14:paraId="07C6512C" w14:textId="77777777" w:rsidR="00114134" w:rsidRPr="003D49EB" w:rsidRDefault="00114134" w:rsidP="00114134">
      <w:pPr>
        <w:rPr>
          <w:rFonts w:eastAsiaTheme="minorHAnsi"/>
          <w:shd w:val="clear" w:color="auto" w:fill="FFFFFF"/>
        </w:rPr>
      </w:pPr>
    </w:p>
    <w:p w14:paraId="259B0D11" w14:textId="2D8244F2" w:rsidR="00994980" w:rsidRPr="003D49EB" w:rsidRDefault="00994980" w:rsidP="00114134">
      <w:pPr>
        <w:rPr>
          <w:rFonts w:eastAsiaTheme="minorHAnsi"/>
          <w:shd w:val="clear" w:color="auto" w:fill="FFFFFF"/>
        </w:rPr>
      </w:pPr>
      <w:r w:rsidRPr="003D49EB">
        <w:rPr>
          <w:rFonts w:eastAsiaTheme="minorHAnsi"/>
          <w:shd w:val="clear" w:color="auto" w:fill="FFFFFF"/>
        </w:rPr>
        <w:t xml:space="preserve">95. Por tanto, el Tribunal concluye que, en el presente caso, el Estado era conocedor de la situación de riesgo real e inminente de que la </w:t>
      </w:r>
      <w:proofErr w:type="spellStart"/>
      <w:r w:rsidRPr="003D49EB">
        <w:rPr>
          <w:rFonts w:eastAsiaTheme="minorHAnsi"/>
          <w:shd w:val="clear" w:color="auto" w:fill="FFFFFF"/>
        </w:rPr>
        <w:t>señora</w:t>
      </w:r>
      <w:proofErr w:type="spellEnd"/>
      <w:r w:rsidRPr="003D49EB">
        <w:rPr>
          <w:rFonts w:eastAsiaTheme="minorHAnsi"/>
          <w:shd w:val="clear" w:color="auto" w:fill="FFFFFF"/>
        </w:rPr>
        <w:t xml:space="preserve"> Bedoya pudiera ser objeto de un ataque que pusiera en peligro su vida o integridad personal. </w:t>
      </w:r>
      <w:proofErr w:type="spellStart"/>
      <w:r w:rsidRPr="003D49EB">
        <w:rPr>
          <w:rFonts w:eastAsiaTheme="minorHAnsi"/>
          <w:shd w:val="clear" w:color="auto" w:fill="FFFFFF"/>
        </w:rPr>
        <w:t>Además</w:t>
      </w:r>
      <w:proofErr w:type="spellEnd"/>
      <w:r w:rsidRPr="003D49EB">
        <w:rPr>
          <w:rFonts w:eastAsiaTheme="minorHAnsi"/>
          <w:shd w:val="clear" w:color="auto" w:fill="FFFFFF"/>
        </w:rPr>
        <w:t xml:space="preserve">, la Corte advierte que no consta que el Estado haya evaluado qué tipo de medidas </w:t>
      </w:r>
      <w:proofErr w:type="spellStart"/>
      <w:r w:rsidRPr="003D49EB">
        <w:rPr>
          <w:rFonts w:eastAsiaTheme="minorHAnsi"/>
          <w:shd w:val="clear" w:color="auto" w:fill="FFFFFF"/>
        </w:rPr>
        <w:t>serían</w:t>
      </w:r>
      <w:proofErr w:type="spellEnd"/>
      <w:r w:rsidRPr="003D49EB">
        <w:rPr>
          <w:rFonts w:eastAsiaTheme="minorHAnsi"/>
          <w:shd w:val="clear" w:color="auto" w:fill="FFFFFF"/>
        </w:rPr>
        <w:t xml:space="preserve"> adecuadas conforme a los riesgos </w:t>
      </w:r>
      <w:proofErr w:type="spellStart"/>
      <w:r w:rsidRPr="003D49EB">
        <w:rPr>
          <w:rFonts w:eastAsiaTheme="minorHAnsi"/>
          <w:shd w:val="clear" w:color="auto" w:fill="FFFFFF"/>
        </w:rPr>
        <w:t>específicos</w:t>
      </w:r>
      <w:proofErr w:type="spellEnd"/>
      <w:r w:rsidRPr="003D49EB">
        <w:rPr>
          <w:rFonts w:eastAsiaTheme="minorHAnsi"/>
          <w:shd w:val="clear" w:color="auto" w:fill="FFFFFF"/>
        </w:rPr>
        <w:t xml:space="preserve"> y las formas diferenciadas de violencia que enfrentaba la </w:t>
      </w:r>
      <w:proofErr w:type="spellStart"/>
      <w:r w:rsidRPr="003D49EB">
        <w:rPr>
          <w:rFonts w:eastAsiaTheme="minorHAnsi"/>
          <w:shd w:val="clear" w:color="auto" w:fill="FFFFFF"/>
        </w:rPr>
        <w:t>señora</w:t>
      </w:r>
      <w:proofErr w:type="spellEnd"/>
      <w:r w:rsidRPr="003D49EB">
        <w:rPr>
          <w:rFonts w:eastAsiaTheme="minorHAnsi"/>
          <w:shd w:val="clear" w:color="auto" w:fill="FFFFFF"/>
        </w:rPr>
        <w:t xml:space="preserve"> Bedoya por su </w:t>
      </w:r>
      <w:proofErr w:type="spellStart"/>
      <w:r w:rsidRPr="003D49EB">
        <w:rPr>
          <w:rFonts w:eastAsiaTheme="minorHAnsi"/>
          <w:shd w:val="clear" w:color="auto" w:fill="FFFFFF"/>
        </w:rPr>
        <w:t>profesión</w:t>
      </w:r>
      <w:proofErr w:type="spellEnd"/>
      <w:r w:rsidRPr="003D49EB">
        <w:rPr>
          <w:rFonts w:eastAsiaTheme="minorHAnsi"/>
          <w:shd w:val="clear" w:color="auto" w:fill="FFFFFF"/>
        </w:rPr>
        <w:t xml:space="preserve"> y por su </w:t>
      </w:r>
      <w:proofErr w:type="spellStart"/>
      <w:r w:rsidRPr="003D49EB">
        <w:rPr>
          <w:rFonts w:eastAsiaTheme="minorHAnsi"/>
          <w:shd w:val="clear" w:color="auto" w:fill="FFFFFF"/>
        </w:rPr>
        <w:t>género</w:t>
      </w:r>
      <w:proofErr w:type="spellEnd"/>
      <w:r w:rsidRPr="003D49EB">
        <w:rPr>
          <w:rFonts w:eastAsiaTheme="minorHAnsi"/>
          <w:shd w:val="clear" w:color="auto" w:fill="FFFFFF"/>
        </w:rPr>
        <w:t xml:space="preserve">, ni, mucho menos, que se haya concretado la </w:t>
      </w:r>
      <w:proofErr w:type="spellStart"/>
      <w:r w:rsidRPr="003D49EB">
        <w:rPr>
          <w:rFonts w:eastAsiaTheme="minorHAnsi"/>
          <w:shd w:val="clear" w:color="auto" w:fill="FFFFFF"/>
        </w:rPr>
        <w:t>implementación</w:t>
      </w:r>
      <w:proofErr w:type="spellEnd"/>
      <w:r w:rsidRPr="003D49EB">
        <w:rPr>
          <w:rFonts w:eastAsiaTheme="minorHAnsi"/>
          <w:shd w:val="clear" w:color="auto" w:fill="FFFFFF"/>
        </w:rPr>
        <w:t xml:space="preserve"> de medidas encaminadas a otorgarle una protección adecuada y efectiva, lo que supuso una </w:t>
      </w:r>
      <w:proofErr w:type="spellStart"/>
      <w:r w:rsidRPr="003D49EB">
        <w:rPr>
          <w:rFonts w:eastAsiaTheme="minorHAnsi"/>
          <w:shd w:val="clear" w:color="auto" w:fill="FFFFFF"/>
        </w:rPr>
        <w:t>violación</w:t>
      </w:r>
      <w:proofErr w:type="spellEnd"/>
      <w:r w:rsidRPr="003D49EB">
        <w:rPr>
          <w:rFonts w:eastAsiaTheme="minorHAnsi"/>
          <w:shd w:val="clear" w:color="auto" w:fill="FFFFFF"/>
        </w:rPr>
        <w:t xml:space="preserve"> del deber de </w:t>
      </w:r>
      <w:proofErr w:type="spellStart"/>
      <w:r w:rsidRPr="003D49EB">
        <w:rPr>
          <w:rFonts w:eastAsiaTheme="minorHAnsi"/>
          <w:shd w:val="clear" w:color="auto" w:fill="FFFFFF"/>
        </w:rPr>
        <w:t>garantía</w:t>
      </w:r>
      <w:proofErr w:type="spellEnd"/>
      <w:r w:rsidRPr="003D49EB">
        <w:rPr>
          <w:rFonts w:eastAsiaTheme="minorHAnsi"/>
          <w:shd w:val="clear" w:color="auto" w:fill="FFFFFF"/>
        </w:rPr>
        <w:t xml:space="preserve"> respecto del derecho a la integridad personal y libertad personal.</w:t>
      </w:r>
    </w:p>
    <w:p w14:paraId="3B6B7E87" w14:textId="5D641CA6" w:rsidR="00DD3E8B" w:rsidRPr="003D49EB" w:rsidRDefault="000445D1" w:rsidP="009A4683">
      <w:pPr>
        <w:pStyle w:val="Ttulo2"/>
      </w:pPr>
      <w:bookmarkStart w:id="57" w:name="_Toc530497992"/>
      <w:bookmarkStart w:id="58" w:name="_Toc88914992"/>
      <w:r w:rsidRPr="003D49EB">
        <w:t>Obligación del Estado de investigar violaciones a la integridad personal</w:t>
      </w:r>
      <w:bookmarkEnd w:id="57"/>
      <w:bookmarkEnd w:id="58"/>
    </w:p>
    <w:p w14:paraId="5851A0D3" w14:textId="5D35D12E" w:rsidR="00C24F2D" w:rsidRPr="003D49EB" w:rsidRDefault="00681B0D" w:rsidP="00C24F2D">
      <w:pPr>
        <w:pStyle w:val="Ttulo3"/>
      </w:pPr>
      <w:bookmarkStart w:id="59" w:name="_Toc530497993"/>
      <w:bookmarkStart w:id="60" w:name="_Toc88914993"/>
      <w:r w:rsidRPr="003D49EB">
        <w:rPr>
          <w:lang w:val="es-CR"/>
        </w:rPr>
        <w:t>A) O</w:t>
      </w:r>
      <w:r w:rsidRPr="003D49EB">
        <w:t>bligación de iniciar investigación</w:t>
      </w:r>
      <w:bookmarkEnd w:id="59"/>
      <w:bookmarkEnd w:id="60"/>
      <w:r w:rsidRPr="003D49EB">
        <w:t xml:space="preserve"> </w:t>
      </w:r>
    </w:p>
    <w:p w14:paraId="134499BF" w14:textId="77777777" w:rsidR="00C24F2D" w:rsidRPr="003D49EB" w:rsidRDefault="00C24F2D" w:rsidP="00C24F2D"/>
    <w:p w14:paraId="63E1C9EB" w14:textId="4F70EDBD" w:rsidR="002A57DB" w:rsidRPr="003D49EB" w:rsidRDefault="00C24F2D" w:rsidP="009A4683">
      <w:pPr>
        <w:spacing w:after="100" w:afterAutospacing="1"/>
        <w:rPr>
          <w:b/>
          <w:szCs w:val="20"/>
        </w:rPr>
      </w:pPr>
      <w:r w:rsidRPr="003D49EB">
        <w:rPr>
          <w:b/>
          <w:szCs w:val="20"/>
        </w:rPr>
        <w:t>Corte IDH. Caso Tibi Vs. Ecuador. Excepciones Preliminares, Fondo, Reparaciones y Costas. Sentencia de 7 de septiembre de 2004. Serie C No. 114.</w:t>
      </w:r>
      <w:r w:rsidR="002A57DB" w:rsidRPr="003D49EB">
        <w:rPr>
          <w:b/>
          <w:szCs w:val="20"/>
        </w:rPr>
        <w:t xml:space="preserve"> </w:t>
      </w:r>
    </w:p>
    <w:p w14:paraId="680C3335" w14:textId="77777777" w:rsidR="002A57DB" w:rsidRPr="003D49EB" w:rsidRDefault="002A57DB" w:rsidP="009A4683">
      <w:pPr>
        <w:spacing w:after="100" w:afterAutospacing="1"/>
        <w:rPr>
          <w:rFonts w:cs="Times"/>
          <w:szCs w:val="20"/>
        </w:rPr>
      </w:pPr>
      <w:r w:rsidRPr="003D49EB">
        <w:rPr>
          <w:rFonts w:cs="Times"/>
          <w:szCs w:val="20"/>
        </w:rPr>
        <w:t>159.</w:t>
      </w:r>
      <w:r w:rsidRPr="003D49EB">
        <w:rPr>
          <w:rFonts w:cs="Times"/>
          <w:szCs w:val="20"/>
        </w:rPr>
        <w:tab/>
        <w:t>La Corte entiende que, a la luz de la obligación general de los Estados partes de respetar y garantizar los derechos a toda persona sujeta a su jurisdicción, contenida en el artículo 1.1 de la Convención Americana, el Estado tiene el deber de iniciar de oficio e inmediatamente una investigación efectiva que permita identificar, juzgar y sancionar a los responsables, cuando existe denuncia o razón fundada para creer que se ha cometido un acto de tortura en violación del artículo 5 de la Convención Americana.</w:t>
      </w:r>
      <w:r w:rsidR="008B18CE" w:rsidRPr="003D49EB">
        <w:rPr>
          <w:rFonts w:cs="Times"/>
          <w:szCs w:val="20"/>
        </w:rPr>
        <w:t xml:space="preserve"> </w:t>
      </w:r>
      <w:r w:rsidRPr="003D49EB">
        <w:rPr>
          <w:rFonts w:cs="Times"/>
          <w:szCs w:val="20"/>
        </w:rPr>
        <w:t xml:space="preserve">En el presente caso, la Corte observa que el Estado no actuó </w:t>
      </w:r>
      <w:r w:rsidRPr="003D49EB">
        <w:rPr>
          <w:rFonts w:cs="Times"/>
          <w:szCs w:val="20"/>
        </w:rPr>
        <w:lastRenderedPageBreak/>
        <w:t>con arreglo a esas previsiones.</w:t>
      </w:r>
      <w:r w:rsidR="008B18CE" w:rsidRPr="003D49EB">
        <w:rPr>
          <w:rFonts w:cs="Times"/>
          <w:szCs w:val="20"/>
        </w:rPr>
        <w:t xml:space="preserve"> </w:t>
      </w:r>
      <w:r w:rsidRPr="003D49EB">
        <w:rPr>
          <w:rFonts w:cs="Times"/>
          <w:szCs w:val="20"/>
        </w:rPr>
        <w:t>El señor Daniel Tibi presentó serias lesiones cuando estuvo detenido en la Penitenciaría del Litoral, lo que debió ser motivo suficiente para que las autoridades competentes iniciaran, de oficio, una investigación sobre lo ocurrido a éste.</w:t>
      </w:r>
      <w:r w:rsidR="008B18CE" w:rsidRPr="003D49EB">
        <w:rPr>
          <w:rFonts w:cs="Times"/>
          <w:szCs w:val="20"/>
        </w:rPr>
        <w:t xml:space="preserve"> </w:t>
      </w:r>
      <w:r w:rsidRPr="003D49EB">
        <w:rPr>
          <w:rFonts w:cs="Times"/>
          <w:szCs w:val="20"/>
        </w:rPr>
        <w:t>Esta actuación está normada, además, de manera específica en los artículos 1, 6 y 8 de la Convención Interamericana contra la Tortura que obligan a los Estados partes a tomar todas las medidas efectivas para prevenir y sancionar todos los actos de tortura dentro del ámbito de su jurisdicción.</w:t>
      </w:r>
      <w:r w:rsidR="008B18CE" w:rsidRPr="003D49EB">
        <w:rPr>
          <w:rFonts w:cs="Times"/>
          <w:szCs w:val="20"/>
        </w:rPr>
        <w:t xml:space="preserve"> </w:t>
      </w:r>
      <w:r w:rsidRPr="003D49EB">
        <w:rPr>
          <w:rFonts w:cs="Times"/>
          <w:szCs w:val="20"/>
        </w:rPr>
        <w:t>Desde que entró en vigor en el Ecuador la referida Convención Interamericana contra la Tortura (9 de diciembre de 1999), es exigible al Estado el cumplimiento de las obligaciones contenidas en dicho tratado.</w:t>
      </w:r>
      <w:r w:rsidR="008B18CE" w:rsidRPr="003D49EB">
        <w:rPr>
          <w:rFonts w:cs="Times"/>
          <w:szCs w:val="20"/>
        </w:rPr>
        <w:t xml:space="preserve"> </w:t>
      </w:r>
      <w:r w:rsidRPr="003D49EB">
        <w:rPr>
          <w:rFonts w:cs="Times"/>
          <w:szCs w:val="20"/>
        </w:rPr>
        <w:t>Está probado que, en el lapso transcurrido desde esa fecha, el Estado no ha investigado, juzgado ni sancionado a los responsables de las torturas a las que fue sometida la presunta víctima.</w:t>
      </w:r>
      <w:r w:rsidR="008B18CE" w:rsidRPr="003D49EB">
        <w:rPr>
          <w:rFonts w:cs="Times"/>
          <w:szCs w:val="20"/>
        </w:rPr>
        <w:t xml:space="preserve"> </w:t>
      </w:r>
      <w:r w:rsidRPr="003D49EB">
        <w:rPr>
          <w:rFonts w:cs="Times"/>
          <w:szCs w:val="20"/>
        </w:rPr>
        <w:t xml:space="preserve">Por ello, para la Corte esta conducta constituye una violación de los artículos 5 de la Convención Americana, en relación con el 1.1 de la misma, así como inobservancia de las obligaciones contenidas en los artículos 1, 6 y 8 de la Convención Interamericana contra la Tortura. </w:t>
      </w:r>
    </w:p>
    <w:p w14:paraId="3715553E" w14:textId="161FCACF" w:rsidR="00DD3E8B" w:rsidRPr="003D49EB" w:rsidRDefault="00AE6F5A" w:rsidP="009A4683">
      <w:pPr>
        <w:spacing w:after="100" w:afterAutospacing="1"/>
        <w:rPr>
          <w:b/>
          <w:szCs w:val="20"/>
        </w:rPr>
      </w:pPr>
      <w:r w:rsidRPr="003D49EB">
        <w:rPr>
          <w:b/>
          <w:szCs w:val="20"/>
        </w:rPr>
        <w:t xml:space="preserve">Corte IDH. Caso </w:t>
      </w:r>
      <w:proofErr w:type="spellStart"/>
      <w:r w:rsidRPr="003D49EB">
        <w:rPr>
          <w:b/>
          <w:szCs w:val="20"/>
        </w:rPr>
        <w:t>Ximenes</w:t>
      </w:r>
      <w:proofErr w:type="spellEnd"/>
      <w:r w:rsidRPr="003D49EB">
        <w:rPr>
          <w:b/>
          <w:szCs w:val="20"/>
        </w:rPr>
        <w:t xml:space="preserve"> </w:t>
      </w:r>
      <w:proofErr w:type="spellStart"/>
      <w:r w:rsidRPr="003D49EB">
        <w:rPr>
          <w:b/>
          <w:szCs w:val="20"/>
        </w:rPr>
        <w:t>Lopes</w:t>
      </w:r>
      <w:proofErr w:type="spellEnd"/>
      <w:r w:rsidRPr="003D49EB">
        <w:rPr>
          <w:b/>
          <w:szCs w:val="20"/>
        </w:rPr>
        <w:t xml:space="preserve"> Vs. Brasil. Sentencia de 4 de julio de 2006. Serie C No. 149.</w:t>
      </w:r>
      <w:r w:rsidR="00DD3E8B" w:rsidRPr="003D49EB">
        <w:rPr>
          <w:b/>
          <w:szCs w:val="20"/>
        </w:rPr>
        <w:t xml:space="preserve"> </w:t>
      </w:r>
    </w:p>
    <w:p w14:paraId="4873EEF5" w14:textId="7E5E1F1D" w:rsidR="00583AC4" w:rsidRPr="003D49EB" w:rsidRDefault="00583AC4" w:rsidP="009A4683">
      <w:pPr>
        <w:spacing w:after="100" w:afterAutospacing="1"/>
        <w:rPr>
          <w:szCs w:val="20"/>
        </w:rPr>
      </w:pPr>
      <w:r w:rsidRPr="003D49EB">
        <w:rPr>
          <w:szCs w:val="20"/>
        </w:rPr>
        <w:t>147.</w:t>
      </w:r>
      <w:r w:rsidRPr="003D49EB">
        <w:rPr>
          <w:szCs w:val="20"/>
        </w:rPr>
        <w:tab/>
        <w:t>La obligación de garantizar los derechos humanos consagrados en la Convención no se agota con la existencia de un orden normativo dirigido a hacer posible el cumplimiento de esta obligación, sino que comporta la necesidad de una conducta gubernamental que asegure la existencia, en la realidad, de una eficaz garantía del libre y pleno ejercicio de los derechos humanos.</w:t>
      </w:r>
      <w:r w:rsidR="008B18CE" w:rsidRPr="003D49EB">
        <w:rPr>
          <w:szCs w:val="20"/>
        </w:rPr>
        <w:t xml:space="preserve"> </w:t>
      </w:r>
      <w:r w:rsidRPr="003D49EB">
        <w:rPr>
          <w:szCs w:val="20"/>
        </w:rPr>
        <w:t>En ese sentido, una de esas condiciones para garantizar efectivamente el derecho a la vida y a la integridad personal es el cumplimiento del deber de investigar las afectaciones a los mismos, el cual se deriva del artículo 1.1 de la Convención en conjunto con el derecho sustantivo que debe ser amparado, protegido o garantizado</w:t>
      </w:r>
      <w:r w:rsidR="006A660B" w:rsidRPr="003D49EB">
        <w:rPr>
          <w:szCs w:val="20"/>
        </w:rPr>
        <w:t>.</w:t>
      </w:r>
    </w:p>
    <w:p w14:paraId="22A31921" w14:textId="77777777" w:rsidR="00DD3E8B" w:rsidRPr="003D49EB" w:rsidRDefault="00DD3E8B" w:rsidP="009A4683">
      <w:pPr>
        <w:spacing w:after="100" w:afterAutospacing="1"/>
        <w:rPr>
          <w:szCs w:val="20"/>
        </w:rPr>
      </w:pPr>
      <w:r w:rsidRPr="003D49EB">
        <w:rPr>
          <w:szCs w:val="20"/>
        </w:rPr>
        <w:t>148.</w:t>
      </w:r>
      <w:r w:rsidRPr="003D49EB">
        <w:rPr>
          <w:szCs w:val="20"/>
        </w:rPr>
        <w:tab/>
        <w:t>Dado lo anterior el Estado tiene el deber de iniciar</w:t>
      </w:r>
      <w:r w:rsidRPr="003D49EB">
        <w:rPr>
          <w:i/>
          <w:szCs w:val="20"/>
        </w:rPr>
        <w:t xml:space="preserve"> ex officio</w:t>
      </w:r>
      <w:r w:rsidRPr="003D49EB">
        <w:rPr>
          <w:szCs w:val="20"/>
        </w:rPr>
        <w:t xml:space="preserve"> y sin dilación, una investigación seria, imparcial y efectiva, que no se emprenda como una simple formalidad condenada de antemano a ser infructuosa. </w:t>
      </w:r>
      <w:r w:rsidR="00583AC4" w:rsidRPr="003D49EB">
        <w:rPr>
          <w:szCs w:val="20"/>
        </w:rPr>
        <w:t>Esta investigación debe ser realizada por todos los medios legales disponibles y orientada a la determinación de la verdad y a la investigación, enjuiciamiento y castigo de todos los responsables de los hechos, especialmente cuando están o puedan estar involucrados agentes estatales.</w:t>
      </w:r>
    </w:p>
    <w:p w14:paraId="6607BE95" w14:textId="7E418EDC" w:rsidR="006D57CC" w:rsidRPr="003D49EB" w:rsidRDefault="00274EE6" w:rsidP="009A4683">
      <w:pPr>
        <w:widowControl w:val="0"/>
        <w:autoSpaceDE w:val="0"/>
        <w:autoSpaceDN w:val="0"/>
        <w:adjustRightInd w:val="0"/>
        <w:spacing w:after="100" w:afterAutospacing="1"/>
        <w:rPr>
          <w:szCs w:val="20"/>
        </w:rPr>
      </w:pPr>
      <w:r w:rsidRPr="00274EE6">
        <w:rPr>
          <w:b/>
          <w:szCs w:val="20"/>
        </w:rPr>
        <w:t>Corte IDH. Caso Valle Jaramillo y otros Vs. Colombia. Fondo, Reparaciones y Costas. Sentencia de 27 de noviembre de 2008. Serie C No. 192.</w:t>
      </w:r>
      <w:r w:rsidR="006D57CC" w:rsidRPr="003D49EB">
        <w:rPr>
          <w:b/>
          <w:szCs w:val="20"/>
        </w:rPr>
        <w:t xml:space="preserve"> </w:t>
      </w:r>
    </w:p>
    <w:p w14:paraId="522751CA" w14:textId="3185C1A1" w:rsidR="005243C0" w:rsidRPr="003D49EB" w:rsidRDefault="006D57CC" w:rsidP="009A4683">
      <w:pPr>
        <w:widowControl w:val="0"/>
        <w:autoSpaceDE w:val="0"/>
        <w:autoSpaceDN w:val="0"/>
        <w:adjustRightInd w:val="0"/>
        <w:spacing w:after="100" w:afterAutospacing="1"/>
        <w:rPr>
          <w:b/>
          <w:i/>
          <w:szCs w:val="20"/>
        </w:rPr>
      </w:pPr>
      <w:r w:rsidRPr="003D49EB">
        <w:rPr>
          <w:szCs w:val="20"/>
        </w:rPr>
        <w:t>101.</w:t>
      </w:r>
      <w:r w:rsidRPr="003D49EB">
        <w:rPr>
          <w:szCs w:val="20"/>
        </w:rPr>
        <w:tab/>
        <w:t xml:space="preserve">A la luz de ese deber, una vez que las autoridades estatales tengan conocimiento del hecho, </w:t>
      </w:r>
      <w:r w:rsidRPr="003D49EB">
        <w:rPr>
          <w:bCs/>
          <w:szCs w:val="20"/>
        </w:rPr>
        <w:t>deben</w:t>
      </w:r>
      <w:r w:rsidRPr="003D49EB">
        <w:rPr>
          <w:szCs w:val="20"/>
        </w:rPr>
        <w:t xml:space="preserve"> iniciar</w:t>
      </w:r>
      <w:r w:rsidRPr="003D49EB">
        <w:rPr>
          <w:i/>
          <w:szCs w:val="20"/>
        </w:rPr>
        <w:t xml:space="preserve"> ex oficio</w:t>
      </w:r>
      <w:r w:rsidRPr="003D49EB">
        <w:rPr>
          <w:szCs w:val="20"/>
        </w:rPr>
        <w:t xml:space="preserve"> y sin dilación, una investigación seria, imparcial y efectiva por todos los medios legales disponibles y orientada a la determinación de la verdad y a la persecución, captura, enjuiciamiento y eventual castigo, en su caso, de todos los autores de los hechos, especialmente cuando están o puedan estar involucrados agentes estatales. Para asegurar este fin es necesario, </w:t>
      </w:r>
      <w:r w:rsidRPr="003D49EB">
        <w:rPr>
          <w:i/>
          <w:szCs w:val="20"/>
        </w:rPr>
        <w:t>inter alia</w:t>
      </w:r>
      <w:r w:rsidRPr="003D49EB">
        <w:rPr>
          <w:szCs w:val="20"/>
        </w:rPr>
        <w:t>, que exista un sistema eficaz de protección de operadores de justicia, testigos, víctimas y sus familiares.</w:t>
      </w:r>
      <w:r w:rsidR="008B18CE" w:rsidRPr="003D49EB">
        <w:rPr>
          <w:szCs w:val="20"/>
        </w:rPr>
        <w:t xml:space="preserve"> </w:t>
      </w:r>
      <w:r w:rsidRPr="003D49EB">
        <w:rPr>
          <w:szCs w:val="20"/>
        </w:rPr>
        <w:t xml:space="preserve">Además, es preciso que se esclarezca, en su caso, la existencia de estructuras criminales complejas y las respectivas conexiones que hicieron posible las violaciones. </w:t>
      </w:r>
      <w:r w:rsidR="006E5C73">
        <w:rPr>
          <w:rStyle w:val="EnelmismoCar"/>
        </w:rPr>
        <w:t>En similar sentido, ver entre otros</w:t>
      </w:r>
      <w:r w:rsidR="00750B30" w:rsidRPr="003D49EB">
        <w:rPr>
          <w:rStyle w:val="EnelmismoCar"/>
        </w:rPr>
        <w:t xml:space="preserve">: </w:t>
      </w:r>
      <w:r w:rsidR="005243C0" w:rsidRPr="003D49EB">
        <w:rPr>
          <w:rStyle w:val="EnelmismoCar"/>
        </w:rPr>
        <w:t>Caso González y otras (“Campo Algodonero”) vs. México. Sentencia de 16 de noviembre de 2009</w:t>
      </w:r>
      <w:r w:rsidR="00750B30" w:rsidRPr="003D49EB">
        <w:rPr>
          <w:rStyle w:val="EnelmismoCar"/>
        </w:rPr>
        <w:t>, párr. 290</w:t>
      </w:r>
      <w:r w:rsidR="005243C0" w:rsidRPr="003D49EB">
        <w:rPr>
          <w:rStyle w:val="EnelmismoCar"/>
        </w:rPr>
        <w:t>.</w:t>
      </w:r>
      <w:r w:rsidR="005243C0" w:rsidRPr="003D49EB">
        <w:rPr>
          <w:b/>
          <w:i/>
          <w:szCs w:val="20"/>
        </w:rPr>
        <w:t xml:space="preserve"> </w:t>
      </w:r>
    </w:p>
    <w:p w14:paraId="49798F4B" w14:textId="00A22ADE" w:rsidR="002B52E6" w:rsidRPr="003D49EB" w:rsidRDefault="00E70056" w:rsidP="009A4683">
      <w:pPr>
        <w:spacing w:after="100" w:afterAutospacing="1"/>
        <w:rPr>
          <w:b/>
          <w:szCs w:val="20"/>
        </w:rPr>
      </w:pPr>
      <w:r w:rsidRPr="00E70056">
        <w:rPr>
          <w:b/>
          <w:szCs w:val="20"/>
        </w:rPr>
        <w:lastRenderedPageBreak/>
        <w:t>Corte IDH. Caso Vélez Loor Vs. Panamá. Excepciones Preliminares, Fondo, Reparaciones y Costas. Sentencia de 23 de noviembre de 2010. Serie C No. 218.</w:t>
      </w:r>
      <w:r>
        <w:rPr>
          <w:rStyle w:val="Refdenotaalpie"/>
          <w:b/>
          <w:szCs w:val="20"/>
        </w:rPr>
        <w:footnoteReference w:id="71"/>
      </w:r>
    </w:p>
    <w:p w14:paraId="577B1313" w14:textId="77777777" w:rsidR="008D5C7E" w:rsidRPr="003D49EB" w:rsidRDefault="008D5C7E" w:rsidP="009A4683">
      <w:pPr>
        <w:spacing w:after="100" w:afterAutospacing="1"/>
        <w:rPr>
          <w:szCs w:val="20"/>
        </w:rPr>
      </w:pPr>
      <w:r w:rsidRPr="003D49EB">
        <w:rPr>
          <w:szCs w:val="20"/>
        </w:rPr>
        <w:t>240.</w:t>
      </w:r>
      <w:r w:rsidRPr="003D49EB">
        <w:rPr>
          <w:szCs w:val="20"/>
        </w:rPr>
        <w:tab/>
        <w:t xml:space="preserve">Al respecto, la Corte aclara que de la Convención contra la Tortura surgen dos supuestos que accionan el deber estatal de investigar: por un lado, cuando se presente denuncia, y, por el otro, cuando exista razón fundada para creer que se ha cometido un acto de tortura en el ámbito de la jurisdicción del Estado. En estas situaciones, la decisión de iniciar y adelantar una investigación no recae sobre el Estado, es decir, no es una facultad discrecional, sino que el deber de investigar constituye una obligación estatal imperativa que deriva del derecho internacional y no puede desecharse o condicionarse por actos o disposiciones normativas internas de ninguna índole. En el presente caso, dado que el señor Vélez Loor había interpuesto a través de una tercera persona la queja ante la Embajada de Panamá […] de modo tal que había puesto en conocimiento del Estado los hechos, esto era base suficiente para que surgiera la obligación del Estado de investigarlos de manera pronta e imparcial. Además, como ya ha señalado este Tribunal, aún cuando los actos de tortura o tratos crueles, inhumanos o degradantes no hayan sido denunciados ante las autoridades competentes por la propia víctima, en todo caso en que existan indicios de su ocurrencia, el Estado deberá iniciar de oficio y de inmediato una investigación imparcial, independiente y minuciosa que permita determinar la naturaleza y el origen de las lesiones advertidas, identificar a los responsables e iniciar su procesamiento. </w:t>
      </w:r>
    </w:p>
    <w:p w14:paraId="1E9E0E49" w14:textId="77777777" w:rsidR="00482232" w:rsidRPr="003D49EB" w:rsidRDefault="00482232" w:rsidP="009A4683">
      <w:pPr>
        <w:spacing w:after="100" w:afterAutospacing="1"/>
        <w:rPr>
          <w:b/>
          <w:bCs/>
          <w:szCs w:val="20"/>
          <w:shd w:val="clear" w:color="auto" w:fill="FFFFFF"/>
        </w:rPr>
      </w:pPr>
      <w:r w:rsidRPr="003D49EB">
        <w:rPr>
          <w:b/>
          <w:bCs/>
          <w:szCs w:val="20"/>
          <w:shd w:val="clear" w:color="auto" w:fill="FFFFFF"/>
        </w:rPr>
        <w:t xml:space="preserve">Corte IDH. Caso J. Vs. Perú. Excepción Preliminar, Fondo, Reparaciones y Costas. Sentencia de 27 de noviembre de 2013. Serie C No. 275. </w:t>
      </w:r>
    </w:p>
    <w:p w14:paraId="014D5908" w14:textId="33B41533" w:rsidR="00FF0265" w:rsidRPr="003D49EB" w:rsidRDefault="00FF0265" w:rsidP="009A4683">
      <w:pPr>
        <w:spacing w:after="100" w:afterAutospacing="1"/>
        <w:rPr>
          <w:b/>
          <w:bCs/>
          <w:szCs w:val="20"/>
          <w:shd w:val="clear" w:color="auto" w:fill="FFFFFF"/>
        </w:rPr>
      </w:pPr>
      <w:r w:rsidRPr="003D49EB">
        <w:rPr>
          <w:szCs w:val="20"/>
        </w:rPr>
        <w:t>341. De conformidad con el artículo 1.1 de la Convención Americana, la obligación de garantizar los derechos reconocidos en los artículos 5.1 y 5.2 de la Convención Americana implica el deber del Estado de investigar posibles actos de tortura u otros tratos crue</w:t>
      </w:r>
      <w:r w:rsidR="00A867D4" w:rsidRPr="003D49EB">
        <w:rPr>
          <w:szCs w:val="20"/>
        </w:rPr>
        <w:t>les, inhumanos o degradantes</w:t>
      </w:r>
      <w:r w:rsidRPr="003D49EB">
        <w:rPr>
          <w:szCs w:val="20"/>
        </w:rPr>
        <w:t>. Esta obligación de investigar se ve reforzada por lo dispuesto en los artículos 1, 6 y 8 de la Convención Interamericana contra la Tortura que obligan al Estado a “toma[r] medidas efectivas para prevenir y sancionar la tortura en el ámbito de su jurisdicción”, así como a “prevenir y sancionar […] otros tratos o penas crueles, inhumanos o degradantes”. Además, de acuerdo con lo dispuesto en el artículo 8 de dicha Convención, los Estados partes garantizarán a toda persona que denuncie haber sido sometida a tortura en el ámbito de su jurisdicción el derecho a que el caso sea examinado imparcialmente. Asimismo, cuando exista denuncia o razón fundada para creer que se ha cometido un acto de tortura en el ámbito de su jurisdicción, los Estados partes garantizarán que sus respectivas autoridades procederán de oficio y de inmediato a realizar una investigación sobre el caso y a iniciar, cuando corresponda, el respectivo proceso penal.</w:t>
      </w:r>
    </w:p>
    <w:p w14:paraId="0F5D365D" w14:textId="7D3D4334" w:rsidR="00AE0978" w:rsidRPr="003D49EB" w:rsidRDefault="00AE0978" w:rsidP="009A4683">
      <w:pPr>
        <w:tabs>
          <w:tab w:val="left" w:pos="720"/>
          <w:tab w:val="num" w:pos="11028"/>
        </w:tabs>
        <w:autoSpaceDE w:val="0"/>
        <w:autoSpaceDN w:val="0"/>
        <w:adjustRightInd w:val="0"/>
        <w:spacing w:after="100" w:afterAutospacing="1"/>
        <w:rPr>
          <w:rFonts w:eastAsia="Batang"/>
          <w:spacing w:val="-2"/>
          <w:szCs w:val="20"/>
          <w:lang w:val="es-ES_tradnl"/>
        </w:rPr>
      </w:pPr>
      <w:r w:rsidRPr="003D49EB">
        <w:rPr>
          <w:rFonts w:eastAsia="Batang"/>
          <w:spacing w:val="-2"/>
          <w:szCs w:val="20"/>
        </w:rPr>
        <w:t>347.</w:t>
      </w:r>
      <w:r w:rsidRPr="003D49EB">
        <w:rPr>
          <w:rFonts w:eastAsia="Batang"/>
          <w:spacing w:val="-2"/>
          <w:szCs w:val="20"/>
        </w:rPr>
        <w:tab/>
        <w:t>Respecto de ambas razones, la Corte aclara que de la Convención Interamericana contra la Tortura surgen dos supuestos que accionan el deber estatal de investigar: por un lado, cuando se presente denuncia, y, por el otro, cuando exista razón fundada para creer que se ha cometido un acto de tortura en el ámbito de la jurisdicción del Estado.</w:t>
      </w:r>
      <w:r w:rsidRPr="003D49EB">
        <w:rPr>
          <w:rFonts w:eastAsia="Batang"/>
          <w:spacing w:val="-2"/>
          <w:szCs w:val="20"/>
          <w:lang w:val="es-ES_tradnl"/>
        </w:rPr>
        <w:t xml:space="preserve"> En estas situaciones, la decisión de iniciar y adelantar una investigación no es una facultad discrecional del Estado, sino que constituye una </w:t>
      </w:r>
      <w:r w:rsidRPr="003D49EB">
        <w:rPr>
          <w:rFonts w:eastAsia="Batang"/>
          <w:spacing w:val="-2"/>
          <w:szCs w:val="20"/>
          <w:lang w:val="es-ES_tradnl"/>
        </w:rPr>
        <w:lastRenderedPageBreak/>
        <w:t>obligación estatal imperativa que deriva del derecho internacional y no puede desecharse o condicionarse por actos o disposiciones normativas internas de ninguna índole. Además, como ya ha señalado este Tribunal, aún cuando los actos de tortura o tratos crueles, inhumanos o degradantes no hayan sido denunciados ante las autoridades competentes, en todo caso en que existan indicios de su ocurrencia, el Estado deberá iniciar de oficio y de inmediato una investigación imparcial, independiente y minuciosa que permita determinar la naturaleza y el origen de las lesiones advertidas, identificar a los responsables e iniciar su procesamiento. En el presente caso, la Corte considera que las declaraciones de la se</w:t>
      </w:r>
      <w:r w:rsidRPr="003D49EB">
        <w:rPr>
          <w:rFonts w:eastAsia="Batang"/>
          <w:spacing w:val="-2"/>
          <w:szCs w:val="20"/>
          <w:lang w:val="es-VE"/>
        </w:rPr>
        <w:t>ñora J. realizadas en 1992 fueron claras en señalar que al momento de la detención inicial fue apuntada con un revólver, vendada, y manoseada sexualmente, entre otros actos […].</w:t>
      </w:r>
      <w:r w:rsidRPr="003D49EB">
        <w:rPr>
          <w:rFonts w:eastAsia="Batang"/>
          <w:spacing w:val="-2"/>
          <w:szCs w:val="20"/>
          <w:lang w:val="es-ES_tradnl"/>
        </w:rPr>
        <w:t xml:space="preserve"> </w:t>
      </w:r>
      <w:r w:rsidRPr="003D49EB">
        <w:rPr>
          <w:rFonts w:eastAsia="Batang"/>
          <w:spacing w:val="-2"/>
          <w:szCs w:val="20"/>
        </w:rPr>
        <w:t xml:space="preserve">En particular, sobre </w:t>
      </w:r>
      <w:r w:rsidRPr="003D49EB">
        <w:rPr>
          <w:rFonts w:eastAsia="Batang"/>
          <w:spacing w:val="-2"/>
          <w:szCs w:val="20"/>
          <w:lang w:val="es-ES_tradnl"/>
        </w:rPr>
        <w:t xml:space="preserve">el término “manoseo sexual”, este Tribunal difiere de lo señalado por el Estado en cuanto a que de dicho término no se puede inferir un acto de agresión sexual. Es necesario tomar en cuenta que las víctimas de violencia sexual tienden a utilizar términos poco específicos al momento de realizar sus declaraciones y no explicar gráficamente las particularidades anatómicas de lo sucedido. Al respecto, la CVR señaló que </w:t>
      </w:r>
      <w:r w:rsidRPr="003D49EB">
        <w:rPr>
          <w:rFonts w:eastAsia="Batang"/>
          <w:spacing w:val="-2"/>
          <w:szCs w:val="20"/>
        </w:rPr>
        <w:t>“[e]s común que las declarantes utilicen términos confusos o ‘propios’ al momento de describir los actos de violencia sexual a que fueron sometidas” y específicamente se refirió a la utilización del término “manoseos” como una de las formas como las víctimas describían actos de violencia sexual</w:t>
      </w:r>
      <w:r w:rsidR="00D94D43" w:rsidRPr="003D49EB">
        <w:rPr>
          <w:rFonts w:eastAsia="Batang"/>
          <w:spacing w:val="-2"/>
          <w:szCs w:val="20"/>
        </w:rPr>
        <w:t xml:space="preserve"> [...]. </w:t>
      </w:r>
    </w:p>
    <w:p w14:paraId="05FB58F1" w14:textId="77777777" w:rsidR="00AE0978" w:rsidRPr="003D49EB" w:rsidRDefault="00AE0978" w:rsidP="009A4683">
      <w:pPr>
        <w:tabs>
          <w:tab w:val="left" w:pos="720"/>
          <w:tab w:val="num" w:pos="11028"/>
        </w:tabs>
        <w:autoSpaceDE w:val="0"/>
        <w:autoSpaceDN w:val="0"/>
        <w:adjustRightInd w:val="0"/>
        <w:spacing w:after="100" w:afterAutospacing="1"/>
        <w:rPr>
          <w:rFonts w:eastAsia="Batang"/>
          <w:spacing w:val="-2"/>
          <w:szCs w:val="20"/>
          <w:lang w:val="es-VE"/>
        </w:rPr>
      </w:pPr>
      <w:r w:rsidRPr="003D49EB">
        <w:rPr>
          <w:rFonts w:eastAsia="Batang"/>
          <w:spacing w:val="-2"/>
          <w:szCs w:val="20"/>
          <w:lang w:val="es-VE"/>
        </w:rPr>
        <w:t>348.</w:t>
      </w:r>
      <w:r w:rsidRPr="003D49EB">
        <w:rPr>
          <w:rFonts w:eastAsia="Batang"/>
          <w:spacing w:val="-2"/>
          <w:szCs w:val="20"/>
          <w:lang w:val="es-VE"/>
        </w:rPr>
        <w:tab/>
        <w:t>Respecto a la inexistencia de la obligación internacional de investigar “manoseos” sexuales al momento de los hechos, la Corte reitera su jurisprudencia constante</w:t>
      </w:r>
      <w:r w:rsidRPr="003D49EB">
        <w:rPr>
          <w:rFonts w:eastAsia="Batang"/>
          <w:spacing w:val="-2"/>
          <w:szCs w:val="20"/>
          <w:lang w:val="es-ES_tradnl"/>
        </w:rPr>
        <w:t xml:space="preserve"> </w:t>
      </w:r>
      <w:r w:rsidRPr="003D49EB">
        <w:rPr>
          <w:rFonts w:eastAsia="Batang"/>
          <w:spacing w:val="-2"/>
          <w:szCs w:val="20"/>
          <w:lang w:val="es-VE"/>
        </w:rPr>
        <w:t xml:space="preserve">sobre la obligación de investigar posibles actos de tortura o tratos crueles, inhumanos o degradantes. Además, la Corte hace notar que, previo a los </w:t>
      </w:r>
      <w:r w:rsidRPr="003D49EB">
        <w:rPr>
          <w:rFonts w:eastAsia="Batang"/>
          <w:spacing w:val="-2"/>
          <w:szCs w:val="20"/>
        </w:rPr>
        <w:t>hechos del presente caso y durante la época de su investigación, ya existía para el Perú una obligación de investigar actos de violencia contra la mujer, incluyendo la violencia sexual, y otros órganos internacionales, como el Comité para la Eliminación de la Discriminación contra la Mujer y el Consejo Económico y Social de las Naciones Unidas ya se habían pronunciado sobre dicha obligación.</w:t>
      </w:r>
      <w:r w:rsidRPr="003D49EB">
        <w:rPr>
          <w:rFonts w:eastAsia="Batang"/>
          <w:spacing w:val="-2"/>
          <w:szCs w:val="20"/>
          <w:lang w:val="es-ES_tradnl"/>
        </w:rPr>
        <w:t xml:space="preserve"> </w:t>
      </w:r>
      <w:r w:rsidRPr="003D49EB">
        <w:rPr>
          <w:rFonts w:eastAsia="Batang"/>
          <w:spacing w:val="-2"/>
          <w:szCs w:val="20"/>
        </w:rPr>
        <w:t>Al respecto, es preciso indicar que si bien la jurisprudencia</w:t>
      </w:r>
      <w:r w:rsidRPr="003D49EB">
        <w:rPr>
          <w:rFonts w:eastAsia="Batang"/>
          <w:b/>
          <w:spacing w:val="-2"/>
          <w:szCs w:val="20"/>
        </w:rPr>
        <w:t xml:space="preserve"> </w:t>
      </w:r>
      <w:r w:rsidRPr="003D49EB">
        <w:rPr>
          <w:rFonts w:eastAsia="Batang"/>
          <w:spacing w:val="-2"/>
          <w:szCs w:val="20"/>
        </w:rPr>
        <w:t xml:space="preserve">de esta Corte tiene autoridad interpretativa de las obligaciones establecidas en la Convención Americana, la obligación de investigar y juzgar actos de </w:t>
      </w:r>
      <w:r w:rsidRPr="003D49EB">
        <w:rPr>
          <w:rFonts w:eastAsia="Batang"/>
          <w:spacing w:val="-2"/>
          <w:szCs w:val="20"/>
          <w:lang w:val="es-VE"/>
        </w:rPr>
        <w:t>tortura o tratos crueles, inhumanos o degradantes se deriva del deber de garantizar el pleno ejercicio de los derechos reconocidos en la Convención contenido en el artículo 1.1</w:t>
      </w:r>
      <w:r w:rsidRPr="003D49EB">
        <w:rPr>
          <w:rFonts w:eastAsia="Batang"/>
          <w:b/>
          <w:spacing w:val="-2"/>
          <w:szCs w:val="20"/>
          <w:lang w:val="es-VE"/>
        </w:rPr>
        <w:t xml:space="preserve"> </w:t>
      </w:r>
      <w:r w:rsidRPr="003D49EB">
        <w:rPr>
          <w:rFonts w:eastAsia="Batang"/>
          <w:spacing w:val="-2"/>
          <w:szCs w:val="20"/>
        </w:rPr>
        <w:t xml:space="preserve">de la Convención Americana y no depende únicamente de que lo haya reafirmado este Tribunal en su jurisprudencia. La garantía de que violaciones a derechos humanos tales como la vida y la integridad personal sean investigadas está consagrada en la Convención Americana y no nace a partir de su aplicación e interpretación por esta Corte en el ejercicio de su jurisdicción contenciosa, por lo cual debe ser respetada por los Estados Parte desde el momento en que ratifican dicho tratado. Por tanto, el alegato estatal al respecto es improcedente. </w:t>
      </w:r>
    </w:p>
    <w:p w14:paraId="168FDBA6" w14:textId="77777777" w:rsidR="00AE0978" w:rsidRPr="003D49EB" w:rsidRDefault="00AE0978" w:rsidP="009A4683">
      <w:pPr>
        <w:tabs>
          <w:tab w:val="left" w:pos="720"/>
          <w:tab w:val="num" w:pos="11028"/>
        </w:tabs>
        <w:autoSpaceDE w:val="0"/>
        <w:autoSpaceDN w:val="0"/>
        <w:adjustRightInd w:val="0"/>
        <w:spacing w:after="100" w:afterAutospacing="1"/>
        <w:rPr>
          <w:rFonts w:eastAsia="Batang"/>
          <w:b/>
          <w:spacing w:val="-2"/>
          <w:szCs w:val="20"/>
        </w:rPr>
      </w:pPr>
      <w:r w:rsidRPr="003D49EB">
        <w:rPr>
          <w:rFonts w:eastAsia="Batang"/>
          <w:spacing w:val="-2"/>
          <w:szCs w:val="20"/>
        </w:rPr>
        <w:t>349.</w:t>
      </w:r>
      <w:r w:rsidRPr="003D49EB">
        <w:rPr>
          <w:rFonts w:eastAsia="Batang"/>
          <w:spacing w:val="-2"/>
          <w:szCs w:val="20"/>
        </w:rPr>
        <w:tab/>
        <w:t xml:space="preserve">Respecto a los alegados impedimentos para investigar los hechos impuestos por el derecho interno, la Corte recuerda que </w:t>
      </w:r>
      <w:r w:rsidRPr="003D49EB">
        <w:rPr>
          <w:rFonts w:eastAsia="Batang"/>
          <w:spacing w:val="-2"/>
          <w:szCs w:val="20"/>
          <w:lang w:val="es-ES_tradnl"/>
        </w:rPr>
        <w:t>es un principio básico del Derecho Internacional, respaldado por la jurisprudencia internacional, que los Estados deben acatar sus obligaciones convencionales internacionales de buena fe (</w:t>
      </w:r>
      <w:r w:rsidRPr="003D49EB">
        <w:rPr>
          <w:rFonts w:eastAsia="Batang"/>
          <w:i/>
          <w:spacing w:val="-2"/>
          <w:szCs w:val="20"/>
          <w:lang w:val="es-ES_tradnl"/>
        </w:rPr>
        <w:t>pacta sunt servanda</w:t>
      </w:r>
      <w:r w:rsidRPr="003D49EB">
        <w:rPr>
          <w:rFonts w:eastAsia="Batang"/>
          <w:spacing w:val="-2"/>
          <w:szCs w:val="20"/>
          <w:lang w:val="es-ES_tradnl"/>
        </w:rPr>
        <w:t>) y, como ya ha señalado la Corte y lo dispone el artículo 27 de la Convención de Viena sobre el Derecho de los Tratados de 1969, aquellos no pueden por razones de orden interno dejar de cumplirlas. Por lo que, el Estado no puede excusar su incumplimiento de la obligación</w:t>
      </w:r>
      <w:r w:rsidRPr="003D49EB">
        <w:rPr>
          <w:rFonts w:eastAsia="Batang"/>
          <w:spacing w:val="-2"/>
          <w:szCs w:val="20"/>
          <w:lang w:val="es-VE"/>
        </w:rPr>
        <w:t xml:space="preserve"> de investigar los hechos descritos en la ausencia de una tipificación </w:t>
      </w:r>
      <w:r w:rsidRPr="003D49EB">
        <w:rPr>
          <w:rFonts w:eastAsia="Batang"/>
          <w:spacing w:val="-2"/>
          <w:szCs w:val="20"/>
          <w:lang w:val="es-ES_tradnl"/>
        </w:rPr>
        <w:t xml:space="preserve">al momento de los hechos. Sin perjuicio de esto, este Tribunal nota que la legislación vigente en el Perú en 1992 no establecía una tipificación del delito de violación sexual que excluyera la posibilidad de los “manoseos sexuales” pudiesen constituir una violación sexual. </w:t>
      </w:r>
    </w:p>
    <w:p w14:paraId="27EA3314" w14:textId="77777777" w:rsidR="00AE0978" w:rsidRPr="003D49EB" w:rsidRDefault="00AE0978" w:rsidP="009A4683">
      <w:pPr>
        <w:tabs>
          <w:tab w:val="left" w:pos="720"/>
          <w:tab w:val="num" w:pos="11028"/>
        </w:tabs>
        <w:autoSpaceDE w:val="0"/>
        <w:autoSpaceDN w:val="0"/>
        <w:adjustRightInd w:val="0"/>
        <w:spacing w:after="100" w:afterAutospacing="1"/>
        <w:rPr>
          <w:rFonts w:eastAsia="Batang"/>
          <w:b/>
          <w:spacing w:val="-2"/>
          <w:szCs w:val="20"/>
        </w:rPr>
      </w:pPr>
      <w:r w:rsidRPr="003D49EB">
        <w:rPr>
          <w:rFonts w:eastAsia="Batang"/>
          <w:spacing w:val="-2"/>
          <w:szCs w:val="20"/>
          <w:lang w:val="es-ES_tradnl"/>
        </w:rPr>
        <w:lastRenderedPageBreak/>
        <w:t>350.</w:t>
      </w:r>
      <w:r w:rsidRPr="003D49EB">
        <w:rPr>
          <w:rFonts w:eastAsia="Batang"/>
          <w:spacing w:val="-2"/>
          <w:szCs w:val="20"/>
          <w:lang w:val="es-ES_tradnl"/>
        </w:rPr>
        <w:tab/>
        <w:t>Por otro lado, en relación con</w:t>
      </w:r>
      <w:r w:rsidRPr="003D49EB">
        <w:rPr>
          <w:rFonts w:eastAsia="Batang"/>
          <w:spacing w:val="-2"/>
          <w:szCs w:val="20"/>
        </w:rPr>
        <w:t xml:space="preserve"> el impedimento para iniciar una investigación de oficio debido a que el delito de violación era de acción privada, este Tribunal reitera que</w:t>
      </w:r>
      <w:r w:rsidRPr="003D49EB">
        <w:rPr>
          <w:rFonts w:eastAsia="Batang"/>
          <w:b/>
          <w:spacing w:val="-2"/>
          <w:szCs w:val="20"/>
        </w:rPr>
        <w:t xml:space="preserve"> </w:t>
      </w:r>
      <w:r w:rsidRPr="003D49EB">
        <w:rPr>
          <w:rFonts w:eastAsia="Batang"/>
          <w:spacing w:val="-2"/>
          <w:szCs w:val="20"/>
        </w:rPr>
        <w:t>cuando exista razón fundada para creer que se ha cometido un acto de tortura o malos tratos en el ámbito de la jurisdicción del Estado,</w:t>
      </w:r>
      <w:r w:rsidRPr="003D49EB">
        <w:rPr>
          <w:rFonts w:eastAsia="Batang"/>
          <w:spacing w:val="-2"/>
          <w:szCs w:val="20"/>
          <w:lang w:val="es-ES_tradnl"/>
        </w:rPr>
        <w:t xml:space="preserve"> la decisión de iniciar y adelantar una investigación no es una facultad discrecional, sino que el deber de investigar constituye una obligación estatal imperativa que deriva del derecho internacional y no puede desecharse o condicionarse por actos o disposiciones normativas internas de ninguna índole […]. Adicionalmente, este Tribunal</w:t>
      </w:r>
      <w:r w:rsidR="008B18CE" w:rsidRPr="003D49EB">
        <w:rPr>
          <w:rFonts w:eastAsia="Batang"/>
          <w:spacing w:val="-2"/>
          <w:szCs w:val="20"/>
          <w:lang w:val="es-ES_tradnl"/>
        </w:rPr>
        <w:t xml:space="preserve"> </w:t>
      </w:r>
      <w:r w:rsidRPr="003D49EB">
        <w:rPr>
          <w:rFonts w:eastAsia="Batang"/>
          <w:spacing w:val="-2"/>
          <w:szCs w:val="20"/>
        </w:rPr>
        <w:t>advierte que el artículo 7.b de la Convención de Belém do Pará, obliga de manera específica a los Estados Partes, desde su entrada en vigor respecto del particular Estado, a utilizar la debida diligencia para prevenir, sancionar y erradicar la violencia contra la mujer. De tal modo, ante un acto de violencia contra una mujer, resulta particularmente importante que las autoridades a cargo de la investigación la lleven adelante con determinación y eficacia, teniendo en cuenta el deber de la sociedad de rechazar la violencia contra las mujeres y las obligaciones del Estado de erradicarla y de brindar confianza a las víctimas en las instituciones estatales para su protección. Por tanto, es necesario que los Estados garanticen que sus legislaciones internas no impongan condiciones diferenciadas para la investigación de agresiones a la integridad personal de índole sexual. Al respecto, la Corte nota que en la legislación actualmente vigente en el Perú la investigación de los delitos contra la libertad sexual puede ser iniciada de oficio.</w:t>
      </w:r>
    </w:p>
    <w:p w14:paraId="5EB65833" w14:textId="77777777" w:rsidR="00AE0978" w:rsidRPr="003D49EB" w:rsidRDefault="00AE0978" w:rsidP="009A4683">
      <w:pPr>
        <w:tabs>
          <w:tab w:val="left" w:pos="720"/>
          <w:tab w:val="num" w:pos="11028"/>
        </w:tabs>
        <w:autoSpaceDE w:val="0"/>
        <w:autoSpaceDN w:val="0"/>
        <w:adjustRightInd w:val="0"/>
        <w:spacing w:after="100" w:afterAutospacing="1"/>
        <w:rPr>
          <w:rFonts w:eastAsia="Batang"/>
          <w:b/>
          <w:spacing w:val="-2"/>
          <w:szCs w:val="20"/>
        </w:rPr>
      </w:pPr>
      <w:r w:rsidRPr="003D49EB">
        <w:rPr>
          <w:rFonts w:eastAsia="Batang"/>
          <w:spacing w:val="-2"/>
          <w:szCs w:val="20"/>
        </w:rPr>
        <w:t>351.</w:t>
      </w:r>
      <w:r w:rsidRPr="003D49EB">
        <w:rPr>
          <w:rFonts w:eastAsia="Batang"/>
          <w:spacing w:val="-2"/>
          <w:szCs w:val="20"/>
        </w:rPr>
        <w:tab/>
        <w:t xml:space="preserve">La tercera </w:t>
      </w:r>
      <w:r w:rsidRPr="003D49EB">
        <w:rPr>
          <w:rFonts w:eastAsia="Batang"/>
          <w:spacing w:val="-2"/>
          <w:szCs w:val="20"/>
          <w:lang w:val="es-VE"/>
        </w:rPr>
        <w:t>justificación dada por el Estado para no iniciar una investigación, es que la presunta víctima no denunció los hechos en otras oportunidades distintas a las ya señaladas. Al respecto, la Corte advierte que para que surja la obligación de investigar no es necesario que la presunta víctima denuncie los hechos más de una vez. Lo que es más, en casos de alegada violencia sexual</w:t>
      </w:r>
      <w:r w:rsidRPr="003D49EB">
        <w:rPr>
          <w:rFonts w:eastAsia="Batang"/>
          <w:spacing w:val="-2"/>
          <w:szCs w:val="20"/>
        </w:rPr>
        <w:t xml:space="preserve">, la investigación debe intentar evitar en lo posible la revictimización o </w:t>
      </w:r>
      <w:proofErr w:type="spellStart"/>
      <w:r w:rsidRPr="003D49EB">
        <w:rPr>
          <w:rFonts w:eastAsia="Batang"/>
          <w:spacing w:val="-2"/>
          <w:szCs w:val="20"/>
        </w:rPr>
        <w:t>reexperimentación</w:t>
      </w:r>
      <w:proofErr w:type="spellEnd"/>
      <w:r w:rsidRPr="003D49EB">
        <w:rPr>
          <w:rFonts w:eastAsia="Batang"/>
          <w:spacing w:val="-2"/>
          <w:szCs w:val="20"/>
        </w:rPr>
        <w:t xml:space="preserve"> de la experiencia traumática cada vez que la víctima recuerda o declara sobre lo ocurrido. Por tanto, no resulta razonable exigir que las víctimas de violencia sexual deban reiterar en cada una de sus declaraciones o cada vez que se dirijan a las autoridades los mencionados maltratos de naturaleza sexual. Además, la Corte reitera que en el caso concreto de la señora J., ella denunció los referidos maltratos en las dos oportunidades que le fueron conferidas para declarar ante las autoridades: la manifestación policial y su declaración instructiva.</w:t>
      </w:r>
    </w:p>
    <w:p w14:paraId="14627B21" w14:textId="32480B9E" w:rsidR="00AE0978" w:rsidRPr="003D49EB" w:rsidRDefault="00AE0978" w:rsidP="009A4683">
      <w:pPr>
        <w:tabs>
          <w:tab w:val="left" w:pos="720"/>
          <w:tab w:val="num" w:pos="11028"/>
        </w:tabs>
        <w:autoSpaceDE w:val="0"/>
        <w:autoSpaceDN w:val="0"/>
        <w:adjustRightInd w:val="0"/>
        <w:spacing w:after="100" w:afterAutospacing="1"/>
        <w:rPr>
          <w:rFonts w:eastAsia="Batang"/>
          <w:b/>
          <w:spacing w:val="-2"/>
          <w:szCs w:val="20"/>
        </w:rPr>
      </w:pPr>
      <w:r w:rsidRPr="003D49EB">
        <w:rPr>
          <w:rFonts w:eastAsia="Batang"/>
          <w:spacing w:val="-2"/>
          <w:szCs w:val="20"/>
        </w:rPr>
        <w:t>352.</w:t>
      </w:r>
      <w:r w:rsidRPr="003D49EB">
        <w:rPr>
          <w:rFonts w:eastAsia="Batang"/>
          <w:spacing w:val="-2"/>
          <w:szCs w:val="20"/>
        </w:rPr>
        <w:tab/>
        <w:t>La cuarta y última de las justificaciones dadas por el Estado es que “</w:t>
      </w:r>
      <w:r w:rsidRPr="003D49EB">
        <w:rPr>
          <w:rFonts w:eastAsia="Batang"/>
          <w:spacing w:val="-2"/>
          <w:szCs w:val="20"/>
          <w:lang w:val="es-VE"/>
        </w:rPr>
        <w:t>ha sido usual que las procesadas por terrorismo aleguen indebidamente</w:t>
      </w:r>
      <w:r w:rsidRPr="003D49EB">
        <w:rPr>
          <w:rFonts w:eastAsia="Batang"/>
          <w:spacing w:val="-2"/>
          <w:szCs w:val="20"/>
        </w:rPr>
        <w:t xml:space="preserve"> </w:t>
      </w:r>
      <w:r w:rsidRPr="003D49EB">
        <w:rPr>
          <w:rFonts w:eastAsia="Batang"/>
          <w:spacing w:val="-2"/>
          <w:szCs w:val="20"/>
          <w:lang w:val="es-VE"/>
        </w:rPr>
        <w:t>haber sido víctimas de violaciones sexuales u otros actos de contenido sexual, a pesar de que dichas aseveraciones no se corroboran con los certificados médicos</w:t>
      </w:r>
      <w:r w:rsidRPr="003D49EB">
        <w:rPr>
          <w:rFonts w:eastAsia="Batang"/>
          <w:spacing w:val="-2"/>
          <w:szCs w:val="20"/>
        </w:rPr>
        <w:t xml:space="preserve"> </w:t>
      </w:r>
      <w:r w:rsidRPr="003D49EB">
        <w:rPr>
          <w:rFonts w:eastAsia="Batang"/>
          <w:spacing w:val="-2"/>
          <w:szCs w:val="20"/>
          <w:lang w:val="es-VE"/>
        </w:rPr>
        <w:t>[l]egales que se les practicaron, teniendo como única finalidad cuestionar la legalidad</w:t>
      </w:r>
      <w:r w:rsidRPr="003D49EB">
        <w:rPr>
          <w:rFonts w:eastAsia="Batang"/>
          <w:spacing w:val="-2"/>
          <w:szCs w:val="20"/>
        </w:rPr>
        <w:t xml:space="preserve"> </w:t>
      </w:r>
      <w:r w:rsidRPr="003D49EB">
        <w:rPr>
          <w:rFonts w:eastAsia="Batang"/>
          <w:spacing w:val="-2"/>
          <w:szCs w:val="20"/>
          <w:lang w:val="es-VE"/>
        </w:rPr>
        <w:t xml:space="preserve">del proceso penal”. Este Tribunal observa que dicho alegato evidencia una concepción que (i) asume automáticamente que las denuncias de violencia sexual son falsas, contrario al deber de iniciar una investigación </w:t>
      </w:r>
      <w:r w:rsidRPr="003D49EB">
        <w:rPr>
          <w:rFonts w:eastAsia="Batang"/>
          <w:spacing w:val="-2"/>
          <w:szCs w:val="20"/>
        </w:rPr>
        <w:t>de oficio cada vez que se presente una denuncia o existan indicios de su ocurrencia […]</w:t>
      </w:r>
      <w:r w:rsidRPr="003D49EB">
        <w:rPr>
          <w:rFonts w:eastAsia="Batang"/>
          <w:spacing w:val="-2"/>
          <w:szCs w:val="20"/>
          <w:lang w:val="es-VE"/>
        </w:rPr>
        <w:t xml:space="preserve">; (ii) es contraria al contexto de violencia sexual existente en la época de los hechos […]; (iii) desconoce que </w:t>
      </w:r>
      <w:r w:rsidRPr="003D49EB">
        <w:rPr>
          <w:rFonts w:eastAsia="Batang"/>
          <w:spacing w:val="-2"/>
          <w:szCs w:val="20"/>
        </w:rPr>
        <w:t xml:space="preserve">no todos los casos de violación y/o violación sexual ocasionan lesiones físicas verificables a través de un examen médico </w:t>
      </w:r>
      <w:r w:rsidR="00D94D43" w:rsidRPr="003D49EB">
        <w:rPr>
          <w:rFonts w:eastAsia="Batang"/>
          <w:spacing w:val="-2"/>
          <w:szCs w:val="20"/>
        </w:rPr>
        <w:t>[...]</w:t>
      </w:r>
      <w:r w:rsidRPr="003D49EB">
        <w:rPr>
          <w:rFonts w:eastAsia="Batang"/>
          <w:spacing w:val="-2"/>
          <w:szCs w:val="20"/>
        </w:rPr>
        <w:t>, y (iv) muestra un criterio discrecional y discriminatorio con base en la situación procesal de las mujeres para no iniciar una investigación por una alegada violación o violencia sexual</w:t>
      </w:r>
      <w:r w:rsidRPr="003D49EB">
        <w:rPr>
          <w:rFonts w:eastAsia="Batang"/>
          <w:spacing w:val="-2"/>
          <w:szCs w:val="20"/>
          <w:lang w:val="es-VE"/>
        </w:rPr>
        <w:t xml:space="preserve">. Al respecto, la Corte recuerda que la investigación que debe iniciar el Estado, </w:t>
      </w:r>
      <w:r w:rsidRPr="003D49EB">
        <w:rPr>
          <w:rFonts w:eastAsia="Batang"/>
          <w:spacing w:val="-2"/>
          <w:szCs w:val="20"/>
        </w:rPr>
        <w:t xml:space="preserve">una vez que las autoridades estatales tengan conocimiento del hecho, debe ser una investigación seria, imparcial y efectiva </w:t>
      </w:r>
      <w:r w:rsidRPr="003D49EB">
        <w:rPr>
          <w:rFonts w:eastAsia="Batang"/>
          <w:spacing w:val="-2"/>
          <w:szCs w:val="20"/>
          <w:lang w:val="es-ES_tradnl"/>
        </w:rPr>
        <w:t>[…]</w:t>
      </w:r>
      <w:r w:rsidRPr="003D49EB">
        <w:rPr>
          <w:rFonts w:eastAsia="Batang"/>
          <w:spacing w:val="-2"/>
          <w:szCs w:val="20"/>
        </w:rPr>
        <w:t>. Por tanto, el inicio de la investigación no puede estar condicionado por quien realiza la denuncia ni por la creencia de las autoridades, antes de iniciar la investigación, de que las alegaciones realizadas son falsas.</w:t>
      </w:r>
    </w:p>
    <w:p w14:paraId="211A4DA6" w14:textId="77777777" w:rsidR="00AE0978" w:rsidRPr="003D49EB" w:rsidRDefault="00AE0978" w:rsidP="009A4683">
      <w:pPr>
        <w:tabs>
          <w:tab w:val="left" w:pos="720"/>
          <w:tab w:val="num" w:pos="11028"/>
        </w:tabs>
        <w:autoSpaceDE w:val="0"/>
        <w:autoSpaceDN w:val="0"/>
        <w:adjustRightInd w:val="0"/>
        <w:spacing w:after="100" w:afterAutospacing="1"/>
        <w:rPr>
          <w:rFonts w:eastAsia="Batang"/>
          <w:b/>
          <w:spacing w:val="-2"/>
          <w:szCs w:val="20"/>
          <w:lang w:val="es-ES_tradnl"/>
        </w:rPr>
      </w:pPr>
      <w:r w:rsidRPr="003D49EB">
        <w:rPr>
          <w:rFonts w:eastAsia="Batang"/>
          <w:spacing w:val="-2"/>
          <w:szCs w:val="20"/>
          <w:lang w:val="es-ES_tradnl"/>
        </w:rPr>
        <w:lastRenderedPageBreak/>
        <w:t>353.</w:t>
      </w:r>
      <w:r w:rsidRPr="003D49EB">
        <w:rPr>
          <w:rFonts w:eastAsia="Batang"/>
          <w:spacing w:val="-2"/>
          <w:szCs w:val="20"/>
          <w:lang w:val="es-ES_tradnl"/>
        </w:rPr>
        <w:tab/>
        <w:t xml:space="preserve">En suma, este Tribunal considera que el Estado ha debido iniciar una investigación en el presente caso tras la primera denuncia realizada el 21 de abril de 1992 por la señora J. La falta de investigación impide que el Estado presente una explicación satisfactoria y convincente de los maltratos alegados y desvirtuar las alegaciones sobre su responsabilidad, mediante elementos probatorios adecuados </w:t>
      </w:r>
      <w:r w:rsidR="00D94D43" w:rsidRPr="003D49EB">
        <w:rPr>
          <w:rFonts w:eastAsia="Batang"/>
          <w:spacing w:val="-2"/>
          <w:szCs w:val="20"/>
          <w:lang w:val="es-ES_tradnl"/>
        </w:rPr>
        <w:t xml:space="preserve">[...]. </w:t>
      </w:r>
    </w:p>
    <w:p w14:paraId="092196AD" w14:textId="77777777" w:rsidR="008D5C7E" w:rsidRPr="003D49EB" w:rsidRDefault="00AE0978" w:rsidP="009A4683">
      <w:pPr>
        <w:tabs>
          <w:tab w:val="left" w:pos="720"/>
          <w:tab w:val="num" w:pos="11028"/>
        </w:tabs>
        <w:autoSpaceDE w:val="0"/>
        <w:autoSpaceDN w:val="0"/>
        <w:adjustRightInd w:val="0"/>
        <w:spacing w:after="100" w:afterAutospacing="1"/>
        <w:rPr>
          <w:rFonts w:eastAsia="Batang"/>
          <w:spacing w:val="-2"/>
          <w:szCs w:val="20"/>
        </w:rPr>
      </w:pPr>
      <w:r w:rsidRPr="003D49EB">
        <w:rPr>
          <w:rFonts w:eastAsia="Batang"/>
          <w:spacing w:val="-2"/>
          <w:szCs w:val="20"/>
        </w:rPr>
        <w:t>375.</w:t>
      </w:r>
      <w:r w:rsidRPr="003D49EB">
        <w:rPr>
          <w:rFonts w:eastAsia="Batang"/>
          <w:spacing w:val="-2"/>
          <w:szCs w:val="20"/>
        </w:rPr>
        <w:tab/>
        <w:t>Adicionalmente, este Tribunal recuerda que el Estado tiene la obligación de iniciar de oficio una investigación en todo caso que se tenga noticia de la posible ocurrencia de actos de</w:t>
      </w:r>
      <w:r w:rsidRPr="003D49EB">
        <w:rPr>
          <w:rFonts w:eastAsia="Batang"/>
          <w:spacing w:val="-2"/>
          <w:szCs w:val="20"/>
          <w:lang w:val="es-ES_tradnl"/>
        </w:rPr>
        <w:t xml:space="preserve"> tortura o tratos crueles, inhumanos o degradantes […]</w:t>
      </w:r>
      <w:r w:rsidRPr="003D49EB">
        <w:rPr>
          <w:rFonts w:eastAsia="Batang"/>
          <w:spacing w:val="-2"/>
          <w:szCs w:val="20"/>
        </w:rPr>
        <w:t>. No obstante, la Corte advierte que no consta en el expediente que los alegados maltratos sufridos por la señora J. en la DINCOTE hayan sido informados al Estado o que éste haya tenido noticia de los mismos a nivel interno. Por tanto, la Corte considera que no se ha demostrado que el Estado haya incumplido con su deber de investigar dichos alegados hechos.</w:t>
      </w:r>
    </w:p>
    <w:p w14:paraId="689E1541" w14:textId="29AD6C2D" w:rsidR="0044532E" w:rsidRPr="003D49EB" w:rsidRDefault="00E70056" w:rsidP="009A4683">
      <w:pPr>
        <w:spacing w:after="100" w:afterAutospacing="1"/>
        <w:rPr>
          <w:b/>
          <w:bCs/>
          <w:szCs w:val="20"/>
          <w:shd w:val="clear" w:color="auto" w:fill="FFFFFF"/>
        </w:rPr>
      </w:pPr>
      <w:r w:rsidRPr="00E70056">
        <w:rPr>
          <w:b/>
          <w:bCs/>
          <w:szCs w:val="20"/>
          <w:shd w:val="clear" w:color="auto" w:fill="FFFFFF"/>
        </w:rPr>
        <w:t>Corte IDH. Caso Maldonado Vargas y otros Vs. Chile. Fondo, Reparaciones y Costas. Sentencia de 2 de septiembre de 2015. Serie C No. 300.</w:t>
      </w:r>
      <w:r>
        <w:rPr>
          <w:rStyle w:val="Refdenotaalpie"/>
          <w:b/>
          <w:bCs/>
          <w:szCs w:val="20"/>
          <w:shd w:val="clear" w:color="auto" w:fill="FFFFFF"/>
        </w:rPr>
        <w:footnoteReference w:id="72"/>
      </w:r>
      <w:r w:rsidR="0044532E" w:rsidRPr="003D49EB">
        <w:rPr>
          <w:b/>
          <w:bCs/>
          <w:szCs w:val="20"/>
          <w:shd w:val="clear" w:color="auto" w:fill="FFFFFF"/>
        </w:rPr>
        <w:t xml:space="preserve"> </w:t>
      </w:r>
    </w:p>
    <w:p w14:paraId="13A2577A" w14:textId="10F26B44" w:rsidR="00FF0265" w:rsidRPr="003D49EB" w:rsidRDefault="00FF0265" w:rsidP="009A4683">
      <w:pPr>
        <w:pStyle w:val="Prrafodelista"/>
        <w:spacing w:before="120" w:after="100" w:afterAutospacing="1"/>
        <w:ind w:left="0"/>
        <w:rPr>
          <w:szCs w:val="20"/>
        </w:rPr>
      </w:pPr>
      <w:r w:rsidRPr="003D49EB">
        <w:rPr>
          <w:szCs w:val="20"/>
        </w:rPr>
        <w:t xml:space="preserve">75. </w:t>
      </w:r>
      <w:r w:rsidR="00A867D4" w:rsidRPr="003D49EB">
        <w:rPr>
          <w:szCs w:val="20"/>
        </w:rPr>
        <w:tab/>
      </w:r>
      <w:r w:rsidRPr="003D49EB">
        <w:rPr>
          <w:szCs w:val="20"/>
        </w:rPr>
        <w:t>La Corte ha considerado que el Estado está en la obligación de proveer recursos judiciales efectivos a las personas que aleguen ser víctimas de violaciones de derechos humanos (artículo 25 de la Convención), recursos que deben ser sustanciados de conformidad con las reglas del debido proceso legal (artículo 8.1 de la Convención), todo ello dentro de la obligación general, a cargo de los mismos Estados, de garantizar el libre y pleno ejercicio de los derechos reconocidos por la Convención a toda persona que se encuentre bajo su jurisdicción (artículo 1.1 de la Convención). En relación con lo anterior, se “debe asegurar, en tiempo razonable, el derecho de las presuntas víctimas o sus familiares a que se haga todo lo necesario para conocer la verdad de lo sucedido y se sancione a</w:t>
      </w:r>
      <w:r w:rsidR="00A867D4" w:rsidRPr="003D49EB">
        <w:rPr>
          <w:szCs w:val="20"/>
        </w:rPr>
        <w:t xml:space="preserve"> los eventuales responsables”</w:t>
      </w:r>
      <w:r w:rsidRPr="003D49EB">
        <w:rPr>
          <w:szCs w:val="20"/>
        </w:rPr>
        <w:t>. El deber mencionado se ve especificado y complementado por la Convención Interamericana para Prevenir y Sancionar que, de conformidad a sus artículos 1, 6 y 8, impone los deberes de “realizar una investigación” y “sancionar”, en relación con actos de tortura. De modo consecuente, existe un deber estatal de investigar los hechos, que es una obligación de medio y no de resultado, pero que debe ser asumida por los Estados como un deber jurídico propio y no como una simple formalidad condenada de antemano a ser infructuosa, o como una mera gestión de intereses particulares, que dependa de la iniciativa procesal de las víctimas o sus familiares, o de la aportación privada de elementos probatorios</w:t>
      </w:r>
      <w:r w:rsidR="00A867D4" w:rsidRPr="003D49EB">
        <w:rPr>
          <w:szCs w:val="20"/>
        </w:rPr>
        <w:t>.</w:t>
      </w:r>
    </w:p>
    <w:p w14:paraId="4C1D14A5" w14:textId="77777777" w:rsidR="00384B5C" w:rsidRPr="003D49EB" w:rsidRDefault="00384B5C" w:rsidP="009A4683">
      <w:pPr>
        <w:pStyle w:val="Prrafodelista"/>
        <w:spacing w:before="120" w:after="100" w:afterAutospacing="1"/>
        <w:ind w:left="0"/>
        <w:rPr>
          <w:szCs w:val="20"/>
        </w:rPr>
      </w:pPr>
    </w:p>
    <w:p w14:paraId="56029645" w14:textId="7934DECC" w:rsidR="0044532E" w:rsidRPr="003D49EB" w:rsidRDefault="0044532E" w:rsidP="009A4683">
      <w:pPr>
        <w:pStyle w:val="Prrafodelista"/>
        <w:spacing w:before="120" w:after="100" w:afterAutospacing="1"/>
        <w:ind w:left="0"/>
        <w:rPr>
          <w:szCs w:val="20"/>
        </w:rPr>
      </w:pPr>
      <w:r w:rsidRPr="003D49EB">
        <w:rPr>
          <w:szCs w:val="20"/>
        </w:rPr>
        <w:t>76.</w:t>
      </w:r>
      <w:r w:rsidRPr="003D49EB">
        <w:rPr>
          <w:szCs w:val="20"/>
        </w:rPr>
        <w:tab/>
        <w:t xml:space="preserve">De conformidad con lo expresado por esta Corte en su jurisprudencia constante, una vez que las autoridades estatales tengan conocimiento de un hecho que podría ser constitutivo de tortura, deben “iniciar </w:t>
      </w:r>
      <w:r w:rsidRPr="003D49EB">
        <w:rPr>
          <w:i/>
          <w:szCs w:val="20"/>
        </w:rPr>
        <w:t>ex officio</w:t>
      </w:r>
      <w:r w:rsidRPr="003D49EB">
        <w:rPr>
          <w:szCs w:val="20"/>
        </w:rPr>
        <w:t xml:space="preserve"> y sin dilación, una investigación seria, imparcial y efectiva” por todos los medios legales disponibles y orientada a la determinación de la verdad y a la persecución, captura, enjuiciamiento y eventual castigo de todos los responsables intelectuales y materiales de los hechos, especialmente cuando están o puedan estar involucrados agentes estatales. Además, </w:t>
      </w:r>
      <w:r w:rsidRPr="003D49EB">
        <w:rPr>
          <w:szCs w:val="20"/>
        </w:rPr>
        <w:lastRenderedPageBreak/>
        <w:t xml:space="preserve">en relación con actos de tortura, el artículo 8 de la Convención Interamericana para Prevenir y Sancionar la Tortura establece que las “autoridades </w:t>
      </w:r>
      <w:proofErr w:type="spellStart"/>
      <w:r w:rsidRPr="003D49EB">
        <w:rPr>
          <w:szCs w:val="20"/>
        </w:rPr>
        <w:t>proced</w:t>
      </w:r>
      <w:proofErr w:type="spellEnd"/>
      <w:r w:rsidRPr="003D49EB">
        <w:rPr>
          <w:szCs w:val="20"/>
        </w:rPr>
        <w:t>[</w:t>
      </w:r>
      <w:proofErr w:type="spellStart"/>
      <w:r w:rsidRPr="003D49EB">
        <w:rPr>
          <w:szCs w:val="20"/>
        </w:rPr>
        <w:t>an</w:t>
      </w:r>
      <w:proofErr w:type="spellEnd"/>
      <w:r w:rsidRPr="003D49EB">
        <w:rPr>
          <w:szCs w:val="20"/>
        </w:rPr>
        <w:t>] de oficio y de inmediato a realizar una investigación sobre el caso”, cuando “exista denuncia o razón fundada para creer que se ha cometido un acto de tortura en el ámbito de [la] jurisdicción [estatal]”.</w:t>
      </w:r>
    </w:p>
    <w:p w14:paraId="5E2C468A" w14:textId="77777777" w:rsidR="00384B5C" w:rsidRPr="003D49EB" w:rsidRDefault="00384B5C" w:rsidP="009A4683">
      <w:pPr>
        <w:pStyle w:val="Prrafodelista"/>
        <w:spacing w:before="120" w:after="100" w:afterAutospacing="1"/>
        <w:ind w:left="0"/>
        <w:rPr>
          <w:szCs w:val="20"/>
        </w:rPr>
      </w:pPr>
    </w:p>
    <w:p w14:paraId="3C4BC2B0" w14:textId="459A0B80" w:rsidR="0044532E" w:rsidRPr="003D49EB" w:rsidRDefault="0044532E" w:rsidP="009A4683">
      <w:pPr>
        <w:pStyle w:val="Prrafodelista"/>
        <w:spacing w:before="120" w:after="100" w:afterAutospacing="1"/>
        <w:ind w:left="0"/>
        <w:rPr>
          <w:szCs w:val="20"/>
        </w:rPr>
      </w:pPr>
      <w:r w:rsidRPr="003D49EB">
        <w:rPr>
          <w:szCs w:val="20"/>
        </w:rPr>
        <w:t>79.</w:t>
      </w:r>
      <w:r w:rsidRPr="003D49EB">
        <w:rPr>
          <w:szCs w:val="20"/>
        </w:rPr>
        <w:tab/>
        <w:t xml:space="preserve">En relación con las otras cuatro presuntas víctimas de este caso que no intervinieron en la causa 1058-2001, la Corte constata que el Estado tuvo noticia de los hechos a ser investigados desde que el 10 de septiembre de 2001 fecha en la cual la CODEPU interpuso un recurso ante la Corte Suprema solicitando la revisión, y en subsidio la declaración de nulidad en contra de las mencionadas sentencias de condena emitidas en la causa ROL 1-73 […]. Sin embargo, la causa ROL 179-2013, que también se refiere a los hechos de tortura por esas personas fue iniciada el 28 de agosto de 2013, aproximadamente 12 años después de que el Estado tuviera noticia de los hechos por medio de la interposición de un recurso ante la Corte Suprema solicitando la revisión de las sentencias dictadas en el marco del proceso ROL 1-73 […]. </w:t>
      </w:r>
    </w:p>
    <w:p w14:paraId="41B803AB" w14:textId="77777777" w:rsidR="00384B5C" w:rsidRPr="003D49EB" w:rsidRDefault="00384B5C" w:rsidP="009A4683">
      <w:pPr>
        <w:pStyle w:val="Prrafodelista"/>
        <w:spacing w:before="120" w:after="100" w:afterAutospacing="1"/>
        <w:ind w:left="0"/>
        <w:rPr>
          <w:szCs w:val="20"/>
        </w:rPr>
      </w:pPr>
    </w:p>
    <w:p w14:paraId="4178A9D0" w14:textId="77777777" w:rsidR="0044532E" w:rsidRPr="003D49EB" w:rsidRDefault="0044532E" w:rsidP="009A4683">
      <w:pPr>
        <w:pStyle w:val="Prrafodelista"/>
        <w:spacing w:before="120" w:after="100" w:afterAutospacing="1"/>
        <w:ind w:left="0"/>
        <w:rPr>
          <w:szCs w:val="20"/>
        </w:rPr>
      </w:pPr>
      <w:r w:rsidRPr="003D49EB">
        <w:rPr>
          <w:szCs w:val="20"/>
        </w:rPr>
        <w:t>80.</w:t>
      </w:r>
      <w:r w:rsidRPr="003D49EB">
        <w:rPr>
          <w:szCs w:val="20"/>
        </w:rPr>
        <w:tab/>
        <w:t xml:space="preserve">Por tanto, este Tribunal encuentra que resulta excesiva la demora del Estado en iniciar esa investigación, </w:t>
      </w:r>
      <w:r w:rsidRPr="003D49EB">
        <w:rPr>
          <w:rFonts w:cs="Tahoma"/>
          <w:szCs w:val="20"/>
        </w:rPr>
        <w:t>y</w:t>
      </w:r>
      <w:r w:rsidRPr="003D49EB">
        <w:rPr>
          <w:szCs w:val="20"/>
        </w:rPr>
        <w:t xml:space="preserve"> que ha faltado a su obligación de iniciar una investigación en violación del artículo 8.1 de la Convención, en relación con el artículo 1.1 de la misma, y los artículos 1, 6 y 8 de la Convención Interamericana contra la Tortura, en perjuicio de los señores </w:t>
      </w:r>
      <w:proofErr w:type="spellStart"/>
      <w:r w:rsidRPr="003D49EB">
        <w:rPr>
          <w:rFonts w:cs="Tahoma"/>
          <w:szCs w:val="20"/>
        </w:rPr>
        <w:t>Ivar</w:t>
      </w:r>
      <w:proofErr w:type="spellEnd"/>
      <w:r w:rsidRPr="003D49EB">
        <w:rPr>
          <w:rFonts w:cs="Tahoma"/>
          <w:szCs w:val="20"/>
        </w:rPr>
        <w:t xml:space="preserve"> </w:t>
      </w:r>
      <w:proofErr w:type="spellStart"/>
      <w:r w:rsidRPr="003D49EB">
        <w:rPr>
          <w:rFonts w:cs="Tahoma"/>
          <w:szCs w:val="20"/>
        </w:rPr>
        <w:t>Onoldo</w:t>
      </w:r>
      <w:proofErr w:type="spellEnd"/>
      <w:r w:rsidRPr="003D49EB">
        <w:rPr>
          <w:rFonts w:cs="Tahoma"/>
          <w:szCs w:val="20"/>
        </w:rPr>
        <w:t xml:space="preserve"> Rojas </w:t>
      </w:r>
      <w:proofErr w:type="spellStart"/>
      <w:r w:rsidRPr="003D49EB">
        <w:rPr>
          <w:rFonts w:cs="Tahoma"/>
          <w:szCs w:val="20"/>
        </w:rPr>
        <w:t>Ravanal</w:t>
      </w:r>
      <w:proofErr w:type="spellEnd"/>
      <w:r w:rsidRPr="003D49EB">
        <w:rPr>
          <w:rFonts w:cs="Tahoma"/>
          <w:szCs w:val="20"/>
        </w:rPr>
        <w:t xml:space="preserve">, Alberto </w:t>
      </w:r>
      <w:proofErr w:type="spellStart"/>
      <w:r w:rsidRPr="003D49EB">
        <w:rPr>
          <w:rFonts w:cs="Tahoma"/>
          <w:szCs w:val="20"/>
        </w:rPr>
        <w:t>Salustio</w:t>
      </w:r>
      <w:proofErr w:type="spellEnd"/>
      <w:r w:rsidRPr="003D49EB">
        <w:rPr>
          <w:rFonts w:cs="Tahoma"/>
          <w:szCs w:val="20"/>
        </w:rPr>
        <w:t xml:space="preserve"> Bustamante Rojas, Álvaro Yáñez del Villar y Omar Humberto Maldonado Vargas</w:t>
      </w:r>
      <w:r w:rsidRPr="003D49EB">
        <w:rPr>
          <w:szCs w:val="20"/>
        </w:rPr>
        <w:t xml:space="preserve">. </w:t>
      </w:r>
    </w:p>
    <w:p w14:paraId="76D91320" w14:textId="00BFB9CD" w:rsidR="00E7576F" w:rsidRPr="003D49EB" w:rsidRDefault="00E7576F" w:rsidP="009A4683">
      <w:pPr>
        <w:pStyle w:val="Prrafodelista"/>
        <w:spacing w:before="120" w:after="100" w:afterAutospacing="1"/>
        <w:ind w:left="0"/>
        <w:rPr>
          <w:szCs w:val="20"/>
        </w:rPr>
      </w:pPr>
    </w:p>
    <w:p w14:paraId="564794A9" w14:textId="2AABCE2E" w:rsidR="00E7576F" w:rsidRPr="003D49EB" w:rsidRDefault="00E7576F" w:rsidP="009A4683">
      <w:pPr>
        <w:pStyle w:val="Prrafodelista"/>
        <w:spacing w:before="120" w:after="100" w:afterAutospacing="1"/>
        <w:ind w:left="0"/>
        <w:rPr>
          <w:szCs w:val="20"/>
        </w:rPr>
      </w:pPr>
      <w:r w:rsidRPr="003D49EB">
        <w:rPr>
          <w:szCs w:val="20"/>
        </w:rPr>
        <w:t>[...]</w:t>
      </w:r>
    </w:p>
    <w:p w14:paraId="1C117382" w14:textId="77777777" w:rsidR="00E7576F" w:rsidRPr="003D49EB" w:rsidRDefault="00E7576F" w:rsidP="009A4683">
      <w:pPr>
        <w:pStyle w:val="Prrafodelista"/>
        <w:spacing w:before="120" w:after="100" w:afterAutospacing="1"/>
        <w:ind w:left="0"/>
        <w:rPr>
          <w:szCs w:val="20"/>
        </w:rPr>
      </w:pPr>
    </w:p>
    <w:p w14:paraId="4D175C2A" w14:textId="7C5420EE" w:rsidR="00646B80" w:rsidRPr="003D49EB" w:rsidRDefault="0044532E" w:rsidP="009A4683">
      <w:pPr>
        <w:pStyle w:val="Prrafodelista"/>
        <w:spacing w:before="120" w:after="100" w:afterAutospacing="1"/>
        <w:ind w:left="0"/>
        <w:rPr>
          <w:spacing w:val="-2"/>
          <w:szCs w:val="20"/>
        </w:rPr>
      </w:pPr>
      <w:r w:rsidRPr="003D49EB">
        <w:rPr>
          <w:szCs w:val="20"/>
        </w:rPr>
        <w:t>86.</w:t>
      </w:r>
      <w:r w:rsidRPr="003D49EB">
        <w:rPr>
          <w:szCs w:val="20"/>
        </w:rPr>
        <w:tab/>
        <w:t>Sin perjuicio de lo anterior, la Corte recuerda que en los casos que la persona alegue dentro del proceso que su declaración o confesión ha sido obtenida mediante coacción, los Estados tienen la obligación de verificar, en primer lugar, la veracidad de dicha denuncia a través de una investigación llevada a cabo con la debida diligencia. Asimismo, la carga probatoria no puede recaer en el denunciante, sino que el Estado debe demostrar que la confesión fue voluntaria. Del mismo modo, de acuerdo a lo dispuesto en el Protocolo de Estambul, en cuanto a la investigación de casos de tortura y a la realización del examen médico, este “debe realizarse independientemente del tiempo que haya transcurrido desde el momento de la tortura”. Además, las “</w:t>
      </w:r>
      <w:r w:rsidRPr="003D49EB">
        <w:rPr>
          <w:spacing w:val="-2"/>
          <w:szCs w:val="20"/>
        </w:rPr>
        <w:t>declaraciones de testigos y supervivientes son componentes necesarios de la documentación de la tortura” y las “pruebas físicas, en la medida en que existan, son importantes informaciones que confirman que la persona ha sido torturada. De todas formas, en ningún caso se considerará que la ausencia de señales físicas indica que no se ha producido tortura, ya que es frecuente que estos actos de violencia contra las personas no dejen marcas ni cicatrices permanentes”.</w:t>
      </w:r>
    </w:p>
    <w:p w14:paraId="14379BAA" w14:textId="1CF4C60E" w:rsidR="00223006" w:rsidRPr="003D49EB" w:rsidRDefault="00957741" w:rsidP="009A4683">
      <w:pPr>
        <w:rPr>
          <w:szCs w:val="20"/>
          <w:lang w:eastAsia="es-ES_tradnl"/>
        </w:rPr>
      </w:pPr>
      <w:r w:rsidRPr="00957741">
        <w:rPr>
          <w:b/>
          <w:bCs/>
          <w:szCs w:val="20"/>
          <w:shd w:val="clear" w:color="auto" w:fill="FFFFFF"/>
          <w:lang w:eastAsia="es-ES_tradnl"/>
        </w:rPr>
        <w:t xml:space="preserve">Corte IDH. Caso </w:t>
      </w:r>
      <w:proofErr w:type="spellStart"/>
      <w:r w:rsidRPr="00957741">
        <w:rPr>
          <w:b/>
          <w:bCs/>
          <w:szCs w:val="20"/>
          <w:shd w:val="clear" w:color="auto" w:fill="FFFFFF"/>
          <w:lang w:eastAsia="es-ES_tradnl"/>
        </w:rPr>
        <w:t>Amrhein</w:t>
      </w:r>
      <w:proofErr w:type="spellEnd"/>
      <w:r w:rsidRPr="00957741">
        <w:rPr>
          <w:b/>
          <w:bCs/>
          <w:szCs w:val="20"/>
          <w:shd w:val="clear" w:color="auto" w:fill="FFFFFF"/>
          <w:lang w:eastAsia="es-ES_tradnl"/>
        </w:rPr>
        <w:t xml:space="preserve"> y otros Vs. Costa Rica. Excepciones Preliminares, Fondo, Reparaciones y Costas. Sentencia de 25 de abril de 2018. Serie C No. 354.</w:t>
      </w:r>
      <w:r w:rsidR="00223006" w:rsidRPr="003D49EB">
        <w:rPr>
          <w:rStyle w:val="Refdenotaalpie"/>
          <w:b/>
          <w:bCs/>
          <w:szCs w:val="20"/>
          <w:shd w:val="clear" w:color="auto" w:fill="FFFFFF"/>
          <w:lang w:eastAsia="es-ES_tradnl"/>
        </w:rPr>
        <w:footnoteReference w:id="73"/>
      </w:r>
    </w:p>
    <w:p w14:paraId="345B8B85" w14:textId="562A979E" w:rsidR="00223006" w:rsidRPr="003D49EB" w:rsidRDefault="00223006" w:rsidP="009A4683">
      <w:pPr>
        <w:pStyle w:val="Prrafodelista"/>
        <w:spacing w:before="120" w:after="100" w:afterAutospacing="1"/>
        <w:ind w:left="0"/>
        <w:rPr>
          <w:spacing w:val="-2"/>
          <w:szCs w:val="20"/>
        </w:rPr>
      </w:pPr>
      <w:r w:rsidRPr="003D49EB">
        <w:rPr>
          <w:spacing w:val="-2"/>
          <w:szCs w:val="20"/>
        </w:rPr>
        <w:lastRenderedPageBreak/>
        <w:t>460.</w:t>
      </w:r>
      <w:r w:rsidRPr="003D49EB">
        <w:rPr>
          <w:spacing w:val="-2"/>
          <w:szCs w:val="20"/>
        </w:rPr>
        <w:tab/>
        <w:t>Respecto de la forma en que deben realizarse las requisas dentro de un centro penal, las Reglas de Mandela 50, 51 e 52 garantizan que los registros de reclusos se realizarán de un modo que respete la dignidad intrínseca del ser humano y la intimidad de las personas. Además, la administración penitenciaria dejará debida constancia de las revisiones o requisas que se lleven a cabo, en particular de las revisiones personales sin ropa, de los orificios corporales y de las celdas, así como de los motivos de dichas previsiones. Asimismo, las revisiones invasivas solo se efectuarán cuando sean absolutamente necesarias, por médicos cualificados o miembros del personal que hayan sido adecuadamente capacitados. A su vez, el Principio XXI de los Principios y Buenas Prácticas sobre la Protección de las Personas Privadas de Libertad en las Américas que define que los registros intrusivos vaginales y anales serán prohibidos por la ley establece estándares muy similares a lo dispuesto en las Reglas de Mandela</w:t>
      </w:r>
      <w:r w:rsidR="006A660B" w:rsidRPr="003D49EB">
        <w:rPr>
          <w:spacing w:val="-2"/>
          <w:szCs w:val="20"/>
        </w:rPr>
        <w:t>.</w:t>
      </w:r>
      <w:r w:rsidRPr="003D49EB">
        <w:rPr>
          <w:spacing w:val="-2"/>
          <w:szCs w:val="20"/>
        </w:rPr>
        <w:t xml:space="preserve"> </w:t>
      </w:r>
    </w:p>
    <w:p w14:paraId="11794605" w14:textId="77777777" w:rsidR="00957741" w:rsidRDefault="00957741" w:rsidP="009A4683">
      <w:pPr>
        <w:pStyle w:val="Prrafodelista"/>
        <w:spacing w:before="120" w:after="100" w:afterAutospacing="1"/>
        <w:ind w:left="0"/>
        <w:rPr>
          <w:spacing w:val="-2"/>
          <w:szCs w:val="20"/>
        </w:rPr>
      </w:pPr>
    </w:p>
    <w:p w14:paraId="37044116" w14:textId="1544F50A" w:rsidR="00223006" w:rsidRPr="003D49EB" w:rsidRDefault="00223006" w:rsidP="009A4683">
      <w:pPr>
        <w:pStyle w:val="Prrafodelista"/>
        <w:spacing w:before="120" w:after="100" w:afterAutospacing="1"/>
        <w:ind w:left="0"/>
        <w:rPr>
          <w:spacing w:val="-2"/>
          <w:szCs w:val="20"/>
        </w:rPr>
      </w:pPr>
      <w:r w:rsidRPr="003D49EB">
        <w:rPr>
          <w:spacing w:val="-2"/>
          <w:szCs w:val="20"/>
        </w:rPr>
        <w:t>461.</w:t>
      </w:r>
      <w:r w:rsidRPr="003D49EB">
        <w:rPr>
          <w:spacing w:val="-2"/>
          <w:szCs w:val="20"/>
        </w:rPr>
        <w:tab/>
        <w:t>Esta Corte, ha establecido en su jurisprudencia reiterada que el deber de investigar es una obligación de medio y no de resultado, que debe ser asumida por el Estado como un deber jurídico propio y no como una simple formalidad condenada de antemano a ser infructuosa, o como una mera gestión de intereses particulares</w:t>
      </w:r>
      <w:r w:rsidR="006A660B" w:rsidRPr="003D49EB">
        <w:rPr>
          <w:spacing w:val="-2"/>
          <w:szCs w:val="20"/>
        </w:rPr>
        <w:t>,</w:t>
      </w:r>
      <w:r w:rsidRPr="003D49EB">
        <w:rPr>
          <w:spacing w:val="-2"/>
          <w:szCs w:val="20"/>
        </w:rPr>
        <w:t xml:space="preserve"> que dependa de la iniciativa procesal de las víctimas o de sus familiares o de la aportación privada de elementos probatorios</w:t>
      </w:r>
      <w:r w:rsidR="006A660B" w:rsidRPr="003D49EB">
        <w:rPr>
          <w:spacing w:val="-2"/>
          <w:szCs w:val="20"/>
        </w:rPr>
        <w:t>.</w:t>
      </w:r>
      <w:r w:rsidRPr="003D49EB">
        <w:rPr>
          <w:spacing w:val="-2"/>
          <w:szCs w:val="20"/>
        </w:rPr>
        <w:t xml:space="preserve"> La investigación debe ser seria, imparcial y efectiva, y estar orientada a la determinación de la verdad y a la persecución, captura, enjuiciamiento y eventual castigo de los autores de los hechos</w:t>
      </w:r>
      <w:r w:rsidR="006A660B" w:rsidRPr="003D49EB">
        <w:rPr>
          <w:spacing w:val="-2"/>
          <w:szCs w:val="20"/>
        </w:rPr>
        <w:t>.</w:t>
      </w:r>
      <w:r w:rsidRPr="003D49EB">
        <w:rPr>
          <w:spacing w:val="-2"/>
          <w:szCs w:val="20"/>
        </w:rPr>
        <w:t xml:space="preserve"> Asimismo, la debida diligencia exige que el órgano que investiga lleve a cabo todas aquellas actuaciones y averiguaciones necesarias para procurar el resultado que se persigue. De otro modo, la investigación no es efectiva en los términos de la Convención</w:t>
      </w:r>
      <w:r w:rsidR="006A660B" w:rsidRPr="003D49EB">
        <w:rPr>
          <w:spacing w:val="-2"/>
          <w:szCs w:val="20"/>
        </w:rPr>
        <w:t>.</w:t>
      </w:r>
    </w:p>
    <w:p w14:paraId="31FCA82D" w14:textId="77777777" w:rsidR="00384B5C" w:rsidRPr="003D49EB" w:rsidRDefault="00384B5C" w:rsidP="009A4683">
      <w:pPr>
        <w:pStyle w:val="Prrafodelista"/>
        <w:spacing w:before="120" w:after="100" w:afterAutospacing="1"/>
        <w:ind w:left="0"/>
        <w:rPr>
          <w:spacing w:val="-2"/>
          <w:szCs w:val="20"/>
        </w:rPr>
      </w:pPr>
    </w:p>
    <w:p w14:paraId="3F272D9D" w14:textId="64328591" w:rsidR="00090DEE" w:rsidRPr="003D49EB" w:rsidRDefault="00223006" w:rsidP="009A4683">
      <w:pPr>
        <w:pStyle w:val="Prrafodelista"/>
        <w:spacing w:before="120" w:after="100" w:afterAutospacing="1"/>
        <w:ind w:left="0"/>
        <w:rPr>
          <w:spacing w:val="-2"/>
          <w:szCs w:val="20"/>
        </w:rPr>
      </w:pPr>
      <w:r w:rsidRPr="003D49EB">
        <w:rPr>
          <w:spacing w:val="-2"/>
          <w:szCs w:val="20"/>
        </w:rPr>
        <w:t>462.</w:t>
      </w:r>
      <w:r w:rsidRPr="003D49EB">
        <w:rPr>
          <w:spacing w:val="-2"/>
          <w:szCs w:val="20"/>
        </w:rPr>
        <w:tab/>
        <w:t>De forma particular, de conformidad con el artículo 1.1 de la Convención Americana, la obligación de garantizar los derechos reconocidos en los artículos 5.1 y 5.2 de la Convención Americana implica el deber del Estado de investigar posibles actos de tortura u otros tratos crueles, inhumanos o degradantes</w:t>
      </w:r>
      <w:r w:rsidR="006A660B" w:rsidRPr="003D49EB">
        <w:rPr>
          <w:spacing w:val="-2"/>
          <w:szCs w:val="20"/>
        </w:rPr>
        <w:t>.</w:t>
      </w:r>
      <w:r w:rsidRPr="003D49EB">
        <w:rPr>
          <w:spacing w:val="-2"/>
          <w:szCs w:val="20"/>
        </w:rPr>
        <w:t xml:space="preserve"> Esta obligación de investigar se ve reforzada por lo dispuesto en los artículos 1, 6 y 8 de la Convención Interamericana para Prevenir y Sancionar la Tortura que obligan al Estado a “toma[r] medidas efectivas para prevenir y sancionar la tortura en el ámbito de su jurisdicción”, así como a “prevenir y sancionar […] otros tratos o penas crueles, inhumanos o degradantes”. Además, de acuerdo con lo dispuesto en el artículo 8 de dicha Convención, los Estados partes garantizarán “a toda persona que denuncie haber sido sometida a tortura en el ámbito de su jurisdicción el derecho a que el caso sea examinado imparcialmente. Asimismo, cuando exista denuncia o razón fundada para creer que se ha cometido un acto de tortura en el ámbito de su jurisdicción, los Estados partes garantizarán que sus respectivas autoridades procederán de oficio y de inmediato a realizar una investigación sobre el caso y a iniciar, cuando corresponda, el respectivo proceso penal”.</w:t>
      </w:r>
    </w:p>
    <w:p w14:paraId="090E9231" w14:textId="0F0B0612" w:rsidR="00DC1503" w:rsidRPr="003D49EB" w:rsidRDefault="00090DEE" w:rsidP="009A4683">
      <w:pPr>
        <w:pStyle w:val="Caso"/>
      </w:pPr>
      <w:r w:rsidRPr="003D49EB">
        <w:t>Corte IDH. Caso Azul Rojas Marín y otra Vs. Perú. Excepciones Preliminares, Fondo, Reparaciones y Costas. Sentencia de 12 de marzo de 2020. Serie C No. 402.</w:t>
      </w:r>
    </w:p>
    <w:p w14:paraId="45F5060E" w14:textId="5AC7BCA4" w:rsidR="00090DEE" w:rsidRPr="003D49EB" w:rsidRDefault="00090DEE" w:rsidP="009A4683">
      <w:pPr>
        <w:pStyle w:val="Prrafodelista"/>
        <w:spacing w:before="120" w:after="100" w:afterAutospacing="1"/>
        <w:ind w:left="0"/>
        <w:rPr>
          <w:spacing w:val="-2"/>
          <w:szCs w:val="20"/>
        </w:rPr>
      </w:pPr>
      <w:r w:rsidRPr="003D49EB">
        <w:rPr>
          <w:spacing w:val="-2"/>
          <w:szCs w:val="20"/>
        </w:rPr>
        <w:t xml:space="preserve">176. La Corte estima indispensable que las agencias policiales y jurisdiccionales ofrezcan mecanismos de denuncia accesibles y que aquellos sean difundidos para el conocimiento de los individuos. En el presente caso, la presunta </w:t>
      </w:r>
      <w:proofErr w:type="spellStart"/>
      <w:r w:rsidRPr="003D49EB">
        <w:rPr>
          <w:spacing w:val="-2"/>
          <w:szCs w:val="20"/>
        </w:rPr>
        <w:t>víctima</w:t>
      </w:r>
      <w:proofErr w:type="spellEnd"/>
      <w:r w:rsidRPr="003D49EB">
        <w:rPr>
          <w:spacing w:val="-2"/>
          <w:szCs w:val="20"/>
        </w:rPr>
        <w:t xml:space="preserve"> ha declarado que el 25 de febrero de 2008 se presentó en la </w:t>
      </w:r>
      <w:proofErr w:type="spellStart"/>
      <w:r w:rsidRPr="003D49EB">
        <w:rPr>
          <w:spacing w:val="-2"/>
          <w:szCs w:val="20"/>
        </w:rPr>
        <w:t>Comisaría</w:t>
      </w:r>
      <w:proofErr w:type="spellEnd"/>
      <w:r w:rsidRPr="003D49EB">
        <w:rPr>
          <w:spacing w:val="-2"/>
          <w:szCs w:val="20"/>
        </w:rPr>
        <w:t xml:space="preserve"> a denunciar los hechos, pero no recibieron la denuncia. Por otra parte, tres agentes estatales negaron que la presunta </w:t>
      </w:r>
      <w:proofErr w:type="spellStart"/>
      <w:r w:rsidRPr="003D49EB">
        <w:rPr>
          <w:spacing w:val="-2"/>
          <w:szCs w:val="20"/>
        </w:rPr>
        <w:t>víctima</w:t>
      </w:r>
      <w:proofErr w:type="spellEnd"/>
      <w:r w:rsidRPr="003D49EB">
        <w:rPr>
          <w:spacing w:val="-2"/>
          <w:szCs w:val="20"/>
        </w:rPr>
        <w:t xml:space="preserve"> se hubiese presentado a denunciar el 25 o el 26 de febrero de 2008. Sobre este punto son las representantes quienes </w:t>
      </w:r>
      <w:proofErr w:type="spellStart"/>
      <w:r w:rsidRPr="003D49EB">
        <w:rPr>
          <w:spacing w:val="-2"/>
          <w:szCs w:val="20"/>
        </w:rPr>
        <w:t>debían</w:t>
      </w:r>
      <w:proofErr w:type="spellEnd"/>
      <w:r w:rsidRPr="003D49EB">
        <w:rPr>
          <w:spacing w:val="-2"/>
          <w:szCs w:val="20"/>
        </w:rPr>
        <w:t xml:space="preserve"> probar ante esta Corte que la presunta </w:t>
      </w:r>
      <w:proofErr w:type="spellStart"/>
      <w:r w:rsidRPr="003D49EB">
        <w:rPr>
          <w:spacing w:val="-2"/>
          <w:szCs w:val="20"/>
        </w:rPr>
        <w:t>víctima</w:t>
      </w:r>
      <w:proofErr w:type="spellEnd"/>
      <w:r w:rsidRPr="003D49EB">
        <w:rPr>
          <w:spacing w:val="-2"/>
          <w:szCs w:val="20"/>
        </w:rPr>
        <w:t xml:space="preserve"> </w:t>
      </w:r>
      <w:proofErr w:type="spellStart"/>
      <w:r w:rsidRPr="003D49EB">
        <w:rPr>
          <w:spacing w:val="-2"/>
          <w:szCs w:val="20"/>
        </w:rPr>
        <w:t>acudio</w:t>
      </w:r>
      <w:proofErr w:type="spellEnd"/>
      <w:r w:rsidRPr="003D49EB">
        <w:rPr>
          <w:spacing w:val="-2"/>
          <w:szCs w:val="20"/>
        </w:rPr>
        <w:t xml:space="preserve">́ a denunciar el 25 de febrero, lo cual se pudiera haber realizado, por ejemplo, mediante la </w:t>
      </w:r>
      <w:proofErr w:type="spellStart"/>
      <w:r w:rsidRPr="003D49EB">
        <w:rPr>
          <w:spacing w:val="-2"/>
          <w:szCs w:val="20"/>
        </w:rPr>
        <w:t>presentación</w:t>
      </w:r>
      <w:proofErr w:type="spellEnd"/>
      <w:r w:rsidRPr="003D49EB">
        <w:rPr>
          <w:spacing w:val="-2"/>
          <w:szCs w:val="20"/>
        </w:rPr>
        <w:t xml:space="preserve"> de declaraciones de personas que estuvieron con la presunta </w:t>
      </w:r>
      <w:proofErr w:type="spellStart"/>
      <w:r w:rsidRPr="003D49EB">
        <w:rPr>
          <w:spacing w:val="-2"/>
          <w:szCs w:val="20"/>
        </w:rPr>
        <w:t>víctima</w:t>
      </w:r>
      <w:proofErr w:type="spellEnd"/>
      <w:r w:rsidRPr="003D49EB">
        <w:rPr>
          <w:spacing w:val="-2"/>
          <w:szCs w:val="20"/>
        </w:rPr>
        <w:t xml:space="preserve"> ese </w:t>
      </w:r>
      <w:proofErr w:type="spellStart"/>
      <w:r w:rsidRPr="003D49EB">
        <w:rPr>
          <w:spacing w:val="-2"/>
          <w:szCs w:val="20"/>
        </w:rPr>
        <w:t>día</w:t>
      </w:r>
      <w:proofErr w:type="spellEnd"/>
      <w:r w:rsidRPr="003D49EB">
        <w:rPr>
          <w:spacing w:val="-2"/>
          <w:szCs w:val="20"/>
        </w:rPr>
        <w:t xml:space="preserve">. En consecuencia, este Tribunal considera </w:t>
      </w:r>
      <w:r w:rsidRPr="003D49EB">
        <w:rPr>
          <w:spacing w:val="-2"/>
          <w:szCs w:val="20"/>
        </w:rPr>
        <w:lastRenderedPageBreak/>
        <w:t xml:space="preserve">que no tiene elementos para concluir que la presunta </w:t>
      </w:r>
      <w:proofErr w:type="spellStart"/>
      <w:r w:rsidRPr="003D49EB">
        <w:rPr>
          <w:spacing w:val="-2"/>
          <w:szCs w:val="20"/>
        </w:rPr>
        <w:t>víctima</w:t>
      </w:r>
      <w:proofErr w:type="spellEnd"/>
      <w:r w:rsidRPr="003D49EB">
        <w:rPr>
          <w:spacing w:val="-2"/>
          <w:szCs w:val="20"/>
        </w:rPr>
        <w:t xml:space="preserve"> </w:t>
      </w:r>
      <w:proofErr w:type="spellStart"/>
      <w:r w:rsidRPr="003D49EB">
        <w:rPr>
          <w:spacing w:val="-2"/>
          <w:szCs w:val="20"/>
        </w:rPr>
        <w:t>acudio</w:t>
      </w:r>
      <w:proofErr w:type="spellEnd"/>
      <w:r w:rsidRPr="003D49EB">
        <w:rPr>
          <w:spacing w:val="-2"/>
          <w:szCs w:val="20"/>
        </w:rPr>
        <w:t>́ a denunciar los hechos con anterioridad al 27 de febrero de 2008.</w:t>
      </w:r>
    </w:p>
    <w:p w14:paraId="03D27B93" w14:textId="77777777" w:rsidR="00090DEE" w:rsidRPr="003D49EB" w:rsidRDefault="00090DEE" w:rsidP="009A4683">
      <w:pPr>
        <w:pStyle w:val="Prrafodelista"/>
        <w:spacing w:before="120" w:after="100" w:afterAutospacing="1"/>
        <w:ind w:left="0"/>
        <w:rPr>
          <w:spacing w:val="-2"/>
          <w:szCs w:val="20"/>
        </w:rPr>
      </w:pPr>
    </w:p>
    <w:p w14:paraId="2E4236E4" w14:textId="471ECE05" w:rsidR="00090DEE" w:rsidRPr="003D49EB" w:rsidRDefault="00090DEE" w:rsidP="009A4683">
      <w:pPr>
        <w:pStyle w:val="Prrafodelista"/>
        <w:spacing w:before="120" w:after="100" w:afterAutospacing="1"/>
        <w:ind w:left="0"/>
        <w:rPr>
          <w:spacing w:val="-2"/>
          <w:szCs w:val="20"/>
        </w:rPr>
      </w:pPr>
      <w:r w:rsidRPr="003D49EB">
        <w:rPr>
          <w:spacing w:val="-2"/>
          <w:szCs w:val="20"/>
        </w:rPr>
        <w:t xml:space="preserve">177. Por tanto, el Estado no violó los </w:t>
      </w:r>
      <w:proofErr w:type="spellStart"/>
      <w:r w:rsidRPr="003D49EB">
        <w:rPr>
          <w:spacing w:val="-2"/>
          <w:szCs w:val="20"/>
        </w:rPr>
        <w:t>artículos</w:t>
      </w:r>
      <w:proofErr w:type="spellEnd"/>
      <w:r w:rsidRPr="003D49EB">
        <w:rPr>
          <w:spacing w:val="-2"/>
          <w:szCs w:val="20"/>
        </w:rPr>
        <w:t xml:space="preserve"> 8.1 y 25 de la Convención por este hecho. </w:t>
      </w:r>
    </w:p>
    <w:p w14:paraId="2B497223" w14:textId="77777777" w:rsidR="00223006" w:rsidRPr="003D49EB" w:rsidRDefault="00223006" w:rsidP="009A4683">
      <w:pPr>
        <w:pStyle w:val="Prrafodelista"/>
        <w:spacing w:before="120" w:after="100" w:afterAutospacing="1"/>
        <w:ind w:left="0"/>
        <w:rPr>
          <w:spacing w:val="-2"/>
          <w:szCs w:val="20"/>
        </w:rPr>
      </w:pPr>
    </w:p>
    <w:p w14:paraId="2B563991" w14:textId="77777777" w:rsidR="00957741" w:rsidRDefault="00681B0D" w:rsidP="00957741">
      <w:pPr>
        <w:pStyle w:val="Ttulo3"/>
      </w:pPr>
      <w:bookmarkStart w:id="61" w:name="_Toc530497994"/>
      <w:bookmarkStart w:id="62" w:name="_Toc88914994"/>
      <w:r w:rsidRPr="003D49EB">
        <w:t>B) Obligación de realizar una investigación efectiva</w:t>
      </w:r>
      <w:bookmarkEnd w:id="61"/>
      <w:bookmarkEnd w:id="62"/>
    </w:p>
    <w:p w14:paraId="09C67D66" w14:textId="77777777" w:rsidR="00957741" w:rsidRDefault="00957741" w:rsidP="009A4683">
      <w:pPr>
        <w:spacing w:after="100" w:afterAutospacing="1"/>
        <w:rPr>
          <w:szCs w:val="20"/>
        </w:rPr>
      </w:pPr>
    </w:p>
    <w:p w14:paraId="4D988853" w14:textId="40A5096B" w:rsidR="00957741" w:rsidRDefault="00957741" w:rsidP="00957741">
      <w:pPr>
        <w:pStyle w:val="Caso"/>
      </w:pPr>
      <w:r w:rsidRPr="00957741">
        <w:t>Corte IDH. Caso Gutiérrez Soler Vs. Colombia. Sentencia de 12 de septiembre de 2005. Serie C No. 132</w:t>
      </w:r>
      <w:r>
        <w:t>.</w:t>
      </w:r>
      <w:r>
        <w:rPr>
          <w:rStyle w:val="Refdenotaalpie"/>
        </w:rPr>
        <w:footnoteReference w:id="74"/>
      </w:r>
    </w:p>
    <w:p w14:paraId="16673653" w14:textId="77777777" w:rsidR="00957741" w:rsidRDefault="00957741" w:rsidP="00957741">
      <w:pPr>
        <w:pStyle w:val="Caso"/>
      </w:pPr>
    </w:p>
    <w:p w14:paraId="0D68099E" w14:textId="25EB43E6" w:rsidR="00AB652F" w:rsidRPr="003D49EB" w:rsidRDefault="00AB652F" w:rsidP="009A4683">
      <w:pPr>
        <w:spacing w:after="100" w:afterAutospacing="1"/>
        <w:rPr>
          <w:szCs w:val="20"/>
        </w:rPr>
      </w:pPr>
      <w:r w:rsidRPr="003D49EB">
        <w:rPr>
          <w:szCs w:val="20"/>
        </w:rPr>
        <w:t>54.</w:t>
      </w:r>
      <w:r w:rsidRPr="003D49EB">
        <w:rPr>
          <w:szCs w:val="20"/>
        </w:rPr>
        <w:tab/>
        <w:t>La Corte entiende que, a la luz de la obligación general de los Estados Partes de respetar y garantizar los derechos a toda persona sujeta a su jurisdicción, contenida en el artículo 1.1 de la Convención Americana, el Estado tiene el deber de iniciar de oficio e inmediatamente una investigación efectiva que permita identificar, juzgar y sancionar a los responsables, cuando existe denuncia o razón fundada para creer que se ha cometido un acto de tortura en violación del artículo 5 de la Convención Americana.</w:t>
      </w:r>
      <w:r w:rsidR="008B18CE" w:rsidRPr="003D49EB">
        <w:rPr>
          <w:szCs w:val="20"/>
        </w:rPr>
        <w:t xml:space="preserve"> </w:t>
      </w:r>
      <w:r w:rsidRPr="003D49EB">
        <w:rPr>
          <w:szCs w:val="20"/>
        </w:rPr>
        <w:t>Esta actuación está normada, además, de manera específica en los artículos 1, 6 y 8 de la Convención Interamericana contra la Tortura que obligan a los Estados Partes a adoptar todas las medidas efectivas para prevenir y sancionar todos los actos de tortura dentro del ámbito de su jurisdicción, así como a garantizar que los casos de tortura sean examinados imparcialmente.</w:t>
      </w:r>
      <w:r w:rsidR="008B18CE" w:rsidRPr="003D49EB">
        <w:rPr>
          <w:szCs w:val="20"/>
        </w:rPr>
        <w:t xml:space="preserve"> </w:t>
      </w:r>
      <w:r w:rsidRPr="003D49EB">
        <w:rPr>
          <w:szCs w:val="20"/>
        </w:rPr>
        <w:t>En el presente caso, la Corte observa que Colombia no actuó con arreglo a esas previsiones, ya que a la fecha ninguna persona ha sido sancionada por las torturas infligidas al señor Wilson Gutiérrez Soler y que el propio Estado ha reconocido defectos en relación con las garantías judiciales de los procesos internos […]</w:t>
      </w:r>
      <w:r w:rsidR="00A867D4" w:rsidRPr="003D49EB">
        <w:rPr>
          <w:szCs w:val="20"/>
        </w:rPr>
        <w:t>.</w:t>
      </w:r>
      <w:r w:rsidRPr="003D49EB">
        <w:rPr>
          <w:szCs w:val="20"/>
        </w:rPr>
        <w:t xml:space="preserve"> Desde que entró en vigor en Colombia la referida Convención Interamericana contra la Tortura, el 18 de febrero de 1999, es exigible al Estado el cumplimiento de las obligaciones contenidas en dicho tratado. Por ello, para el Tribunal esta conducta constituye incumplimiento de las obligaciones contenidas en los artículos 1, 6 y 8 de la Convención Interamericana contra la Tortura en lo que atañe a la obligación de prevenir y sancionar la tortura en el ámbito interno. </w:t>
      </w:r>
    </w:p>
    <w:p w14:paraId="6B45AEA3" w14:textId="66DA5A14" w:rsidR="00AB652F" w:rsidRPr="003D49EB" w:rsidRDefault="00112465" w:rsidP="009A4683">
      <w:pPr>
        <w:spacing w:after="100" w:afterAutospacing="1"/>
        <w:rPr>
          <w:b/>
          <w:szCs w:val="20"/>
        </w:rPr>
      </w:pPr>
      <w:r w:rsidRPr="00112465">
        <w:rPr>
          <w:b/>
          <w:szCs w:val="20"/>
        </w:rPr>
        <w:t xml:space="preserve">Corte IDH. Caso </w:t>
      </w:r>
      <w:proofErr w:type="spellStart"/>
      <w:r w:rsidRPr="00112465">
        <w:rPr>
          <w:b/>
          <w:szCs w:val="20"/>
        </w:rPr>
        <w:t>Baldeón</w:t>
      </w:r>
      <w:proofErr w:type="spellEnd"/>
      <w:r w:rsidRPr="00112465">
        <w:rPr>
          <w:b/>
          <w:szCs w:val="20"/>
        </w:rPr>
        <w:t xml:space="preserve"> García Vs. Perú. Fondo, Reparaciones y Costas. Sentencia de 6 de abril de 2006. Serie C No. 147.</w:t>
      </w:r>
      <w:r>
        <w:rPr>
          <w:rStyle w:val="Refdenotaalpie"/>
          <w:b/>
          <w:szCs w:val="20"/>
        </w:rPr>
        <w:footnoteReference w:id="75"/>
      </w:r>
    </w:p>
    <w:p w14:paraId="6B49A4EA" w14:textId="15A71D5F" w:rsidR="00AB652F" w:rsidRPr="003D49EB" w:rsidRDefault="00AB652F" w:rsidP="009A4683">
      <w:pPr>
        <w:spacing w:after="100" w:afterAutospacing="1"/>
        <w:rPr>
          <w:i/>
          <w:szCs w:val="20"/>
        </w:rPr>
      </w:pPr>
      <w:r w:rsidRPr="003D49EB">
        <w:rPr>
          <w:szCs w:val="20"/>
        </w:rPr>
        <w:t>156.</w:t>
      </w:r>
      <w:r w:rsidRPr="003D49EB">
        <w:rPr>
          <w:szCs w:val="20"/>
        </w:rPr>
        <w:tab/>
        <w:t xml:space="preserve">La Corte interpreta que, a la luz de la obligación general de garantizar a toda persona bajo su jurisdicción los derechos humanos consagrados en la Convención, establecida en el artículo 1.1 de la misma, en conjunto con el derecho a la integridad personal conforme al artículo 5 (Derecho a la Integridad Personal) de dicho tratado, existe la obligación estatal de iniciar de oficio e inmediatamente una investigación efectiva que permita identificar, juzgar y sancionar a los responsables, cuando existe denuncia o razón fundada para creer que se ha cometido un acto de tortura. </w:t>
      </w:r>
      <w:r w:rsidR="006E5C73">
        <w:rPr>
          <w:rStyle w:val="EnelmismoCar"/>
        </w:rPr>
        <w:t xml:space="preserve">En </w:t>
      </w:r>
      <w:r w:rsidR="006E5C73">
        <w:rPr>
          <w:rStyle w:val="EnelmismoCar"/>
        </w:rPr>
        <w:lastRenderedPageBreak/>
        <w:t>similar sentido, ver entre otros</w:t>
      </w:r>
      <w:r w:rsidRPr="003D49EB">
        <w:rPr>
          <w:rStyle w:val="EnelmismoCar"/>
        </w:rPr>
        <w:t xml:space="preserve">: Caso Vargas </w:t>
      </w:r>
      <w:proofErr w:type="spellStart"/>
      <w:r w:rsidRPr="003D49EB">
        <w:rPr>
          <w:rStyle w:val="EnelmismoCar"/>
        </w:rPr>
        <w:t>Areco</w:t>
      </w:r>
      <w:proofErr w:type="spellEnd"/>
      <w:r w:rsidRPr="003D49EB">
        <w:rPr>
          <w:rStyle w:val="EnelmismoCar"/>
        </w:rPr>
        <w:t xml:space="preserve"> Vs. Paraguay. Sentencia de 26 de septiembre de 2006, párr. 79; Caso Penal Miguel Castro </w:t>
      </w:r>
      <w:proofErr w:type="spellStart"/>
      <w:r w:rsidRPr="003D49EB">
        <w:rPr>
          <w:rStyle w:val="EnelmismoCar"/>
        </w:rPr>
        <w:t>Castro</w:t>
      </w:r>
      <w:proofErr w:type="spellEnd"/>
      <w:r w:rsidRPr="003D49EB">
        <w:rPr>
          <w:rStyle w:val="EnelmismoCar"/>
        </w:rPr>
        <w:t xml:space="preserve"> vs. Perú. Sentencia de 25 de noviembre de 2006, párr. 345; Caso Bueno Alves vs. Argentina. Sentencia de 11 de mayo de 2007, párr. 89; Caso González y otras (“Campo Algodonero”) vs. México. Sentencia de 16 de noviembre de 2009, párr. 246.</w:t>
      </w:r>
    </w:p>
    <w:p w14:paraId="03488F09" w14:textId="114D2A4E" w:rsidR="007C1C5F" w:rsidRPr="003D49EB" w:rsidRDefault="00EA36A9" w:rsidP="009A4683">
      <w:pPr>
        <w:spacing w:after="100" w:afterAutospacing="1"/>
        <w:rPr>
          <w:b/>
          <w:szCs w:val="20"/>
        </w:rPr>
      </w:pPr>
      <w:r w:rsidRPr="003D49EB">
        <w:rPr>
          <w:b/>
          <w:szCs w:val="20"/>
        </w:rPr>
        <w:t>Corte IDH. Caso de la Masacre de Pueblo Bello Vs. Colombia. Sentencia de 31 de enero de 2006. Serie C No. 140.</w:t>
      </w:r>
    </w:p>
    <w:p w14:paraId="11A400A6" w14:textId="77777777" w:rsidR="00DD3E8B" w:rsidRPr="003D49EB" w:rsidRDefault="00DD3E8B" w:rsidP="009A4683">
      <w:pPr>
        <w:spacing w:after="100" w:afterAutospacing="1"/>
        <w:rPr>
          <w:szCs w:val="20"/>
        </w:rPr>
      </w:pPr>
      <w:r w:rsidRPr="003D49EB">
        <w:rPr>
          <w:szCs w:val="20"/>
        </w:rPr>
        <w:t>145.</w:t>
      </w:r>
      <w:r w:rsidRPr="003D49EB">
        <w:rPr>
          <w:szCs w:val="20"/>
        </w:rPr>
        <w:tab/>
        <w:t>La realización de una investigación efectiva es un elemento fundamental y condicionante para la protección de ciertos derechos que se ven afectados o anulados por esas situaciones, como lo son en el presente caso los derechos a la libertad personal, integridad personal y vida. Esta apreciación es válida cualquiera sea el agente al cual pueda eventualmente atribuirse la violación, aun los particulares, pues, si sus hechos no son investigados con seriedad, resultarían, en cierto modo, auxiliados por el poder público, lo que comprometería la responsabilidad internacional del Estado.</w:t>
      </w:r>
    </w:p>
    <w:p w14:paraId="5BB99282" w14:textId="77777777" w:rsidR="00DD3E8B" w:rsidRPr="003D49EB" w:rsidRDefault="00DD3E8B" w:rsidP="009A4683">
      <w:pPr>
        <w:spacing w:after="100" w:afterAutospacing="1"/>
        <w:rPr>
          <w:szCs w:val="20"/>
        </w:rPr>
      </w:pPr>
      <w:r w:rsidRPr="003D49EB">
        <w:rPr>
          <w:szCs w:val="20"/>
        </w:rPr>
        <w:t>148.</w:t>
      </w:r>
      <w:r w:rsidRPr="003D49EB">
        <w:rPr>
          <w:szCs w:val="20"/>
        </w:rPr>
        <w:tab/>
        <w:t>Para determinar si la obligación de proteger los derechos a la vida, a la integridad personal y a la libertad personal por la vía de una investigación seria de lo ocurrido, se ha cumplido a cabalidad, es preciso examinar los procedimientos abiertos a nivel interno destinados a dilucidar los hechos ocurridos en Pueblo Bello y a identificar a los responsables de las desapariciones de 37 personas y las privaciones de libertad y, posteriormente de vida de seis personas cuyos cadáveres se han identificado. Este examen debe hacerse a la luz de lo que dispone el artículo 25 de la Convención Americana y de los requerimientos que impone el artículo 8 de la misma para todo proceso, y se efectuará en profundidad en el próximo capítulo de esta sentencia […]. Para los efectos de la determinación de las violaciones de los artículos 4, 5 y 7 de la Convención, materia de análisis en los párrafos precedentes, baste decir que la Corte considera que las investigaciones realizadas en Colombia respecto de los sucesos de Pueblo Bello, en</w:t>
      </w:r>
      <w:r w:rsidR="008B18CE" w:rsidRPr="003D49EB">
        <w:rPr>
          <w:szCs w:val="20"/>
        </w:rPr>
        <w:t xml:space="preserve"> </w:t>
      </w:r>
      <w:r w:rsidRPr="003D49EB">
        <w:rPr>
          <w:szCs w:val="20"/>
        </w:rPr>
        <w:t>procedimientos llevados a cabo por la justicia penal ordinaria y la militar, la justicia disciplinaria y la contencioso administrativa, muestran graves fallas que han socavado la efectividad de la protección prevista en la normativa nacional e internacional aplicable en este tipo de casos y han llevado a la impunidad de ciertos hechos delictuosos que constituyen, a la vez, graves violaciones de los derechos humanos consagrados en las disposiciones de la Convención citadas en este párrafo considerativo.</w:t>
      </w:r>
    </w:p>
    <w:p w14:paraId="79366A87" w14:textId="1EBB2FF5" w:rsidR="00DD3E8B" w:rsidRPr="003D49EB" w:rsidRDefault="00AE6F5A" w:rsidP="009A4683">
      <w:pPr>
        <w:spacing w:after="100" w:afterAutospacing="1"/>
        <w:rPr>
          <w:b/>
          <w:szCs w:val="20"/>
        </w:rPr>
      </w:pPr>
      <w:r w:rsidRPr="003D49EB">
        <w:rPr>
          <w:b/>
          <w:szCs w:val="20"/>
        </w:rPr>
        <w:t xml:space="preserve">Corte IDH. Caso </w:t>
      </w:r>
      <w:proofErr w:type="spellStart"/>
      <w:r w:rsidRPr="003D49EB">
        <w:rPr>
          <w:b/>
          <w:szCs w:val="20"/>
        </w:rPr>
        <w:t>Ximenes</w:t>
      </w:r>
      <w:proofErr w:type="spellEnd"/>
      <w:r w:rsidRPr="003D49EB">
        <w:rPr>
          <w:b/>
          <w:szCs w:val="20"/>
        </w:rPr>
        <w:t xml:space="preserve"> </w:t>
      </w:r>
      <w:proofErr w:type="spellStart"/>
      <w:r w:rsidRPr="003D49EB">
        <w:rPr>
          <w:b/>
          <w:szCs w:val="20"/>
        </w:rPr>
        <w:t>Lopes</w:t>
      </w:r>
      <w:proofErr w:type="spellEnd"/>
      <w:r w:rsidRPr="003D49EB">
        <w:rPr>
          <w:b/>
          <w:szCs w:val="20"/>
        </w:rPr>
        <w:t xml:space="preserve"> Vs. Brasil. Sentencia de 4 de julio de 2006. Serie C No. 149.</w:t>
      </w:r>
      <w:r w:rsidR="00DD3E8B" w:rsidRPr="003D49EB">
        <w:rPr>
          <w:b/>
          <w:szCs w:val="20"/>
        </w:rPr>
        <w:t xml:space="preserve"> </w:t>
      </w:r>
    </w:p>
    <w:p w14:paraId="37A1AD10" w14:textId="77777777" w:rsidR="00DD3E8B" w:rsidRPr="003D49EB" w:rsidRDefault="00DD3E8B" w:rsidP="009A4683">
      <w:pPr>
        <w:spacing w:after="100" w:afterAutospacing="1"/>
        <w:rPr>
          <w:szCs w:val="20"/>
          <w:lang w:val="es-ES_tradnl"/>
        </w:rPr>
      </w:pPr>
      <w:r w:rsidRPr="003D49EB">
        <w:rPr>
          <w:szCs w:val="20"/>
          <w:lang w:val="es-ES_tradnl"/>
        </w:rPr>
        <w:t>147.</w:t>
      </w:r>
      <w:r w:rsidRPr="003D49EB">
        <w:rPr>
          <w:szCs w:val="20"/>
          <w:lang w:val="es-ES_tradnl"/>
        </w:rPr>
        <w:tab/>
        <w:t>La obligación de garantizar los derechos humanos consagrados en la Convención no se agota con la existencia de un orden normativo dirigido a hacer posible el cumplimiento de esta obligación, sino que comporta la necesidad de una conducta gubernamental que asegure la existencia, en la realidad, de una eficaz garantía del libre y pleno ejercicio de los derechos humanos.</w:t>
      </w:r>
      <w:r w:rsidR="008B18CE" w:rsidRPr="003D49EB">
        <w:rPr>
          <w:szCs w:val="20"/>
          <w:lang w:val="es-ES_tradnl"/>
        </w:rPr>
        <w:t xml:space="preserve"> </w:t>
      </w:r>
      <w:r w:rsidRPr="003D49EB">
        <w:rPr>
          <w:szCs w:val="20"/>
          <w:lang w:val="es-ES_tradnl"/>
        </w:rPr>
        <w:t>En ese sentido, una de esas condiciones para garantizar efectivamente el derecho a la vida y a la integridad personal es el cumplimiento del deber de investigar las afectaciones a los mismos, el cual se deriva del artículo 1.1 de la Convención en conjunto con el derecho sustantivo que debe ser amparado, protegido o garantizado.</w:t>
      </w:r>
    </w:p>
    <w:p w14:paraId="50790791" w14:textId="77777777" w:rsidR="00DD3E8B" w:rsidRPr="003D49EB" w:rsidRDefault="00DD3E8B" w:rsidP="009A4683">
      <w:pPr>
        <w:pStyle w:val="Textoindependiente"/>
        <w:spacing w:after="100" w:afterAutospacing="1"/>
        <w:rPr>
          <w:rFonts w:ascii="Verdana" w:hAnsi="Verdana"/>
          <w:sz w:val="20"/>
        </w:rPr>
      </w:pPr>
      <w:r w:rsidRPr="003D49EB">
        <w:rPr>
          <w:rFonts w:ascii="Verdana" w:hAnsi="Verdana"/>
          <w:sz w:val="20"/>
        </w:rPr>
        <w:t>148.</w:t>
      </w:r>
      <w:r w:rsidRPr="003D49EB">
        <w:rPr>
          <w:rFonts w:ascii="Verdana" w:hAnsi="Verdana"/>
          <w:sz w:val="20"/>
        </w:rPr>
        <w:tab/>
        <w:t>Dado lo anterior el Estado tiene el deber de iniciar</w:t>
      </w:r>
      <w:r w:rsidRPr="003D49EB">
        <w:rPr>
          <w:rFonts w:ascii="Verdana" w:hAnsi="Verdana"/>
          <w:i/>
          <w:sz w:val="20"/>
        </w:rPr>
        <w:t xml:space="preserve"> ex officio</w:t>
      </w:r>
      <w:r w:rsidRPr="003D49EB">
        <w:rPr>
          <w:rFonts w:ascii="Verdana" w:hAnsi="Verdana"/>
          <w:sz w:val="20"/>
        </w:rPr>
        <w:t xml:space="preserve"> y sin dilación, una investigación seria, imparcial y efectiva, que no se emprenda como una simple formalidad condenada de antemano a ser infructuosa.</w:t>
      </w:r>
      <w:r w:rsidR="008B18CE" w:rsidRPr="003D49EB">
        <w:rPr>
          <w:rFonts w:ascii="Verdana" w:hAnsi="Verdana"/>
          <w:sz w:val="20"/>
        </w:rPr>
        <w:t xml:space="preserve"> </w:t>
      </w:r>
      <w:r w:rsidRPr="003D49EB">
        <w:rPr>
          <w:rFonts w:ascii="Verdana" w:hAnsi="Verdana"/>
          <w:sz w:val="20"/>
        </w:rPr>
        <w:t xml:space="preserve">Esta investigación debe ser realizada por todos los medios legales disponibles y orientada a la determinación de la verdad y a la investigación, enjuiciamiento y castigo de todos los responsables de </w:t>
      </w:r>
      <w:r w:rsidRPr="003D49EB">
        <w:rPr>
          <w:rFonts w:ascii="Verdana" w:hAnsi="Verdana"/>
          <w:sz w:val="20"/>
        </w:rPr>
        <w:lastRenderedPageBreak/>
        <w:t>los hechos, especialmente cuando están o puedan estar involucrados agentes estatales</w:t>
      </w:r>
      <w:r w:rsidR="00BF2C46" w:rsidRPr="003D49EB">
        <w:rPr>
          <w:rFonts w:ascii="Verdana" w:hAnsi="Verdana"/>
          <w:sz w:val="20"/>
        </w:rPr>
        <w:t>.</w:t>
      </w:r>
    </w:p>
    <w:p w14:paraId="4E242DD3" w14:textId="20CC4C02" w:rsidR="00226095" w:rsidRPr="003D49EB" w:rsidRDefault="00952CAB" w:rsidP="009A4683">
      <w:pPr>
        <w:spacing w:after="100" w:afterAutospacing="1"/>
        <w:rPr>
          <w:szCs w:val="20"/>
        </w:rPr>
      </w:pPr>
      <w:r w:rsidRPr="00952CAB">
        <w:rPr>
          <w:b/>
          <w:szCs w:val="20"/>
        </w:rPr>
        <w:t xml:space="preserve">Corte IDH. Caso del Penal Miguel Castro </w:t>
      </w:r>
      <w:proofErr w:type="spellStart"/>
      <w:r w:rsidRPr="00952CAB">
        <w:rPr>
          <w:b/>
          <w:szCs w:val="20"/>
        </w:rPr>
        <w:t>Castro</w:t>
      </w:r>
      <w:proofErr w:type="spellEnd"/>
      <w:r w:rsidRPr="00952CAB">
        <w:rPr>
          <w:b/>
          <w:szCs w:val="20"/>
        </w:rPr>
        <w:t xml:space="preserve"> Vs. Perú. Fondo, Reparaciones y Costas. Sentencia de 25 de noviembre de 2006. Serie C No. 160</w:t>
      </w:r>
      <w:r w:rsidR="00226095" w:rsidRPr="003D49EB">
        <w:rPr>
          <w:b/>
          <w:szCs w:val="20"/>
        </w:rPr>
        <w:t>.</w:t>
      </w:r>
    </w:p>
    <w:p w14:paraId="5CFEE3EC" w14:textId="77FA493C" w:rsidR="00226095" w:rsidRPr="003D49EB" w:rsidRDefault="00226095" w:rsidP="009A4683">
      <w:pPr>
        <w:spacing w:after="100" w:afterAutospacing="1"/>
        <w:rPr>
          <w:b/>
          <w:szCs w:val="20"/>
        </w:rPr>
      </w:pPr>
      <w:r w:rsidRPr="003D49EB">
        <w:rPr>
          <w:szCs w:val="20"/>
        </w:rPr>
        <w:t>344.</w:t>
      </w:r>
      <w:r w:rsidRPr="003D49EB">
        <w:rPr>
          <w:szCs w:val="20"/>
        </w:rPr>
        <w:tab/>
        <w:t>En particular, respecto de la obligación de garantizar el derecho reconocido en el artículo 5 de la Convención Americana, la Corte ha señalado que ésta implica el deber del Estado de investigar posibles actos de tortura u otros tratos crueles, inhumanos o degradantes. Asimismo, en virtud de que el Perú ratificó el 4 de junio de 1996 la Convención Interamericana para Prevenir, Sancionar y Erradicar la Violencia contra la Mujer, a partir de esa fecha debía observar lo dispuesto en el artículo 7.b de dicho tratado, que le obliga a actuar con la debida diligencia para investigar y sancionar dicha violencia.</w:t>
      </w:r>
      <w:r w:rsidRPr="003D49EB">
        <w:rPr>
          <w:b/>
          <w:szCs w:val="20"/>
        </w:rPr>
        <w:t xml:space="preserve"> </w:t>
      </w:r>
      <w:r w:rsidRPr="003D49EB">
        <w:rPr>
          <w:szCs w:val="20"/>
        </w:rPr>
        <w:t>La obligación de investigar también se ve reforzada por lo dispuesto en los artículos 1, 6 y 8 de la Convención Interamericana para Prevenir y Sancionar la Tortura, de acuerdo a los cuales el Estado se encuentra obligado a “tomar</w:t>
      </w:r>
      <w:r w:rsidR="00A867D4" w:rsidRPr="003D49EB">
        <w:rPr>
          <w:szCs w:val="20"/>
        </w:rPr>
        <w:t xml:space="preserve"> </w:t>
      </w:r>
      <w:r w:rsidRPr="003D49EB">
        <w:rPr>
          <w:szCs w:val="20"/>
        </w:rPr>
        <w:t>[…] medidas efectivas para prevenir y sancionar la tortura en el ámbito de su jurisdicción”, así como para “prevenir y sancionar […] otros tratos o penas cru</w:t>
      </w:r>
      <w:r w:rsidR="00A867D4" w:rsidRPr="003D49EB">
        <w:rPr>
          <w:szCs w:val="20"/>
        </w:rPr>
        <w:t>eles, inhumanos o degradantes”.</w:t>
      </w:r>
      <w:r w:rsidRPr="003D49EB">
        <w:rPr>
          <w:szCs w:val="20"/>
        </w:rPr>
        <w:t xml:space="preserve"> […]</w:t>
      </w:r>
      <w:r w:rsidR="006D57CC" w:rsidRPr="003D49EB">
        <w:rPr>
          <w:szCs w:val="20"/>
        </w:rPr>
        <w:t xml:space="preserve"> </w:t>
      </w:r>
      <w:r w:rsidR="006E5C73">
        <w:rPr>
          <w:rStyle w:val="EnelmismoCar"/>
        </w:rPr>
        <w:t>En similar sentido, ver entre otros</w:t>
      </w:r>
      <w:r w:rsidR="006D57CC" w:rsidRPr="003D49EB">
        <w:rPr>
          <w:rStyle w:val="EnelmismoCar"/>
        </w:rPr>
        <w:t>: Caso Bueno Alves vs. Argentina. Sentencia de 11 d</w:t>
      </w:r>
      <w:r w:rsidR="006B0AD4" w:rsidRPr="003D49EB">
        <w:rPr>
          <w:rStyle w:val="EnelmismoCar"/>
        </w:rPr>
        <w:t>e mayo de 2007</w:t>
      </w:r>
      <w:r w:rsidR="006D57CC" w:rsidRPr="003D49EB">
        <w:rPr>
          <w:rStyle w:val="EnelmismoCar"/>
        </w:rPr>
        <w:t>, párr. 88.</w:t>
      </w:r>
    </w:p>
    <w:p w14:paraId="397AC0A2" w14:textId="77777777" w:rsidR="00226095" w:rsidRPr="003D49EB" w:rsidRDefault="00226095" w:rsidP="009A4683">
      <w:pPr>
        <w:spacing w:after="100" w:afterAutospacing="1"/>
        <w:rPr>
          <w:szCs w:val="20"/>
        </w:rPr>
      </w:pPr>
      <w:r w:rsidRPr="003D49EB">
        <w:rPr>
          <w:szCs w:val="20"/>
        </w:rPr>
        <w:t>346.</w:t>
      </w:r>
      <w:r w:rsidRPr="003D49EB">
        <w:rPr>
          <w:szCs w:val="20"/>
        </w:rPr>
        <w:tab/>
        <w:t>En el presente caso, la Corte considera que por los hechos declarados como violatorios del derecho a la integridad personal surgió para el Estado la obligación de investigar las afectaciones del mismo, la cual deriva del artículo 1.1 de la Convención Americana en conjunto con el referido derecho sustantivo</w:t>
      </w:r>
      <w:r w:rsidRPr="003D49EB">
        <w:rPr>
          <w:b/>
          <w:szCs w:val="20"/>
        </w:rPr>
        <w:t xml:space="preserve"> </w:t>
      </w:r>
      <w:r w:rsidRPr="003D49EB">
        <w:rPr>
          <w:szCs w:val="20"/>
        </w:rPr>
        <w:t>protegido en el artículo 5 de la misma, aplicando las referidas disposiciones de la Convención Interamericana para Prevenir, Sancionar y Erradicar la Violencia contra la Mujer y de la Convención Interamericana para Prevenir y Sancionar la Tortura.</w:t>
      </w:r>
      <w:r w:rsidR="008B18CE" w:rsidRPr="003D49EB">
        <w:rPr>
          <w:szCs w:val="20"/>
        </w:rPr>
        <w:t xml:space="preserve"> </w:t>
      </w:r>
      <w:r w:rsidRPr="003D49EB">
        <w:rPr>
          <w:szCs w:val="20"/>
        </w:rPr>
        <w:t>Dichas disposiciones son aplicables al caso ya que especifican y complementan las obligaciones que tiene el Estado con respecto al cumplimiento de los derechos consagrados en la Convención Americana.</w:t>
      </w:r>
      <w:r w:rsidR="008B18CE" w:rsidRPr="003D49EB">
        <w:rPr>
          <w:szCs w:val="20"/>
        </w:rPr>
        <w:t xml:space="preserve"> </w:t>
      </w:r>
    </w:p>
    <w:p w14:paraId="353CCFE8" w14:textId="24AB50D7" w:rsidR="00226095" w:rsidRPr="003D49EB" w:rsidRDefault="006D57CC" w:rsidP="009A4683">
      <w:pPr>
        <w:spacing w:after="100" w:afterAutospacing="1"/>
        <w:rPr>
          <w:i/>
          <w:szCs w:val="20"/>
        </w:rPr>
      </w:pPr>
      <w:r w:rsidRPr="003D49EB">
        <w:rPr>
          <w:szCs w:val="20"/>
        </w:rPr>
        <w:t>347.</w:t>
      </w:r>
      <w:r w:rsidRPr="003D49EB">
        <w:rPr>
          <w:szCs w:val="20"/>
        </w:rPr>
        <w:tab/>
        <w:t xml:space="preserve">En definitiva, el deber de investigar constituye una obligación estatal imperativa que deriva del derecho internacional y no puede desecharse o condicionarse por actos o disposiciones normativas internas de ninguna índole. Como ya ha señalado este Tribunal, en casos de vulneraciones graves a derechos fundamentales la necesidad imperiosa de evitar la repetición de tales hechos depende, en buena medida, de que se evite su impunidad y se satisfaga el derecho de las víctimas y la sociedad en su conjunto de acceder al conocimiento de la verdad de lo sucedido. La obligación de investigar constituye un medio para garantizar tales derechos; y su incumplimiento acarrea la responsabilidad internacional del Estado. </w:t>
      </w:r>
      <w:r w:rsidR="006E5C73">
        <w:rPr>
          <w:rStyle w:val="EnelmismoCar"/>
        </w:rPr>
        <w:t>En similar sentido, ver entre otros</w:t>
      </w:r>
      <w:r w:rsidRPr="003D49EB">
        <w:rPr>
          <w:rStyle w:val="EnelmismoCar"/>
        </w:rPr>
        <w:t>: Caso Bueno Alves vs. Argentina. Sentencia de 11 d</w:t>
      </w:r>
      <w:r w:rsidR="006B0AD4" w:rsidRPr="003D49EB">
        <w:rPr>
          <w:rStyle w:val="EnelmismoCar"/>
        </w:rPr>
        <w:t>e mayo de 2007</w:t>
      </w:r>
      <w:r w:rsidRPr="003D49EB">
        <w:rPr>
          <w:rStyle w:val="EnelmismoCar"/>
        </w:rPr>
        <w:t>, párr. 90.</w:t>
      </w:r>
    </w:p>
    <w:p w14:paraId="7900D4F0" w14:textId="0A05F424" w:rsidR="006D57CC" w:rsidRPr="003D49EB" w:rsidRDefault="00274EE6" w:rsidP="009A4683">
      <w:pPr>
        <w:spacing w:after="100" w:afterAutospacing="1"/>
        <w:rPr>
          <w:b/>
          <w:szCs w:val="20"/>
        </w:rPr>
      </w:pPr>
      <w:r w:rsidRPr="00274EE6">
        <w:rPr>
          <w:b/>
          <w:szCs w:val="20"/>
        </w:rPr>
        <w:t>Corte IDH. Caso Valle Jaramillo y otros Vs. Colombia. Fondo, Reparaciones y Costas. Sentencia de 27 de noviembre de 2008. Serie C No. 192.</w:t>
      </w:r>
      <w:r w:rsidR="006D57CC" w:rsidRPr="003D49EB">
        <w:rPr>
          <w:b/>
          <w:szCs w:val="20"/>
        </w:rPr>
        <w:t xml:space="preserve"> </w:t>
      </w:r>
    </w:p>
    <w:p w14:paraId="2FF5FD57" w14:textId="77777777" w:rsidR="006D57CC" w:rsidRPr="003D49EB" w:rsidRDefault="006D57CC" w:rsidP="009A4683">
      <w:pPr>
        <w:widowControl w:val="0"/>
        <w:autoSpaceDE w:val="0"/>
        <w:autoSpaceDN w:val="0"/>
        <w:adjustRightInd w:val="0"/>
        <w:spacing w:after="100" w:afterAutospacing="1"/>
        <w:rPr>
          <w:szCs w:val="20"/>
        </w:rPr>
      </w:pPr>
      <w:r w:rsidRPr="003D49EB">
        <w:rPr>
          <w:szCs w:val="20"/>
        </w:rPr>
        <w:t>97.</w:t>
      </w:r>
      <w:r w:rsidRPr="003D49EB">
        <w:rPr>
          <w:szCs w:val="20"/>
        </w:rPr>
        <w:tab/>
        <w:t>En el presente caso, esta Corte entiende que de los hechos ocurridos surgió para el Estado la obligación de investigar respecto de la violación del derecho a la vida, integridad personal y libertad personal de Jesús María Valle Jaramillo. Este Tribunal ha reconocido en casos anteriores que del deber general de garantía señalado en el artículo 1.1 de la Convención, surgen obligaciones que recaen sobre el Estado a fin de asegurar el libre y pleno ejercicio de los derechos reconocidos en la Convención a toda persona sujeta a su jurisdicción.</w:t>
      </w:r>
      <w:r w:rsidR="008B18CE" w:rsidRPr="003D49EB">
        <w:rPr>
          <w:szCs w:val="20"/>
        </w:rPr>
        <w:t xml:space="preserve"> </w:t>
      </w:r>
      <w:r w:rsidRPr="003D49EB">
        <w:rPr>
          <w:szCs w:val="20"/>
        </w:rPr>
        <w:t xml:space="preserve">Este deber de garantía, al estar vinculado con derechos específicos, puede ser cumplido de diferentes maneras, </w:t>
      </w:r>
      <w:r w:rsidRPr="003D49EB">
        <w:rPr>
          <w:szCs w:val="20"/>
        </w:rPr>
        <w:lastRenderedPageBreak/>
        <w:t xml:space="preserve">dependiendo del derecho a garantizar y de la situación particular del caso. </w:t>
      </w:r>
    </w:p>
    <w:p w14:paraId="0B04B9B7" w14:textId="77777777" w:rsidR="006D57CC" w:rsidRPr="003D49EB" w:rsidRDefault="006D57CC" w:rsidP="009A4683">
      <w:pPr>
        <w:widowControl w:val="0"/>
        <w:autoSpaceDE w:val="0"/>
        <w:autoSpaceDN w:val="0"/>
        <w:adjustRightInd w:val="0"/>
        <w:spacing w:after="100" w:afterAutospacing="1"/>
        <w:rPr>
          <w:szCs w:val="20"/>
        </w:rPr>
      </w:pPr>
      <w:r w:rsidRPr="003D49EB">
        <w:rPr>
          <w:szCs w:val="20"/>
        </w:rPr>
        <w:t>98.</w:t>
      </w:r>
      <w:r w:rsidRPr="003D49EB">
        <w:rPr>
          <w:szCs w:val="20"/>
        </w:rPr>
        <w:tab/>
        <w:t xml:space="preserve">La obligación de investigar violaciones de derechos humanos se encuentra dentro de las medidas positivas que deben adoptar los Estados para garantizar los derechos </w:t>
      </w:r>
      <w:r w:rsidRPr="003D49EB">
        <w:rPr>
          <w:bCs/>
          <w:szCs w:val="20"/>
        </w:rPr>
        <w:t>reconocidos</w:t>
      </w:r>
      <w:r w:rsidRPr="003D49EB">
        <w:rPr>
          <w:szCs w:val="20"/>
        </w:rPr>
        <w:t xml:space="preserve"> en la Convención.</w:t>
      </w:r>
      <w:r w:rsidR="008B18CE" w:rsidRPr="003D49EB">
        <w:rPr>
          <w:szCs w:val="20"/>
        </w:rPr>
        <w:t xml:space="preserve"> </w:t>
      </w:r>
      <w:r w:rsidRPr="003D49EB">
        <w:rPr>
          <w:szCs w:val="20"/>
        </w:rPr>
        <w:t xml:space="preserve">Además, los Estados deben procurar, si es posible, el restablecimiento del derecho conculcado y, en su caso, la reparación de los daños producidos por dichas violaciones. </w:t>
      </w:r>
    </w:p>
    <w:p w14:paraId="4F55636B" w14:textId="77777777" w:rsidR="006D57CC" w:rsidRPr="003D49EB" w:rsidRDefault="006D57CC" w:rsidP="009A4683">
      <w:pPr>
        <w:widowControl w:val="0"/>
        <w:autoSpaceDE w:val="0"/>
        <w:autoSpaceDN w:val="0"/>
        <w:adjustRightInd w:val="0"/>
        <w:spacing w:after="100" w:afterAutospacing="1"/>
        <w:rPr>
          <w:szCs w:val="20"/>
        </w:rPr>
      </w:pPr>
      <w:r w:rsidRPr="003D49EB">
        <w:rPr>
          <w:szCs w:val="20"/>
        </w:rPr>
        <w:t>99.</w:t>
      </w:r>
      <w:r w:rsidRPr="003D49EB">
        <w:rPr>
          <w:szCs w:val="20"/>
        </w:rPr>
        <w:tab/>
        <w:t xml:space="preserve">Cabe señalar que la obligación de investigar no sólo se desprende de las normas convencionales de Derecho Internacional imperativas para los Estados Parte, sino que además se deriva de la legislación interna que haga referencia al deber de investigar de oficio ciertas conductas ilícitas y a las normas que permiten que las víctimas o sus familiares denuncien o presenten querellas para participar procesalmente en la investigación penal con la pretensión de establecer la verdad de los hechos. </w:t>
      </w:r>
    </w:p>
    <w:p w14:paraId="19D3D3B8" w14:textId="77777777" w:rsidR="006D57CC" w:rsidRPr="003D49EB" w:rsidRDefault="006D57CC" w:rsidP="009A4683">
      <w:pPr>
        <w:widowControl w:val="0"/>
        <w:autoSpaceDE w:val="0"/>
        <w:autoSpaceDN w:val="0"/>
        <w:adjustRightInd w:val="0"/>
        <w:spacing w:after="100" w:afterAutospacing="1"/>
        <w:rPr>
          <w:szCs w:val="20"/>
        </w:rPr>
      </w:pPr>
      <w:r w:rsidRPr="003D49EB">
        <w:rPr>
          <w:szCs w:val="20"/>
        </w:rPr>
        <w:t>100.</w:t>
      </w:r>
      <w:r w:rsidRPr="003D49EB">
        <w:rPr>
          <w:szCs w:val="20"/>
        </w:rPr>
        <w:tab/>
        <w:t>El deber de investigar es una obligación de medios, y no de resultados, que debe ser asumida por el Estado como un deber jurídico propio y no como una simple formalidad condenada de antemano a ser infructuosa. La obligación del Estado de investigar debe cumplirse diligentemente para evitar la impunidad y que este tipo de hechos vuelvan a repetirse.</w:t>
      </w:r>
      <w:r w:rsidR="008B18CE" w:rsidRPr="003D49EB">
        <w:rPr>
          <w:szCs w:val="20"/>
        </w:rPr>
        <w:t xml:space="preserve"> </w:t>
      </w:r>
      <w:r w:rsidRPr="003D49EB">
        <w:rPr>
          <w:szCs w:val="20"/>
        </w:rPr>
        <w:t>En este sentido la Corte recuerda que la impunidad fomenta la repetición de las violaciones de derechos humanos.</w:t>
      </w:r>
    </w:p>
    <w:p w14:paraId="6E6DF722" w14:textId="19D3B1B1" w:rsidR="005E0916" w:rsidRPr="003D49EB" w:rsidRDefault="00952CAB" w:rsidP="009A4683">
      <w:pPr>
        <w:spacing w:after="100" w:afterAutospacing="1"/>
        <w:rPr>
          <w:b/>
          <w:szCs w:val="20"/>
        </w:rPr>
      </w:pPr>
      <w:r w:rsidRPr="003D49EB">
        <w:rPr>
          <w:b/>
          <w:szCs w:val="20"/>
        </w:rPr>
        <w:t>Corte IDH. Caso Ríos y otros Vs. Venezuela. Excepciones Preliminares, Fondo, Reparaciones y Costas. Sentencia de 28 de enero de 2009. Serie C No. 194</w:t>
      </w:r>
      <w:r w:rsidR="005E0916" w:rsidRPr="003D49EB">
        <w:rPr>
          <w:b/>
          <w:szCs w:val="20"/>
        </w:rPr>
        <w:t xml:space="preserve">. </w:t>
      </w:r>
    </w:p>
    <w:p w14:paraId="0BAEC386" w14:textId="1C9D15A3" w:rsidR="005E0916" w:rsidRPr="003D49EB" w:rsidRDefault="005E0916" w:rsidP="009A4683">
      <w:pPr>
        <w:spacing w:after="100" w:afterAutospacing="1"/>
        <w:rPr>
          <w:b/>
          <w:szCs w:val="20"/>
        </w:rPr>
      </w:pPr>
      <w:r w:rsidRPr="003D49EB">
        <w:rPr>
          <w:szCs w:val="20"/>
          <w:lang w:val="es-CR"/>
        </w:rPr>
        <w:t>283.</w:t>
      </w:r>
      <w:r w:rsidRPr="003D49EB">
        <w:rPr>
          <w:szCs w:val="20"/>
          <w:lang w:val="es-CR"/>
        </w:rPr>
        <w:tab/>
        <w:t xml:space="preserve">La investigación de la violación de determinado derecho sustantivo puede ser un medio para amparar, proteger o garantizar ese derecho. La obligación de investigar “adquiere particular intensidad e importancia ante la gravedad de los delitos cometidos y la naturaleza de los derechos lesionados”, incluso hasta alcanzar esa obligación, en algunos casos, el carácter de </w:t>
      </w:r>
      <w:proofErr w:type="spellStart"/>
      <w:r w:rsidRPr="003D49EB">
        <w:rPr>
          <w:i/>
          <w:szCs w:val="20"/>
          <w:lang w:val="es-CR"/>
        </w:rPr>
        <w:t>jus</w:t>
      </w:r>
      <w:proofErr w:type="spellEnd"/>
      <w:r w:rsidRPr="003D49EB">
        <w:rPr>
          <w:i/>
          <w:szCs w:val="20"/>
          <w:lang w:val="es-CR"/>
        </w:rPr>
        <w:t xml:space="preserve"> cogens.</w:t>
      </w:r>
      <w:r w:rsidRPr="003D49EB">
        <w:rPr>
          <w:szCs w:val="20"/>
          <w:lang w:val="es-CR"/>
        </w:rPr>
        <w:t xml:space="preserve"> En casos de ejecuciones extrajudiciales, desapariciones forzadas, tortura y otras graves violaciones a los derechos humanos, el Tribunal ha considerado que la realización de una investigación </w:t>
      </w:r>
      <w:r w:rsidRPr="003D49EB">
        <w:rPr>
          <w:i/>
          <w:szCs w:val="20"/>
          <w:lang w:val="es-CR"/>
        </w:rPr>
        <w:t>ex officio</w:t>
      </w:r>
      <w:r w:rsidRPr="003D49EB">
        <w:rPr>
          <w:szCs w:val="20"/>
          <w:lang w:val="es-CR"/>
        </w:rPr>
        <w:t>, sin dilación, seria, imparcial y efectiva, es un elemento fundamental y condicionante para la protección de ciertos derechos afectados por esas situaciones, como la libertad personal, la integridad personal y la vida. Se considera que en esos casos l</w:t>
      </w:r>
      <w:r w:rsidRPr="003D49EB">
        <w:rPr>
          <w:spacing w:val="-3"/>
          <w:szCs w:val="20"/>
          <w:lang w:val="es-CR"/>
        </w:rPr>
        <w:t xml:space="preserve">a impunidad no será erradicada sin la determinación de las responsabilidades generales –del Estado- e individuales –penales y de otra índole de sus agentes o de particulares-, complementarias entre sí. </w:t>
      </w:r>
      <w:r w:rsidRPr="003D49EB">
        <w:rPr>
          <w:szCs w:val="20"/>
          <w:lang w:val="es-CR"/>
        </w:rPr>
        <w:t xml:space="preserve">Por </w:t>
      </w:r>
      <w:r w:rsidRPr="003D49EB">
        <w:rPr>
          <w:spacing w:val="-3"/>
          <w:szCs w:val="20"/>
          <w:lang w:val="es-CR"/>
        </w:rPr>
        <w:t xml:space="preserve">la naturaleza y gravedad de los hechos, más aún si existe un contexto de violación sistemática de derechos humanos, </w:t>
      </w:r>
      <w:r w:rsidRPr="003D49EB">
        <w:rPr>
          <w:szCs w:val="20"/>
          <w:lang w:val="es-CR"/>
        </w:rPr>
        <w:t>los Estados se hallan obligados a realizar una investigación con las características señaladas, de acuerdo con los requerimientos del debido proceso</w:t>
      </w:r>
      <w:r w:rsidRPr="003D49EB">
        <w:rPr>
          <w:spacing w:val="-3"/>
          <w:szCs w:val="20"/>
          <w:lang w:val="es-CR"/>
        </w:rPr>
        <w:t>. E</w:t>
      </w:r>
      <w:r w:rsidRPr="003D49EB">
        <w:rPr>
          <w:szCs w:val="20"/>
          <w:lang w:val="es-CR"/>
        </w:rPr>
        <w:t xml:space="preserve">l incumplimiento genera, en tales supuestos, responsabilidad internacional del Estado. </w:t>
      </w:r>
      <w:r w:rsidR="006E5C73">
        <w:rPr>
          <w:rStyle w:val="EnelmismoCar"/>
        </w:rPr>
        <w:t>En similar sentido, ver entre otros</w:t>
      </w:r>
      <w:r w:rsidRPr="003D49EB">
        <w:rPr>
          <w:rStyle w:val="EnelmismoCar"/>
        </w:rPr>
        <w:t>: Caso Perozo vs. Venezuela. Sentencia de 28 de e</w:t>
      </w:r>
      <w:r w:rsidR="006B0AD4" w:rsidRPr="003D49EB">
        <w:rPr>
          <w:rStyle w:val="EnelmismoCar"/>
        </w:rPr>
        <w:t>nero de 2009</w:t>
      </w:r>
      <w:r w:rsidRPr="003D49EB">
        <w:rPr>
          <w:rStyle w:val="EnelmismoCar"/>
        </w:rPr>
        <w:t>, párr. 298.</w:t>
      </w:r>
    </w:p>
    <w:p w14:paraId="4A8F9C02" w14:textId="15CD0E61" w:rsidR="005E0916" w:rsidRPr="003D49EB" w:rsidRDefault="005E0916" w:rsidP="009A4683">
      <w:pPr>
        <w:spacing w:after="100" w:afterAutospacing="1"/>
        <w:rPr>
          <w:i/>
          <w:szCs w:val="20"/>
          <w:lang w:val="es-CR"/>
        </w:rPr>
      </w:pPr>
      <w:r w:rsidRPr="003D49EB">
        <w:rPr>
          <w:szCs w:val="20"/>
          <w:lang w:val="es-CR"/>
        </w:rPr>
        <w:t>28</w:t>
      </w:r>
      <w:r w:rsidR="00301DED" w:rsidRPr="003D49EB">
        <w:rPr>
          <w:szCs w:val="20"/>
          <w:lang w:val="es-CR"/>
        </w:rPr>
        <w:t>4.</w:t>
      </w:r>
      <w:r w:rsidR="00301DED" w:rsidRPr="003D49EB">
        <w:rPr>
          <w:szCs w:val="20"/>
          <w:lang w:val="es-CR"/>
        </w:rPr>
        <w:tab/>
        <w:t xml:space="preserve">La obligación de investigar </w:t>
      </w:r>
      <w:r w:rsidRPr="003D49EB">
        <w:rPr>
          <w:szCs w:val="20"/>
          <w:lang w:val="es-CR"/>
        </w:rPr>
        <w:t>no sólo se desprende de las normas convencionales de Derecho Internacional imperativas para los Estados Parte, sino que además se deriva de la legislación interna que haga referencia al deber de investigar de oficio ciertas conductas ilícitas</w:t>
      </w:r>
      <w:r w:rsidR="00301DED" w:rsidRPr="003D49EB">
        <w:rPr>
          <w:szCs w:val="20"/>
          <w:lang w:val="es-CR"/>
        </w:rPr>
        <w:t>.</w:t>
      </w:r>
      <w:r w:rsidRPr="003D49EB">
        <w:rPr>
          <w:szCs w:val="20"/>
          <w:lang w:val="es-CR"/>
        </w:rPr>
        <w:t xml:space="preserve"> Así, corresponde a los Estados Parte disponer, de acuerdo con los procedimientos y a través de los órganos establecidos en su Constitución y sus leyes, qué conductas ilícitas serán investigadas de oficio y regular el régimen de la acción penal en el procedimiento interno, así como las normas que permitan que los ofendidos o perjudicados denuncien o ejerzan la acción penal y, en su caso, participen en la investigación y en el proceso. Para demostrar que es adecuado </w:t>
      </w:r>
      <w:r w:rsidRPr="003D49EB">
        <w:rPr>
          <w:szCs w:val="20"/>
          <w:lang w:val="es-CR"/>
        </w:rPr>
        <w:lastRenderedPageBreak/>
        <w:t xml:space="preserve">determinado recurso, como puede ser una investigación penal, será preciso verificar que es idóneo para proteger la situación jurídica que se supone infringida. </w:t>
      </w:r>
      <w:r w:rsidR="006E5C73">
        <w:rPr>
          <w:rStyle w:val="EnelmismoCar"/>
        </w:rPr>
        <w:t>En similar sentido, ver entre otros</w:t>
      </w:r>
      <w:r w:rsidRPr="003D49EB">
        <w:rPr>
          <w:rStyle w:val="EnelmismoCar"/>
        </w:rPr>
        <w:t>: Caso Perozo vs. Venezuela. Sentencia de 28 de enero de 2009, párr. 299.</w:t>
      </w:r>
    </w:p>
    <w:p w14:paraId="0260D8A4" w14:textId="77777777" w:rsidR="005E0916" w:rsidRPr="003D49EB" w:rsidRDefault="005E0916" w:rsidP="009A4683">
      <w:pPr>
        <w:spacing w:after="100" w:afterAutospacing="1"/>
        <w:rPr>
          <w:szCs w:val="20"/>
          <w:lang w:val="es-CR"/>
        </w:rPr>
      </w:pPr>
      <w:r w:rsidRPr="003D49EB">
        <w:rPr>
          <w:szCs w:val="20"/>
          <w:lang w:val="es-CR"/>
        </w:rPr>
        <w:t>303.</w:t>
      </w:r>
      <w:r w:rsidRPr="003D49EB">
        <w:rPr>
          <w:szCs w:val="20"/>
          <w:lang w:val="es-CR"/>
        </w:rPr>
        <w:tab/>
        <w:t>No corresponde a este Tribunal sustituir a la jurisdicción interna para determinar si los hechos denunciados como conductas ilícitas eran conexos o no bajo las reglas del COPP y si procedía la acumulación de los hechos denunciados. Sin embargo, la Corte observa que las autoridades judiciales no se pronunciaron sobre la procedencia o aplicabilidad de las reglas de conexidad ni emitieron, salvo en algunos casos, decisiones que hubiesen aclarado si la vía intentada era la adecuada.</w:t>
      </w:r>
    </w:p>
    <w:p w14:paraId="5863ABDF" w14:textId="77777777" w:rsidR="005E0916" w:rsidRPr="003D49EB" w:rsidRDefault="005E0916" w:rsidP="009A4683">
      <w:pPr>
        <w:spacing w:after="100" w:afterAutospacing="1"/>
        <w:rPr>
          <w:szCs w:val="20"/>
          <w:lang w:val="es-CR"/>
        </w:rPr>
      </w:pPr>
      <w:r w:rsidRPr="003D49EB">
        <w:rPr>
          <w:szCs w:val="20"/>
          <w:lang w:val="es-CR"/>
        </w:rPr>
        <w:t>304.</w:t>
      </w:r>
      <w:r w:rsidRPr="003D49EB">
        <w:rPr>
          <w:szCs w:val="20"/>
          <w:lang w:val="es-CR"/>
        </w:rPr>
        <w:tab/>
        <w:t xml:space="preserve">[…] En cuanto a los hechos que efectivamente fueron puestos en conocimiento del Ministerio Público, la Corte considera que correspondía a este órgano, como encargado de la persecución penal, emitir oportunamente una decisión para ordenar el inicio de la respectiva investigación o solicitar la desestimación de la denuncia, según correspondiere. Esto no ocurrió en el presente caso respecto de estos hechos. </w:t>
      </w:r>
    </w:p>
    <w:p w14:paraId="02C56EDF" w14:textId="77777777" w:rsidR="005E0916" w:rsidRPr="003D49EB" w:rsidRDefault="005E0916" w:rsidP="009A4683">
      <w:pPr>
        <w:spacing w:after="100" w:afterAutospacing="1"/>
        <w:rPr>
          <w:szCs w:val="20"/>
          <w:lang w:val="es-CR"/>
        </w:rPr>
      </w:pPr>
      <w:r w:rsidRPr="003D49EB">
        <w:rPr>
          <w:szCs w:val="20"/>
          <w:lang w:val="es-CR"/>
        </w:rPr>
        <w:t>311.</w:t>
      </w:r>
      <w:r w:rsidRPr="003D49EB">
        <w:rPr>
          <w:szCs w:val="20"/>
          <w:lang w:val="es-CR"/>
        </w:rPr>
        <w:tab/>
        <w:t>En consecuencia, esta causa fue asignada sucesivamente a diversas fiscalías.</w:t>
      </w:r>
      <w:r w:rsidRPr="003D49EB">
        <w:rPr>
          <w:b/>
          <w:szCs w:val="20"/>
          <w:lang w:val="es-CR"/>
        </w:rPr>
        <w:t xml:space="preserve"> </w:t>
      </w:r>
      <w:r w:rsidRPr="003D49EB">
        <w:rPr>
          <w:szCs w:val="20"/>
          <w:lang w:val="es-CR"/>
        </w:rPr>
        <w:t>La cantidad y frecuencia de cambios en el órgano encargado de la investigación no resulta favorable para el desarrollo y efectividad de ésta. No se ha establecido que tales cambios obedezcan a motivos particulares que los justifique, y en este caso no han sido alegados.</w:t>
      </w:r>
    </w:p>
    <w:p w14:paraId="6B3B17DB" w14:textId="77777777" w:rsidR="005E0916" w:rsidRPr="003D49EB" w:rsidRDefault="005E0916" w:rsidP="009A4683">
      <w:pPr>
        <w:spacing w:after="100" w:afterAutospacing="1"/>
        <w:rPr>
          <w:szCs w:val="20"/>
          <w:lang w:val="es-CR"/>
        </w:rPr>
      </w:pPr>
      <w:r w:rsidRPr="003D49EB">
        <w:rPr>
          <w:szCs w:val="20"/>
          <w:lang w:val="es-CR"/>
        </w:rPr>
        <w:t>316.</w:t>
      </w:r>
      <w:r w:rsidRPr="003D49EB">
        <w:rPr>
          <w:szCs w:val="20"/>
          <w:lang w:val="es-CR"/>
        </w:rPr>
        <w:tab/>
        <w:t>Este Tribunal nota que la legislación procesal penal venezolana no establece un plazo cierto para la investigación previo a la individualización del imputado, sino requiere que se realice “</w:t>
      </w:r>
      <w:r w:rsidRPr="003D49EB">
        <w:rPr>
          <w:rFonts w:cs="Verdana"/>
          <w:szCs w:val="20"/>
          <w:lang w:val="es-CR" w:bidi="en-US"/>
        </w:rPr>
        <w:t xml:space="preserve">con la diligencia que el caso requiera” […]. </w:t>
      </w:r>
      <w:r w:rsidRPr="003D49EB">
        <w:rPr>
          <w:szCs w:val="20"/>
          <w:lang w:val="es-CR"/>
        </w:rPr>
        <w:t xml:space="preserve">Por ello, el momento en que el Ministerio Público tomó conocimiento del hecho, de oficio o por denuncia, es relevante para evaluar si las investigaciones fueron conducidas diligentemente. </w:t>
      </w:r>
    </w:p>
    <w:p w14:paraId="550F2B44" w14:textId="77777777" w:rsidR="005E0916" w:rsidRPr="003D49EB" w:rsidRDefault="005E0916" w:rsidP="009A4683">
      <w:pPr>
        <w:spacing w:after="100" w:afterAutospacing="1"/>
        <w:rPr>
          <w:szCs w:val="20"/>
          <w:lang w:val="es-CR"/>
        </w:rPr>
      </w:pPr>
      <w:r w:rsidRPr="003D49EB">
        <w:rPr>
          <w:szCs w:val="20"/>
          <w:lang w:val="es-CR"/>
        </w:rPr>
        <w:t>318.</w:t>
      </w:r>
      <w:r w:rsidRPr="003D49EB">
        <w:rPr>
          <w:szCs w:val="20"/>
          <w:lang w:val="es-CR"/>
        </w:rPr>
        <w:tab/>
        <w:t xml:space="preserve">La Corte observa que la investigación de los hechos de 2 y 28 de mayo de 2002 fue ordenada por el Ministerio Público dos años después de interpuesta la denuncia y las autoridades estatales demoraron más de seis años en llevar a cabo las primeras diligencias de investigación, sin que justificara el retardo en la recolección de pruebas tendientes a la comprobación de la materialidad del hecho y la identificación de los autores y partícipes […]. Con respecto a algunos hechos en los que se inició una investigación, quedó de manifiesto inactividad procesal por entre dos años y medio y seis años, que no fue justificada por el Estado […]. Este Tribunal encuentra que las investigaciones correspondientes a estos hechos no se han conducido en forma diligente y efectiva. </w:t>
      </w:r>
    </w:p>
    <w:p w14:paraId="41FBA01A" w14:textId="77777777" w:rsidR="005E0916" w:rsidRPr="003D49EB" w:rsidRDefault="005E0916" w:rsidP="009A4683">
      <w:pPr>
        <w:spacing w:after="100" w:afterAutospacing="1"/>
        <w:rPr>
          <w:szCs w:val="20"/>
          <w:lang w:val="es-CR"/>
        </w:rPr>
      </w:pPr>
      <w:r w:rsidRPr="003D49EB">
        <w:rPr>
          <w:szCs w:val="20"/>
          <w:lang w:val="es-CR"/>
        </w:rPr>
        <w:t>321.</w:t>
      </w:r>
      <w:r w:rsidRPr="003D49EB">
        <w:rPr>
          <w:szCs w:val="20"/>
          <w:lang w:val="es-CR"/>
        </w:rPr>
        <w:tab/>
        <w:t xml:space="preserve">En casos de agresión física, el tiempo en el que se realiza el dictamen médico es esencial para determinar fehacientemente la existencia de la lesión y del daño. La falta de dictamen o su realización tardía dificultan o imposibilitan la determinación de la gravedad de los hechos, en particular, a fin de clasificar legalmente la conducta bajo el tipo penal que corresponda, más aún cuando no se cuenta con otras pruebas. La Corte considera que el Estado tiene la obligación de proceder al examen y clasificación de las lesiones cuando se realiza la denuncia y se presenta el lesionado, a menos que el tiempo transcurrido entre ésta y el momento en que ocurrió el hecho torne imposible la caracterización de aquéllas. </w:t>
      </w:r>
    </w:p>
    <w:p w14:paraId="6D39DB76" w14:textId="77777777" w:rsidR="005E0916" w:rsidRPr="003D49EB" w:rsidRDefault="005E0916" w:rsidP="009A4683">
      <w:pPr>
        <w:spacing w:after="100" w:afterAutospacing="1"/>
        <w:rPr>
          <w:szCs w:val="20"/>
          <w:lang w:val="es-CR"/>
        </w:rPr>
      </w:pPr>
      <w:r w:rsidRPr="003D49EB">
        <w:rPr>
          <w:szCs w:val="20"/>
          <w:lang w:val="es-CR"/>
        </w:rPr>
        <w:t>322.</w:t>
      </w:r>
      <w:r w:rsidRPr="003D49EB">
        <w:rPr>
          <w:szCs w:val="20"/>
          <w:lang w:val="es-CR"/>
        </w:rPr>
        <w:tab/>
        <w:t xml:space="preserve">En ese caso en que no se realizó la evaluación médico-legal, la denuncia se presentó pocos días después y a pesar de ello no se ordenó esa diligencia. El Estado no aportó prueba suficiente para comprobar que el Ministerio Público desplegara las diligencias pertinentes, lo que permite sostener que hubo falta de diligencia por parte </w:t>
      </w:r>
      <w:r w:rsidRPr="003D49EB">
        <w:rPr>
          <w:szCs w:val="20"/>
          <w:lang w:val="es-CR"/>
        </w:rPr>
        <w:lastRenderedPageBreak/>
        <w:t>del órgano encargado de la persecución penal con respecto a su deber de llevar a cabo una investigación en forma diligente y efectiva.</w:t>
      </w:r>
    </w:p>
    <w:p w14:paraId="5FA52BC9" w14:textId="77777777" w:rsidR="005E0916" w:rsidRPr="003D49EB" w:rsidRDefault="005E0916" w:rsidP="009A4683">
      <w:pPr>
        <w:spacing w:after="100" w:afterAutospacing="1"/>
        <w:rPr>
          <w:szCs w:val="20"/>
          <w:lang w:val="es-CR"/>
        </w:rPr>
      </w:pPr>
      <w:r w:rsidRPr="003D49EB">
        <w:rPr>
          <w:szCs w:val="20"/>
          <w:lang w:val="es-CR"/>
        </w:rPr>
        <w:t>331.</w:t>
      </w:r>
      <w:r w:rsidRPr="003D49EB">
        <w:rPr>
          <w:szCs w:val="20"/>
          <w:lang w:val="es-CR"/>
        </w:rPr>
        <w:tab/>
        <w:t>La Corte observa que en la mayoría de las investigaciones iniciadas se evidencia una inactividad procesal injustificada; y que en algunas investigaciones no se han llevado a cabo todas las diligencias necesarias para la comprobación de la materialidad de los hechos […]. Por ello, este Tribunal encuentra que en estos casos el conjunto de las investigaciones no constituyó un medio efectivo para garantizar los derechos a la integridad personal y a buscar, recibir y difundir información de las presuntas víctimas.</w:t>
      </w:r>
    </w:p>
    <w:p w14:paraId="5E8DA9D7" w14:textId="77777777" w:rsidR="005E0916" w:rsidRPr="003D49EB" w:rsidRDefault="005E0916" w:rsidP="009A4683">
      <w:pPr>
        <w:spacing w:after="100" w:afterAutospacing="1"/>
        <w:rPr>
          <w:szCs w:val="20"/>
          <w:lang w:val="es-CR"/>
        </w:rPr>
      </w:pPr>
      <w:r w:rsidRPr="003D49EB">
        <w:rPr>
          <w:rFonts w:cs="Tahoma"/>
          <w:szCs w:val="20"/>
          <w:lang w:val="es-CR"/>
        </w:rPr>
        <w:t>334.</w:t>
      </w:r>
      <w:r w:rsidRPr="003D49EB">
        <w:rPr>
          <w:rFonts w:cs="Tahoma"/>
          <w:szCs w:val="20"/>
          <w:lang w:val="es-ES_tradnl"/>
        </w:rPr>
        <w:tab/>
        <w:t>De tal manera, la Corte considera que el conjunto de hechos probados conformaron formas de obstrucción, obstaculización y amedrentamiento para el ejercicio de las labores periodísticas de las presuntas víctimas, expresadas en ataques o puesta en riesgo de su integridad personal, que en los contextos de los referidos pronunciamientos de altos funcionarios públicos y de omisión de las autoridades estatales en su deber de debida diligencia en las investigaciones, constituyeron faltas a las obligaciones estatales de prevenir e investigar los hechos. Por ello, el Estado es responsable por el incumplimiento de su obligación contenida en el artículo 1.1 de la Convención de garantizar la libertad de buscar, recibir y difundir información y el derecho a la integridad personal, reconocidos en los artículos 13.1 y 5.1 de la Convención Americana, en perjuicio de</w:t>
      </w:r>
      <w:r w:rsidRPr="003D49EB">
        <w:rPr>
          <w:szCs w:val="20"/>
          <w:lang w:val="es-ES_tradnl"/>
        </w:rPr>
        <w:t xml:space="preserve"> Antonio José Monroy, Armando Amaya, Carlos Colmenares, David José Pérez Hansen, Erika Paz, Isabel Cristina </w:t>
      </w:r>
      <w:proofErr w:type="spellStart"/>
      <w:r w:rsidRPr="003D49EB">
        <w:rPr>
          <w:szCs w:val="20"/>
          <w:lang w:val="es-ES_tradnl"/>
        </w:rPr>
        <w:t>Mavarez</w:t>
      </w:r>
      <w:proofErr w:type="spellEnd"/>
      <w:r w:rsidRPr="003D49EB">
        <w:rPr>
          <w:szCs w:val="20"/>
          <w:lang w:val="es-ES_tradnl"/>
        </w:rPr>
        <w:t xml:space="preserve">, </w:t>
      </w:r>
      <w:proofErr w:type="spellStart"/>
      <w:r w:rsidRPr="003D49EB">
        <w:rPr>
          <w:szCs w:val="20"/>
          <w:lang w:val="es-ES_tradnl"/>
        </w:rPr>
        <w:t>Isnardo</w:t>
      </w:r>
      <w:proofErr w:type="spellEnd"/>
      <w:r w:rsidRPr="003D49EB">
        <w:rPr>
          <w:szCs w:val="20"/>
          <w:lang w:val="es-ES_tradnl"/>
        </w:rPr>
        <w:t xml:space="preserve"> José Bravo, Javier García Flores, Luisiana Ríos </w:t>
      </w:r>
      <w:proofErr w:type="spellStart"/>
      <w:r w:rsidRPr="003D49EB">
        <w:rPr>
          <w:szCs w:val="20"/>
          <w:lang w:val="es-ES_tradnl"/>
        </w:rPr>
        <w:t>Paiva</w:t>
      </w:r>
      <w:proofErr w:type="spellEnd"/>
      <w:r w:rsidRPr="003D49EB">
        <w:rPr>
          <w:szCs w:val="20"/>
          <w:lang w:val="es-ES_tradnl"/>
        </w:rPr>
        <w:t xml:space="preserve"> y Pedro Antonio Nikken García. Además, el Estado </w:t>
      </w:r>
      <w:r w:rsidRPr="003D49EB">
        <w:rPr>
          <w:rFonts w:cs="Tahoma"/>
          <w:szCs w:val="20"/>
          <w:lang w:val="es-ES_tradnl"/>
        </w:rPr>
        <w:t xml:space="preserve">es responsable por el incumplimiento de su obligación contenida en el artículo 1.1 de la Convención de garantizar la libertad de buscar, recibir y difundir información reconocido en el artículo 13.1 de la Convención Americana, en perjuicio de </w:t>
      </w:r>
      <w:proofErr w:type="spellStart"/>
      <w:r w:rsidRPr="003D49EB">
        <w:rPr>
          <w:szCs w:val="20"/>
          <w:lang w:val="es-ES_tradnl"/>
        </w:rPr>
        <w:t>Anahís</w:t>
      </w:r>
      <w:proofErr w:type="spellEnd"/>
      <w:r w:rsidRPr="003D49EB">
        <w:rPr>
          <w:szCs w:val="20"/>
          <w:lang w:val="es-ES_tradnl"/>
        </w:rPr>
        <w:t xml:space="preserve"> del Carmen Cruz </w:t>
      </w:r>
      <w:proofErr w:type="spellStart"/>
      <w:r w:rsidRPr="003D49EB">
        <w:rPr>
          <w:szCs w:val="20"/>
          <w:lang w:val="es-ES_tradnl"/>
        </w:rPr>
        <w:t>Finol</w:t>
      </w:r>
      <w:proofErr w:type="spellEnd"/>
      <w:r w:rsidRPr="003D49EB">
        <w:rPr>
          <w:szCs w:val="20"/>
          <w:lang w:val="es-ES_tradnl"/>
        </w:rPr>
        <w:t xml:space="preserve">, Argenis Uribe, </w:t>
      </w:r>
      <w:proofErr w:type="spellStart"/>
      <w:r w:rsidRPr="003D49EB">
        <w:rPr>
          <w:szCs w:val="20"/>
          <w:lang w:val="es-AR"/>
        </w:rPr>
        <w:t>Herbigio</w:t>
      </w:r>
      <w:proofErr w:type="spellEnd"/>
      <w:r w:rsidRPr="003D49EB">
        <w:rPr>
          <w:szCs w:val="20"/>
          <w:lang w:val="es-AR"/>
        </w:rPr>
        <w:t xml:space="preserve"> Antonio Henríquez Guevara</w:t>
      </w:r>
      <w:r w:rsidRPr="003D49EB">
        <w:rPr>
          <w:szCs w:val="20"/>
          <w:lang w:val="es-ES_tradnl"/>
        </w:rPr>
        <w:t xml:space="preserve">, Laura Cecilia Castellanos </w:t>
      </w:r>
      <w:proofErr w:type="spellStart"/>
      <w:r w:rsidRPr="003D49EB">
        <w:rPr>
          <w:szCs w:val="20"/>
          <w:lang w:val="es-ES_tradnl"/>
        </w:rPr>
        <w:t>Amarista</w:t>
      </w:r>
      <w:proofErr w:type="spellEnd"/>
      <w:r w:rsidRPr="003D49EB">
        <w:rPr>
          <w:szCs w:val="20"/>
          <w:lang w:val="es-ES_tradnl"/>
        </w:rPr>
        <w:t>, Luis Augusto Contreras Alvarado, Noé Pernía, Samuel Sotomayor, Wilmer Marcano y Winston Francisco Gutiérrez Bastardo.</w:t>
      </w:r>
    </w:p>
    <w:p w14:paraId="7BB9858D" w14:textId="5BBA92A1" w:rsidR="005243C0" w:rsidRPr="003D49EB" w:rsidRDefault="00A321D3" w:rsidP="009A4683">
      <w:pPr>
        <w:tabs>
          <w:tab w:val="right" w:pos="8838"/>
        </w:tabs>
        <w:spacing w:after="100" w:afterAutospacing="1"/>
        <w:rPr>
          <w:b/>
          <w:szCs w:val="20"/>
        </w:rPr>
      </w:pPr>
      <w:r w:rsidRPr="00A321D3">
        <w:rPr>
          <w:b/>
          <w:szCs w:val="20"/>
        </w:rPr>
        <w:t>Corte IDH. Caso González y otras (“Campo Algodonero”) Vs. México. Excepción Preliminar, Fondo, Reparaciones y Costas. Sentencia de 16 de noviembre de 2009. Serie C No. 205</w:t>
      </w:r>
      <w:r w:rsidR="005243C0" w:rsidRPr="003D49EB">
        <w:rPr>
          <w:b/>
          <w:szCs w:val="20"/>
        </w:rPr>
        <w:t xml:space="preserve">. </w:t>
      </w:r>
    </w:p>
    <w:p w14:paraId="17457A5F" w14:textId="09F046D8" w:rsidR="005243C0" w:rsidRPr="003D49EB" w:rsidRDefault="005243C0" w:rsidP="009A4683">
      <w:pPr>
        <w:widowControl w:val="0"/>
        <w:autoSpaceDE w:val="0"/>
        <w:autoSpaceDN w:val="0"/>
        <w:adjustRightInd w:val="0"/>
        <w:spacing w:before="120" w:after="100" w:afterAutospacing="1"/>
        <w:rPr>
          <w:b/>
          <w:szCs w:val="20"/>
          <w:lang w:val="es-EC"/>
        </w:rPr>
      </w:pPr>
      <w:r w:rsidRPr="003D49EB">
        <w:rPr>
          <w:szCs w:val="20"/>
          <w:lang w:val="es-EC"/>
        </w:rPr>
        <w:t>287.</w:t>
      </w:r>
      <w:r w:rsidRPr="003D49EB">
        <w:rPr>
          <w:szCs w:val="20"/>
          <w:lang w:val="es-EC"/>
        </w:rPr>
        <w:tab/>
        <w:t>De la obligación general de garantía de los derechos a la vida, integridad personal y libertad personal deriva la obligación de investigar los casos de violaciones de esos derechos; es decir, del artículo 1.1 de la Convención en conjunto con el derecho sustantivo que debe ser amparado, protegido o garantizado. Asimismo, México debe observar lo dispuesto en el artículo 7.b y 7.c de la Convención Belém do Pará, que obliga a actuar con la debida diligencia y a adoptar la normativa necesaria para investigar y sancionar la violencia contra la mujer.</w:t>
      </w:r>
    </w:p>
    <w:p w14:paraId="5F7443A2" w14:textId="77777777" w:rsidR="005243C0" w:rsidRPr="003D49EB" w:rsidRDefault="005243C0" w:rsidP="009A4683">
      <w:pPr>
        <w:widowControl w:val="0"/>
        <w:autoSpaceDE w:val="0"/>
        <w:autoSpaceDN w:val="0"/>
        <w:adjustRightInd w:val="0"/>
        <w:spacing w:before="120" w:after="100" w:afterAutospacing="1"/>
        <w:rPr>
          <w:b/>
          <w:szCs w:val="20"/>
          <w:lang w:val="es-EC"/>
        </w:rPr>
      </w:pPr>
      <w:r w:rsidRPr="003D49EB">
        <w:rPr>
          <w:szCs w:val="20"/>
          <w:lang w:val="es-EC"/>
        </w:rPr>
        <w:t>293.</w:t>
      </w:r>
      <w:r w:rsidRPr="003D49EB">
        <w:rPr>
          <w:szCs w:val="20"/>
          <w:lang w:val="es-EC"/>
        </w:rPr>
        <w:tab/>
        <w:t xml:space="preserve">La Corte considera que el deber de investigar efectivamente, siguiendo los estándares establecidos por el Tribunal […] tiene alcances adicionales cuando se trata de una mujer que sufre una muerte, maltrato o afectación a su libertad personal en el marco de un contexto general de violencia contra las mujeres. En similar sentido, la Corte Europea ha dicho que cuando un ataque es motivado por razones de raza, es particularmente importante que la investigación sea realizada con vigor e imparcialidad, teniendo en cuenta la necesidad de reiterar continuamente la condena de racismo por parte de la sociedad y para mantener la confianza de las minorías en la habilidad de las autoridades de protegerlas de la amenaza de violencia racial. </w:t>
      </w:r>
      <w:r w:rsidRPr="003D49EB">
        <w:rPr>
          <w:rStyle w:val="Textoennegrita"/>
          <w:b w:val="0"/>
          <w:color w:val="auto"/>
          <w:szCs w:val="20"/>
          <w:lang w:val="es-EC"/>
        </w:rPr>
        <w:t>El criterio anterior es totalmente aplicable al analizarse los alcances del deber de debida diligencia en la investigación de casos de violencia por razón de género</w:t>
      </w:r>
      <w:r w:rsidRPr="003D49EB">
        <w:rPr>
          <w:szCs w:val="20"/>
          <w:lang w:val="es-EC"/>
        </w:rPr>
        <w:t xml:space="preserve">. </w:t>
      </w:r>
    </w:p>
    <w:p w14:paraId="0A5395BE" w14:textId="77777777" w:rsidR="005243C0" w:rsidRPr="003D49EB" w:rsidRDefault="005243C0" w:rsidP="009A4683">
      <w:pPr>
        <w:spacing w:before="120" w:after="100" w:afterAutospacing="1"/>
        <w:rPr>
          <w:szCs w:val="20"/>
          <w:lang w:val="es-EC"/>
        </w:rPr>
      </w:pPr>
      <w:r w:rsidRPr="003D49EB">
        <w:rPr>
          <w:szCs w:val="20"/>
          <w:lang w:val="es-EC"/>
        </w:rPr>
        <w:lastRenderedPageBreak/>
        <w:t>388.</w:t>
      </w:r>
      <w:r w:rsidRPr="003D49EB">
        <w:rPr>
          <w:szCs w:val="20"/>
          <w:lang w:val="es-EC"/>
        </w:rPr>
        <w:tab/>
        <w:t xml:space="preserve">A manera de conclusión, la Corte acepta el reconocimiento de responsabilidad por las irregularidades cometidas en la primera etapa de las investigaciones. Sin embargo, el Tribunal ha constatado que en la segunda etapa de las mismas no se han subsanado totalmente dichas falencias. Las irregularidades en el manejo de evidencias, la alegada fabricación de culpables, el retraso en las investigaciones, la falta de líneas de investigación que tengan en cuenta el contexto de violencia contra la mujer en el que se desenvolvieron las ejecuciones de las tres víctimas y la inexistencia de investigaciones contra funcionarios públicos por su supuesta negligencia grave, </w:t>
      </w:r>
      <w:r w:rsidRPr="003D49EB">
        <w:rPr>
          <w:bCs/>
          <w:szCs w:val="20"/>
          <w:lang w:val="es-EC"/>
        </w:rPr>
        <w:t xml:space="preserve">vulneran el derecho de acceso a la justicia, a una protección judicial eficaz y el derecho de los familiares y de la sociedad a conocer la verdad de lo ocurrido. Además, denota un incumplimiento estatal de garantizar, a través de una investigación seria y adecuada, los derechos a la vida, integridad personal y libertad personal de las tres víctimas. Todo ello permite concluir que en el presente caso existe impunidad y que las medidas de derecho interno adoptadas han sido insuficientes para enfrentar las graves violaciones de derechos humanos ocurridas. </w:t>
      </w:r>
      <w:r w:rsidRPr="003D49EB">
        <w:rPr>
          <w:szCs w:val="20"/>
          <w:lang w:val="es-EC"/>
        </w:rPr>
        <w:t>El Estado no demostró haber adoptado normas o implementado las medidas necesarias, conforme al artículo 2 de la Convención Americana y al artículo 7.c de la Convención Belém do Pará, que permitieran a las autoridades ofrecer una investigación con debida diligencia</w:t>
      </w:r>
      <w:r w:rsidRPr="003D49EB">
        <w:rPr>
          <w:szCs w:val="20"/>
        </w:rPr>
        <w:t xml:space="preserve">. </w:t>
      </w:r>
      <w:r w:rsidRPr="003D49EB">
        <w:rPr>
          <w:bCs/>
          <w:szCs w:val="20"/>
          <w:lang w:val="es-EC"/>
        </w:rPr>
        <w:t xml:space="preserve">Esta </w:t>
      </w:r>
      <w:r w:rsidRPr="003D49EB">
        <w:rPr>
          <w:szCs w:val="20"/>
          <w:lang w:val="es-EC"/>
        </w:rPr>
        <w:t>ineficacia judicial frente a casos individuales de violencia contra las mujeres propicia un ambiente de impunidad que facilita y promueve la repetición de los hechos de violencia en general y envía un mensaje según el cual la violencia contra las mujeres puede ser tolerada y aceptada como parte del diario vivir.</w:t>
      </w:r>
    </w:p>
    <w:p w14:paraId="6B5663FB" w14:textId="77777777" w:rsidR="00E70056" w:rsidRDefault="00E70056" w:rsidP="00E70056">
      <w:pPr>
        <w:pStyle w:val="Caso"/>
      </w:pPr>
      <w:r w:rsidRPr="00E70056">
        <w:t>Corte IDH. Caso Vélez Loor Vs. Panamá. Excepciones Preliminares, Fondo, Reparaciones y Costas. Sentencia de 23 de noviembre de 2010. Serie C No. 218.</w:t>
      </w:r>
    </w:p>
    <w:p w14:paraId="43A43F1D" w14:textId="33D772A8" w:rsidR="000361F1" w:rsidRPr="003D49EB" w:rsidRDefault="000361F1" w:rsidP="00E70056">
      <w:pPr>
        <w:pStyle w:val="Caso"/>
      </w:pPr>
      <w:r w:rsidRPr="003D49EB">
        <w:t xml:space="preserve"> </w:t>
      </w:r>
    </w:p>
    <w:p w14:paraId="0F161201" w14:textId="77777777" w:rsidR="000361F1" w:rsidRPr="003D49EB" w:rsidRDefault="000361F1" w:rsidP="009A4683">
      <w:pPr>
        <w:spacing w:after="100" w:afterAutospacing="1"/>
        <w:rPr>
          <w:szCs w:val="20"/>
        </w:rPr>
      </w:pPr>
      <w:r w:rsidRPr="003D49EB">
        <w:rPr>
          <w:szCs w:val="20"/>
        </w:rPr>
        <w:t>230.</w:t>
      </w:r>
      <w:r w:rsidRPr="003D49EB">
        <w:rPr>
          <w:szCs w:val="20"/>
        </w:rPr>
        <w:tab/>
        <w:t>La Corte ha señalado que, de conformidad con el artículo 1.1 de la Convención Americana, la obligación de garantizar los derechos reconocidos en los artículos 5.1 y 5.2 de la Convención Americana implica el deber del Estado de investigar posibles actos de tortura u otros tratos crueles, inhumanos o degradantes. Esta obligación de investigar se ve reforzada por lo dispuesto en los artículos 1, 6 y 8 de la Convención contra la Tortura, que obligan al Estado a “tomar[…] medidas efectivas para prevenir y sancionar la tortura en el ámbito de su jurisdicción”, así como a “prevenir y sancionar […] otros tratos o penas crueles, inhumanos o degradantes”. Además, de acuerdo con lo dispuesto en el artículo 8 de esta Convención, los Estados Parte garantizarán</w:t>
      </w:r>
    </w:p>
    <w:p w14:paraId="5CBD7B5D" w14:textId="77777777" w:rsidR="000361F1" w:rsidRPr="003D49EB" w:rsidRDefault="000361F1" w:rsidP="009A4683">
      <w:pPr>
        <w:spacing w:after="100" w:afterAutospacing="1"/>
        <w:ind w:left="2124" w:right="-7"/>
        <w:rPr>
          <w:sz w:val="18"/>
          <w:szCs w:val="18"/>
        </w:rPr>
      </w:pPr>
      <w:r w:rsidRPr="003D49EB">
        <w:rPr>
          <w:sz w:val="18"/>
          <w:szCs w:val="18"/>
        </w:rPr>
        <w:t>[…] a toda persona que denuncie haber sido sometida a tortura en el ámbito de su jurisdicción el derecho a que el caso sea examinado imparcialmente[, y]</w:t>
      </w:r>
    </w:p>
    <w:p w14:paraId="6C32982B" w14:textId="61DA8A0F" w:rsidR="000361F1" w:rsidRPr="003D49EB" w:rsidRDefault="000361F1" w:rsidP="009A4683">
      <w:pPr>
        <w:spacing w:after="100" w:afterAutospacing="1"/>
        <w:ind w:left="2124" w:right="-7"/>
        <w:rPr>
          <w:sz w:val="18"/>
          <w:szCs w:val="18"/>
        </w:rPr>
      </w:pPr>
      <w:r w:rsidRPr="003D49EB">
        <w:rPr>
          <w:sz w:val="18"/>
          <w:szCs w:val="18"/>
        </w:rPr>
        <w:t>[c]</w:t>
      </w:r>
      <w:proofErr w:type="spellStart"/>
      <w:r w:rsidRPr="003D49EB">
        <w:rPr>
          <w:sz w:val="18"/>
          <w:szCs w:val="18"/>
        </w:rPr>
        <w:t>uando</w:t>
      </w:r>
      <w:proofErr w:type="spellEnd"/>
      <w:r w:rsidRPr="003D49EB">
        <w:rPr>
          <w:sz w:val="18"/>
          <w:szCs w:val="18"/>
        </w:rPr>
        <w:t xml:space="preserve"> exista denuncia o razón fundada para creer que se ha cometido un acto de tortura en el ámbito de su jurisdicción, […] que sus respectivas autoridades procederán de oficio y de inmediato a realizar una investigación sobre el caso y a iniciar, cuando corresponda, el respectivo proceso penal.</w:t>
      </w:r>
    </w:p>
    <w:p w14:paraId="6C048D59" w14:textId="77777777" w:rsidR="000361F1" w:rsidRPr="003D49EB" w:rsidRDefault="000361F1" w:rsidP="009A4683">
      <w:pPr>
        <w:spacing w:after="100" w:afterAutospacing="1"/>
        <w:rPr>
          <w:szCs w:val="20"/>
        </w:rPr>
      </w:pPr>
      <w:r w:rsidRPr="003D49EB">
        <w:rPr>
          <w:szCs w:val="20"/>
        </w:rPr>
        <w:t>236.</w:t>
      </w:r>
      <w:r w:rsidRPr="003D49EB">
        <w:rPr>
          <w:szCs w:val="20"/>
        </w:rPr>
        <w:tab/>
        <w:t xml:space="preserve">La Corte observa que los escritos referidos fueron presentados por el señor Vélez Loor ante el Estado de Panamá una vez que ya no se encontraba bajo la custodia del mismo. Al respecto, es indispensable notar que la víctima suele abstenerse, por temor, de denunciar los hechos de tortura o mal trato, sobre todo si se encuentra detenida en el mismo recinto donde estos ocurrieron. Dada la situación de vulnerabilidad e indefensión que provocan las instituciones como las cárceles, cuyo interior está completamente fuera del escrutinio público, es importante resaltar la necesidad de que se realicen inspecciones periódicas de los centros de detención, </w:t>
      </w:r>
      <w:r w:rsidRPr="003D49EB">
        <w:rPr>
          <w:szCs w:val="20"/>
        </w:rPr>
        <w:lastRenderedPageBreak/>
        <w:t>de garantizar la independencia del personal médico y de salud encargado de examinar y prestar asistencia a los detenidos, y que éstos cuenten con mecanismos accesibles, adecuados y eficaces para hacer valer sus reclamos y presentar quejas durante su privación de libertad.</w:t>
      </w:r>
    </w:p>
    <w:p w14:paraId="7CDCA16E" w14:textId="39C432FC" w:rsidR="000C47B9" w:rsidRPr="003D49EB" w:rsidRDefault="00781ACD" w:rsidP="009A4683">
      <w:pPr>
        <w:pStyle w:val="Textonotaalfinal"/>
        <w:widowControl w:val="0"/>
        <w:tabs>
          <w:tab w:val="left" w:pos="810"/>
          <w:tab w:val="left" w:pos="1440"/>
          <w:tab w:val="left" w:pos="2160"/>
          <w:tab w:val="left" w:pos="2880"/>
          <w:tab w:val="left" w:pos="3600"/>
          <w:tab w:val="left" w:pos="4320"/>
          <w:tab w:val="left" w:pos="5760"/>
          <w:tab w:val="left" w:pos="6480"/>
          <w:tab w:val="left" w:pos="7200"/>
          <w:tab w:val="left" w:pos="7920"/>
        </w:tabs>
        <w:spacing w:after="100" w:afterAutospacing="1"/>
        <w:rPr>
          <w:rFonts w:eastAsiaTheme="minorHAnsi" w:cstheme="minorBidi"/>
          <w:b/>
          <w:bCs/>
          <w:shd w:val="clear" w:color="auto" w:fill="FFFFFF"/>
          <w:lang w:val="es-CL"/>
        </w:rPr>
      </w:pPr>
      <w:r w:rsidRPr="003D49EB">
        <w:rPr>
          <w:rFonts w:eastAsiaTheme="minorHAnsi" w:cstheme="minorBidi"/>
          <w:b/>
          <w:bCs/>
          <w:shd w:val="clear" w:color="auto" w:fill="FFFFFF"/>
          <w:lang w:val="es-CL"/>
        </w:rPr>
        <w:t>Corte IDH. Caso Vélez Restrepo y familiares Vs. Colombia. Excepción Preliminar, Fondo, Reparaciones y Costas. Sentencia de 3 de septiembre de 2012. Serie C No. 248.</w:t>
      </w:r>
      <w:r w:rsidR="00993905" w:rsidRPr="003D49EB">
        <w:rPr>
          <w:rFonts w:eastAsiaTheme="minorHAnsi" w:cstheme="minorBidi"/>
          <w:b/>
          <w:bCs/>
          <w:shd w:val="clear" w:color="auto" w:fill="FFFFFF"/>
          <w:lang w:val="es-CL"/>
        </w:rPr>
        <w:t xml:space="preserve"> </w:t>
      </w:r>
    </w:p>
    <w:p w14:paraId="3729E2D6" w14:textId="77777777" w:rsidR="000C47B9" w:rsidRPr="003D49EB" w:rsidRDefault="000C47B9" w:rsidP="009A4683">
      <w:pPr>
        <w:pStyle w:val="Prrafodelista2"/>
        <w:tabs>
          <w:tab w:val="left" w:pos="720"/>
          <w:tab w:val="num" w:pos="1427"/>
        </w:tabs>
        <w:spacing w:after="100" w:afterAutospacing="1"/>
        <w:ind w:left="0"/>
        <w:contextualSpacing/>
        <w:rPr>
          <w:lang w:val="es-CR"/>
        </w:rPr>
      </w:pPr>
      <w:r w:rsidRPr="003D49EB">
        <w:t>187.</w:t>
      </w:r>
      <w:r w:rsidRPr="003D49EB">
        <w:tab/>
        <w:t xml:space="preserve">Asimismo, la Corte ha sostenido que en determinadas circunstancias </w:t>
      </w:r>
      <w:r w:rsidRPr="003D49EB">
        <w:rPr>
          <w:lang w:val="es-CR"/>
        </w:rPr>
        <w:t xml:space="preserve">la investigación seria y oportuna sobre alegadas amenazas puede contribuir, a su vez, a prevenir la vulneración de los derechos que estaban siendo amenazados. </w:t>
      </w:r>
    </w:p>
    <w:p w14:paraId="5CEFF88B" w14:textId="77777777" w:rsidR="000C47B9" w:rsidRPr="003D49EB" w:rsidRDefault="000C47B9" w:rsidP="009A4683">
      <w:pPr>
        <w:pStyle w:val="Prrafodelista2"/>
        <w:tabs>
          <w:tab w:val="left" w:pos="720"/>
        </w:tabs>
        <w:spacing w:after="100" w:afterAutospacing="1"/>
        <w:ind w:left="0"/>
        <w:contextualSpacing/>
        <w:rPr>
          <w:lang w:val="es-CR"/>
        </w:rPr>
      </w:pPr>
    </w:p>
    <w:p w14:paraId="7D1ECD4D" w14:textId="17EF4721" w:rsidR="000C47B9" w:rsidRPr="003D49EB" w:rsidRDefault="000C47B9" w:rsidP="009A4683">
      <w:pPr>
        <w:pStyle w:val="Prrafodelista2"/>
        <w:tabs>
          <w:tab w:val="left" w:pos="720"/>
          <w:tab w:val="num" w:pos="1427"/>
        </w:tabs>
        <w:spacing w:after="100" w:afterAutospacing="1"/>
        <w:ind w:left="0"/>
        <w:contextualSpacing/>
        <w:rPr>
          <w:lang w:val="es-CR"/>
        </w:rPr>
      </w:pPr>
      <w:r w:rsidRPr="003D49EB">
        <w:rPr>
          <w:lang w:val="es-CR"/>
        </w:rPr>
        <w:t>188.</w:t>
      </w:r>
      <w:r w:rsidRPr="003D49EB">
        <w:rPr>
          <w:lang w:val="es-CR"/>
        </w:rPr>
        <w:tab/>
        <w:t xml:space="preserve">La Corte ha advertido que la obligación de investigar se mantiene “cualquiera que sea el agente al cual pueda eventualmente atribuirse la violación, aun los particulares, pues, si sus hechos no son investigados con seriedad, resultarían, en cierto modo, auxiliados por el poder público, lo que comprometería la responsabilidad internacional del Estado”. Con respecto al deber del Estado de </w:t>
      </w:r>
      <w:r w:rsidRPr="003D49EB">
        <w:rPr>
          <w:lang w:val="es-EC"/>
        </w:rPr>
        <w:t xml:space="preserve">adoptar medidas de prevención y protección, la Corte ha reconocido que </w:t>
      </w:r>
      <w:r w:rsidRPr="003D49EB">
        <w:rPr>
          <w:lang w:val="es-CR"/>
        </w:rPr>
        <w:t xml:space="preserve">ello no significa una </w:t>
      </w:r>
      <w:r w:rsidRPr="003D49EB">
        <w:rPr>
          <w:lang w:val="es-EC"/>
        </w:rPr>
        <w:t>responsabilidad ilimitada frente a cualquier acto o hecho de particulares, pues sus deberes de adoptar medidas respecto de los particulares en sus relaciones entre sí se encuentran condicionados al conocimiento de una situación de riesgo real e inmediato para un individuo o grupo de individuos determinado y a las posibilidades razonables de prevenir o evitar ese riesgo.</w:t>
      </w:r>
    </w:p>
    <w:p w14:paraId="21B6F6E4" w14:textId="77777777" w:rsidR="000C47B9" w:rsidRPr="003D49EB" w:rsidRDefault="000C47B9" w:rsidP="009A4683">
      <w:pPr>
        <w:pStyle w:val="Prrafodelista2"/>
        <w:tabs>
          <w:tab w:val="left" w:pos="720"/>
        </w:tabs>
        <w:spacing w:after="100" w:afterAutospacing="1"/>
        <w:ind w:left="0"/>
        <w:contextualSpacing/>
        <w:rPr>
          <w:lang w:val="es-CR"/>
        </w:rPr>
      </w:pPr>
    </w:p>
    <w:p w14:paraId="032A3C4F" w14:textId="1945B218" w:rsidR="00993905" w:rsidRPr="003D49EB" w:rsidRDefault="000C47B9" w:rsidP="009A4683">
      <w:pPr>
        <w:pStyle w:val="Prrafodelista2"/>
        <w:tabs>
          <w:tab w:val="left" w:pos="720"/>
          <w:tab w:val="num" w:pos="1427"/>
        </w:tabs>
        <w:spacing w:after="100" w:afterAutospacing="1"/>
        <w:ind w:left="0"/>
        <w:contextualSpacing/>
        <w:rPr>
          <w:lang w:val="es-CR"/>
        </w:rPr>
      </w:pPr>
      <w:r w:rsidRPr="003D49EB">
        <w:rPr>
          <w:lang w:val="es-CR"/>
        </w:rPr>
        <w:t>192.</w:t>
      </w:r>
      <w:r w:rsidRPr="003D49EB">
        <w:rPr>
          <w:lang w:val="es-CR"/>
        </w:rPr>
        <w:tab/>
        <w:t>En el presente caso el Estado aceptó que “no existió una investigación seria” de las amenazas y hostigamientos, pero al respecto solamente reconoció haber violado los derechos a las garantías judiciales y a la protección judicial […]. La Corte considera que la falta de una investigación diligente de las amenazas y hostigamientos implicó también una violación a la obligación de garantizar el derecho a la integridad personal del señor Vélez Restrepo, su esposa e hijos, y a su vez constituyó una violación al deber de prevenir ya que en el presente caso la investigación habría podido constituir un medio de prevención para impedir la continuación y escalamiento de las amenazas que llegó hasta el intento de privación de la libertad del señor Vélez Restrepo que causó que tuviera que salir del país para proteger su vida e</w:t>
      </w:r>
      <w:r w:rsidR="00BF2C46" w:rsidRPr="003D49EB">
        <w:rPr>
          <w:lang w:val="es-CR"/>
        </w:rPr>
        <w:t xml:space="preserve"> integridad y la de su familia.</w:t>
      </w:r>
    </w:p>
    <w:p w14:paraId="67DAA73E" w14:textId="77777777" w:rsidR="00081F40" w:rsidRPr="003D49EB" w:rsidRDefault="00081F40" w:rsidP="009A4683">
      <w:pPr>
        <w:pStyle w:val="Caso"/>
        <w:rPr>
          <w:lang w:val="es-CR"/>
        </w:rPr>
      </w:pPr>
      <w:r w:rsidRPr="003D49EB">
        <w:rPr>
          <w:lang w:val="es-CR"/>
        </w:rPr>
        <w:t>Corte IDH. Caso López Soto y otros Vs. Venezuela. Fondo, Reparaciones y Costas. Sentencia de 26 de septiembre de 2018. Serie C No. 362.</w:t>
      </w:r>
    </w:p>
    <w:p w14:paraId="0021AE0E" w14:textId="77777777" w:rsidR="001D37B7" w:rsidRDefault="001D37B7" w:rsidP="009A4683">
      <w:pPr>
        <w:rPr>
          <w:lang w:val="es-CR"/>
        </w:rPr>
      </w:pPr>
    </w:p>
    <w:p w14:paraId="51A318D6" w14:textId="22A71D74" w:rsidR="00081F40" w:rsidRPr="003D49EB" w:rsidRDefault="00081F40" w:rsidP="009A4683">
      <w:pPr>
        <w:rPr>
          <w:lang w:val="es-CR"/>
        </w:rPr>
      </w:pPr>
      <w:r w:rsidRPr="003D49EB">
        <w:rPr>
          <w:lang w:val="es-CR"/>
        </w:rPr>
        <w:t>241.</w:t>
      </w:r>
      <w:r w:rsidRPr="003D49EB">
        <w:rPr>
          <w:lang w:val="es-CR"/>
        </w:rPr>
        <w:tab/>
        <w:t>En casos de violencia sexual, la Corte ha destacado que la investigación debe intentar evitar en lo posible la revictimización o re-experimentación de la profunda experiencia traumática a la víctima</w:t>
      </w:r>
      <w:r w:rsidR="006A660B" w:rsidRPr="003D49EB">
        <w:rPr>
          <w:lang w:val="es-CR"/>
        </w:rPr>
        <w:t>.</w:t>
      </w:r>
      <w:r w:rsidRPr="003D49EB">
        <w:rPr>
          <w:lang w:val="es-CR"/>
        </w:rPr>
        <w:t xml:space="preserve"> A tal fin, en casos de violencia contra la mujer, resulta necesario que durante las investigaciones y la sustanciación de los procesos de enjuiciamiento, se tomen ciertos resguardos al momento de las declaraciones de las víctimas</w:t>
      </w:r>
      <w:r w:rsidR="006A660B" w:rsidRPr="003D49EB">
        <w:rPr>
          <w:lang w:val="es-CR"/>
        </w:rPr>
        <w:t>,</w:t>
      </w:r>
      <w:r w:rsidRPr="003D49EB">
        <w:rPr>
          <w:lang w:val="es-CR"/>
        </w:rPr>
        <w:t xml:space="preserve"> como así también en ocasión de realizarse experticias médicas o psicológicas, especialmente cuando se tratan de víctimas de violencia sexual</w:t>
      </w:r>
      <w:r w:rsidR="006A660B" w:rsidRPr="003D49EB">
        <w:rPr>
          <w:lang w:val="es-CR"/>
        </w:rPr>
        <w:t>.</w:t>
      </w:r>
      <w:r w:rsidRPr="003D49EB">
        <w:rPr>
          <w:lang w:val="es-CR"/>
        </w:rPr>
        <w:t xml:space="preserve"> </w:t>
      </w:r>
    </w:p>
    <w:p w14:paraId="79F83D0A" w14:textId="6ABC3AED" w:rsidR="00081F40" w:rsidRPr="003D49EB" w:rsidRDefault="00081F40" w:rsidP="009A4683">
      <w:pPr>
        <w:rPr>
          <w:lang w:val="es-CR"/>
        </w:rPr>
      </w:pPr>
      <w:r w:rsidRPr="003D49EB">
        <w:rPr>
          <w:lang w:val="es-CR"/>
        </w:rPr>
        <w:t>[...]</w:t>
      </w:r>
    </w:p>
    <w:p w14:paraId="2EF3B10C" w14:textId="271F0A6E" w:rsidR="00081F40" w:rsidRDefault="00081F40" w:rsidP="009A4683">
      <w:pPr>
        <w:rPr>
          <w:lang w:val="es-CR"/>
        </w:rPr>
      </w:pPr>
      <w:r w:rsidRPr="003D49EB">
        <w:rPr>
          <w:lang w:val="es-CR"/>
        </w:rPr>
        <w:t>245.</w:t>
      </w:r>
      <w:r w:rsidRPr="003D49EB">
        <w:rPr>
          <w:lang w:val="es-CR"/>
        </w:rPr>
        <w:tab/>
        <w:t>La Corte concluye que las circunstancias que rodearon las distintas declaraciones prestadas por Linda Loaiza en el proceso interno, especialmente la primera de ellas, y el hecho de que las autoridades encargadas de la investigación tampoco garantizaran la intervención y acompañamiento de profesionales de sexo femenino en las experticias médicas realizadas a Linda Loaiza, constituyeron actos de revictimización que lesionaron su integridad personal.</w:t>
      </w:r>
    </w:p>
    <w:p w14:paraId="6CDFF267" w14:textId="77777777" w:rsidR="001D37B7" w:rsidRPr="003D49EB" w:rsidRDefault="001D37B7" w:rsidP="009A4683">
      <w:pPr>
        <w:rPr>
          <w:lang w:val="es-CR"/>
        </w:rPr>
      </w:pPr>
    </w:p>
    <w:p w14:paraId="28A61A32" w14:textId="77777777" w:rsidR="00081F40" w:rsidRPr="003D49EB" w:rsidRDefault="00081F40" w:rsidP="009A4683">
      <w:pPr>
        <w:rPr>
          <w:lang w:val="es-CR"/>
        </w:rPr>
      </w:pPr>
      <w:r w:rsidRPr="003D49EB">
        <w:rPr>
          <w:lang w:val="es-CR"/>
        </w:rPr>
        <w:t>[...]</w:t>
      </w:r>
    </w:p>
    <w:p w14:paraId="0CED9507" w14:textId="77777777" w:rsidR="001D37B7" w:rsidRDefault="001D37B7" w:rsidP="009A4683">
      <w:pPr>
        <w:rPr>
          <w:lang w:val="es-CR"/>
        </w:rPr>
      </w:pPr>
    </w:p>
    <w:p w14:paraId="5429378F" w14:textId="66635CD7" w:rsidR="00081F40" w:rsidRPr="003D49EB" w:rsidRDefault="00081F40" w:rsidP="009A4683">
      <w:pPr>
        <w:rPr>
          <w:lang w:val="es-CR"/>
        </w:rPr>
      </w:pPr>
      <w:r w:rsidRPr="003D49EB">
        <w:rPr>
          <w:lang w:val="es-CR"/>
        </w:rPr>
        <w:t>255.</w:t>
      </w:r>
      <w:r w:rsidRPr="003D49EB">
        <w:rPr>
          <w:lang w:val="es-CR"/>
        </w:rPr>
        <w:tab/>
        <w:t>En el presente caso, si bien no es claro que la falta de tipificación adecuada del delito autónomo de tortura hubiera obstaculizado el desarrollo efectivo del presente proceso penal, la Corte estima que la falta de tipificación de acuerdo a los parámetros internacionales ocasionó que se condenara al imputado por el delito de lesiones gravísimas, un tipo penal de menor gravedad, que no refleja el nivel de reproche requerido para actos de esta naturaleza.</w:t>
      </w:r>
    </w:p>
    <w:p w14:paraId="308D8035" w14:textId="77777777" w:rsidR="001D37B7" w:rsidRDefault="001D37B7" w:rsidP="009A4683">
      <w:pPr>
        <w:rPr>
          <w:lang w:val="es-CR"/>
        </w:rPr>
      </w:pPr>
    </w:p>
    <w:p w14:paraId="34CD149E" w14:textId="117AD6C2" w:rsidR="00081F40" w:rsidRPr="003D49EB" w:rsidRDefault="00081F40" w:rsidP="009A4683">
      <w:pPr>
        <w:rPr>
          <w:lang w:val="es-CR"/>
        </w:rPr>
      </w:pPr>
      <w:r w:rsidRPr="003D49EB">
        <w:rPr>
          <w:lang w:val="es-CR"/>
        </w:rPr>
        <w:t>256.</w:t>
      </w:r>
      <w:r w:rsidRPr="003D49EB">
        <w:rPr>
          <w:lang w:val="es-CR"/>
        </w:rPr>
        <w:tab/>
        <w:t>De lo anterior se desprende que el Estado incumplió con su obligación de modificar su legislación interna con el propósito de tipificar el delito de tortura de conformidad con los parámetros internacionales, circunstancia que hubiera permitido su aplicación en la investigación y enjuiciamiento de los hechos de este caso.</w:t>
      </w:r>
    </w:p>
    <w:p w14:paraId="1CA79CEC" w14:textId="77777777" w:rsidR="001D37B7" w:rsidRDefault="001D37B7" w:rsidP="009A4683">
      <w:pPr>
        <w:rPr>
          <w:lang w:val="es-CR"/>
        </w:rPr>
      </w:pPr>
    </w:p>
    <w:p w14:paraId="1907E86F" w14:textId="3F7C3FC7" w:rsidR="003379D5" w:rsidRPr="003D49EB" w:rsidRDefault="003379D5" w:rsidP="009A4683">
      <w:pPr>
        <w:rPr>
          <w:lang w:val="es-CR"/>
        </w:rPr>
      </w:pPr>
      <w:r w:rsidRPr="003D49EB">
        <w:rPr>
          <w:lang w:val="es-CR"/>
        </w:rPr>
        <w:t>[...]</w:t>
      </w:r>
    </w:p>
    <w:p w14:paraId="410A2474" w14:textId="77777777" w:rsidR="001D37B7" w:rsidRDefault="001D37B7" w:rsidP="009A4683">
      <w:pPr>
        <w:rPr>
          <w:lang w:val="es-CR"/>
        </w:rPr>
      </w:pPr>
    </w:p>
    <w:p w14:paraId="2A6D944F" w14:textId="653BC53A" w:rsidR="003379D5" w:rsidRPr="003D49EB" w:rsidRDefault="003379D5" w:rsidP="009A4683">
      <w:pPr>
        <w:rPr>
          <w:lang w:val="es-CR"/>
        </w:rPr>
      </w:pPr>
      <w:r w:rsidRPr="003D49EB">
        <w:rPr>
          <w:lang w:val="es-CR"/>
        </w:rPr>
        <w:t>257.</w:t>
      </w:r>
      <w:r w:rsidRPr="003D49EB">
        <w:rPr>
          <w:lang w:val="es-CR"/>
        </w:rPr>
        <w:tab/>
        <w:t>En virtud del reconocimiento de responsabilidad estatal así como de lo establecido en esta Sentencia, la Corte concluye que, debido a la falta de un marco normativo especializado y la actuación de las autoridades estatales de seguridad, investigativas, forenses y a cargo de impartir justicia en el caso concreto, el Estado de Venezuela no actuó con la debida diligencia reforzada requerida en las investigaciones y proceso penal por la violencia contra la mujer y actos de tortura sufridos por Linda Loaiza López Soto. Por otra parte, se verificaron graves omisiones e irregularidades en la recolección de prueba en las etapas iniciales de la investigación. A pesar de que dichas irregularidades fueron puestas en conocimiento de las autoridades, la investigación de las mismas no prosperó. Asimismo, la existencia de un marco normativo discriminatorio facilitó su revictimización y el uso de estereotipos en la valoración de sus declaraciones y el juzgamiento de su caso. Adicionalmente, la tipificación inadecuada del delito de tortura conllevó a que este fuera desestimado y se utilizara un tipo penal menos gravoso en el reproche. Además, los procesos ante los tribunales venezolanos no fueron desarrollados en un plazo razonable. Por último, se constató la falta de adecuación y efectividad de las medidas de protección e investigación de las amenazas y hostigamientos hacia Linda Loaiza López Soto, sus familiares y abogado.</w:t>
      </w:r>
    </w:p>
    <w:p w14:paraId="5891A35A" w14:textId="77777777" w:rsidR="001D37B7" w:rsidRDefault="001D37B7" w:rsidP="009A4683">
      <w:pPr>
        <w:rPr>
          <w:lang w:val="es-CR"/>
        </w:rPr>
      </w:pPr>
    </w:p>
    <w:p w14:paraId="47BF13CC" w14:textId="3D253C93" w:rsidR="003379D5" w:rsidRPr="003D49EB" w:rsidRDefault="003379D5" w:rsidP="009A4683">
      <w:pPr>
        <w:rPr>
          <w:lang w:val="es-CR"/>
        </w:rPr>
      </w:pPr>
      <w:r w:rsidRPr="003D49EB">
        <w:rPr>
          <w:lang w:val="es-CR"/>
        </w:rPr>
        <w:t>258.</w:t>
      </w:r>
      <w:r w:rsidRPr="003D49EB">
        <w:rPr>
          <w:lang w:val="es-CR"/>
        </w:rPr>
        <w:tab/>
        <w:t>Todo lo anterior conllevó a la comisión de actos violatorios de los derechos a la integridad personal, prohibición de la tortura, garantías judiciales, dignidad, autonomía y vida privada, igualdad ante la ley y protección judicial, reconocidos en los artículos 5.1, 5.2, 8.1, 11, 24 y 25.1 de la Convención Americana, en relación con las obligaciones contenidas en los artículos 1.1 y 2 de dicho instrumento, el artículo 7 de la Convención de Belém do Pará y los artículos 1, 6 y 8 de la CIPST, en perjuicio de Linda Loaiza López Soto.</w:t>
      </w:r>
    </w:p>
    <w:p w14:paraId="080FBEFD" w14:textId="77777777" w:rsidR="001D37B7" w:rsidRDefault="001D37B7" w:rsidP="009A4683">
      <w:pPr>
        <w:pStyle w:val="Caso"/>
        <w:rPr>
          <w:lang w:val="es-CR"/>
        </w:rPr>
      </w:pPr>
    </w:p>
    <w:p w14:paraId="4966E38F" w14:textId="66348644" w:rsidR="00384B5C" w:rsidRPr="003D49EB" w:rsidRDefault="00384B5C" w:rsidP="009A4683">
      <w:pPr>
        <w:pStyle w:val="Caso"/>
        <w:rPr>
          <w:lang w:val="es-CR"/>
        </w:rPr>
      </w:pPr>
      <w:r w:rsidRPr="003D49EB">
        <w:rPr>
          <w:lang w:val="es-CR"/>
        </w:rPr>
        <w:t>Corte IDH. Caso Mujeres Víctimas de Tortura Sexual en Atenco Vs. México. Excepción Preliminar, Fondo, Reparaciones y Costas. Sentencia de 28 de noviembre de 2018. Serie C No. 371.</w:t>
      </w:r>
    </w:p>
    <w:p w14:paraId="37C7A39C" w14:textId="77777777" w:rsidR="001D37B7" w:rsidRDefault="001D37B7" w:rsidP="009A4683">
      <w:pPr>
        <w:pStyle w:val="Prrafodelista2"/>
        <w:tabs>
          <w:tab w:val="left" w:pos="720"/>
          <w:tab w:val="num" w:pos="1427"/>
        </w:tabs>
        <w:spacing w:after="100" w:afterAutospacing="1"/>
        <w:ind w:left="0"/>
        <w:contextualSpacing/>
        <w:rPr>
          <w:lang w:val="es-CR"/>
        </w:rPr>
      </w:pPr>
    </w:p>
    <w:p w14:paraId="7F9F7309" w14:textId="5F1EB30B" w:rsidR="00384B5C" w:rsidRPr="003D49EB" w:rsidRDefault="00384B5C" w:rsidP="009A4683">
      <w:pPr>
        <w:pStyle w:val="Prrafodelista2"/>
        <w:tabs>
          <w:tab w:val="left" w:pos="720"/>
          <w:tab w:val="num" w:pos="1427"/>
        </w:tabs>
        <w:spacing w:after="100" w:afterAutospacing="1"/>
        <w:ind w:left="0"/>
        <w:contextualSpacing/>
        <w:rPr>
          <w:lang w:val="es-CR"/>
        </w:rPr>
      </w:pPr>
      <w:r w:rsidRPr="003D49EB">
        <w:rPr>
          <w:lang w:val="es-CR"/>
        </w:rPr>
        <w:t>270.</w:t>
      </w:r>
      <w:r w:rsidRPr="003D49EB">
        <w:rPr>
          <w:lang w:val="es-CR"/>
        </w:rPr>
        <w:tab/>
        <w:t xml:space="preserve">La Corte ha señalado que el deber de investigar previsto en la Convención Americana se ve reforzado por lo dispuesto en los artículos 1, 6 y 8 de la Convención Interamericana para Prevenir y Sancionar la Tortura que obligan al Estado a “toma[r] medidas efectivas para prevenir y sancionar la tortura en el ámbito de su jurisdicción”, así como a “prevenir y sancionar […] otros tratos o penas crueles, inhumanos o degradantes”. De acuerdo con lo dispuesto en el artículo 8 de dicha Convención, los Estados partes garantizarán “a toda persona que denuncie haber sido sometida a tortura en el ámbito de su jurisdicción el derecho a que el caso sea examinado imparcialmente” y “que sus respectivas autoridades procederán de oficio y de inmediato a realizar una investigación sobre el caso y a iniciar, cuando corresponda, el respectivo proceso penal”. Asimismo, en casos de violencia contra la </w:t>
      </w:r>
      <w:r w:rsidRPr="003D49EB">
        <w:rPr>
          <w:lang w:val="es-CR"/>
        </w:rPr>
        <w:lastRenderedPageBreak/>
        <w:t>mujer, las obligaciones generales establecidas en los artículos 8 y 25 de la Convención Americana se complementan y refuerzan para aquellos Estados que son Parte, con las obligaciones derivadas del tratado interamericano específico, la Convención de Belém do Pará. En su artículo 7.b), dicha Convención obliga de manera específica a los Estados Partes a utilizar la debida diligencia para prevenir, sancionar y erradicar la violencia contra la mujer</w:t>
      </w:r>
      <w:r w:rsidR="006A660B" w:rsidRPr="003D49EB">
        <w:rPr>
          <w:lang w:val="es-CR"/>
        </w:rPr>
        <w:t>.</w:t>
      </w:r>
    </w:p>
    <w:p w14:paraId="3F97E481" w14:textId="4125EC4D" w:rsidR="00384B5C" w:rsidRPr="003D49EB" w:rsidRDefault="00384B5C" w:rsidP="009A4683">
      <w:pPr>
        <w:pStyle w:val="Prrafodelista2"/>
        <w:tabs>
          <w:tab w:val="left" w:pos="720"/>
          <w:tab w:val="num" w:pos="1427"/>
        </w:tabs>
        <w:spacing w:after="100" w:afterAutospacing="1"/>
        <w:ind w:left="0"/>
        <w:contextualSpacing/>
        <w:rPr>
          <w:lang w:val="es-CR"/>
        </w:rPr>
      </w:pPr>
    </w:p>
    <w:p w14:paraId="66E70BBB" w14:textId="6F97DA08" w:rsidR="00384B5C" w:rsidRPr="003D49EB" w:rsidRDefault="00384B5C" w:rsidP="009A4683">
      <w:pPr>
        <w:pStyle w:val="Prrafodelista2"/>
        <w:tabs>
          <w:tab w:val="left" w:pos="720"/>
          <w:tab w:val="num" w:pos="1427"/>
        </w:tabs>
        <w:spacing w:after="100" w:afterAutospacing="1"/>
        <w:ind w:left="0"/>
        <w:contextualSpacing/>
        <w:rPr>
          <w:lang w:val="es-CR"/>
        </w:rPr>
      </w:pPr>
      <w:r w:rsidRPr="003D49EB">
        <w:rPr>
          <w:lang w:val="es-CR"/>
        </w:rPr>
        <w:t>[...]</w:t>
      </w:r>
    </w:p>
    <w:p w14:paraId="2F945BF8" w14:textId="6999103C" w:rsidR="00384B5C" w:rsidRPr="003D49EB" w:rsidRDefault="00384B5C" w:rsidP="009A4683">
      <w:pPr>
        <w:pStyle w:val="Prrafodelista2"/>
        <w:tabs>
          <w:tab w:val="left" w:pos="720"/>
          <w:tab w:val="num" w:pos="1427"/>
        </w:tabs>
        <w:spacing w:after="100" w:afterAutospacing="1"/>
        <w:ind w:left="0"/>
        <w:contextualSpacing/>
        <w:rPr>
          <w:lang w:val="es-CR"/>
        </w:rPr>
      </w:pPr>
    </w:p>
    <w:p w14:paraId="1FFAF7B4" w14:textId="19221728" w:rsidR="00384B5C" w:rsidRPr="003D49EB" w:rsidRDefault="00384B5C" w:rsidP="009A4683">
      <w:pPr>
        <w:pStyle w:val="Prrafodelista2"/>
        <w:tabs>
          <w:tab w:val="num" w:pos="1427"/>
        </w:tabs>
        <w:spacing w:after="100" w:afterAutospacing="1"/>
        <w:ind w:left="0"/>
        <w:contextualSpacing/>
        <w:rPr>
          <w:lang w:val="es-CR"/>
        </w:rPr>
      </w:pPr>
      <w:r w:rsidRPr="003D49EB">
        <w:rPr>
          <w:lang w:val="es-CR"/>
        </w:rPr>
        <w:t>272. La Corte ha especificado que en una investigación penal por violencia sexual es necesario que i) la declaración de la víctima se realice en un ambiente cómodo y seguro, que le brinde privacidad y confianza; ii) la declaración de la víctima se registre de forma tal que se evite o limite la necesidad de su repetición; iii) se brinde atención médica, sanitaria y psicológica a la víctima, tanto de emergencia como de forma continuada si así se requiere, mediante un protocolo de atención cuyo objetivo sea reducir las consecuencias de la violación; iv) se realice inmediatamente un examen médico y psicológico completo y detallado por personal idóneo y capacitado, en lo posible del género que la víctima indique, ofreciéndole que sea acompañada por alguien de su confianza si así lo desea; v) se documenten y coordinen los actos investigativos y se maneje diligentemente la prueba, tomando muestras suficientes, realizando estudios para determinar la posible autoría del hecho, asegurando otras pruebas como la ropa de la víctima, investigando de forma inmediata el lugar de los hechos y garantizando la correcta cadena de custodia; vi) se brinde acceso a asistencia jurídica gratuita a la víctima durante todas las etapas del proceso, y vii) se brinde atención médica, sanitaria y psicológica a la víctima, tanto de emergencia como de forma continuada si así se requiere, mediante un protocolo de atención cuyo objetivo sea reducir las consecuencias de la violación</w:t>
      </w:r>
      <w:r w:rsidR="006A660B" w:rsidRPr="003D49EB">
        <w:rPr>
          <w:lang w:val="es-CR"/>
        </w:rPr>
        <w:t>.</w:t>
      </w:r>
      <w:r w:rsidRPr="003D49EB">
        <w:rPr>
          <w:lang w:val="es-CR"/>
        </w:rPr>
        <w:t xml:space="preserve"> </w:t>
      </w:r>
    </w:p>
    <w:p w14:paraId="79FD798C" w14:textId="77777777" w:rsidR="00384B5C" w:rsidRPr="003D49EB" w:rsidRDefault="00384B5C" w:rsidP="009A4683">
      <w:pPr>
        <w:pStyle w:val="Prrafodelista2"/>
        <w:tabs>
          <w:tab w:val="left" w:pos="720"/>
          <w:tab w:val="num" w:pos="1427"/>
        </w:tabs>
        <w:spacing w:after="100" w:afterAutospacing="1"/>
        <w:contextualSpacing/>
        <w:rPr>
          <w:lang w:val="es-CR"/>
        </w:rPr>
      </w:pPr>
    </w:p>
    <w:p w14:paraId="3F9F6288" w14:textId="394CC157" w:rsidR="00384B5C" w:rsidRPr="003D49EB" w:rsidRDefault="00384B5C" w:rsidP="009A4683">
      <w:pPr>
        <w:pStyle w:val="Prrafodelista2"/>
        <w:tabs>
          <w:tab w:val="left" w:pos="720"/>
          <w:tab w:val="num" w:pos="1427"/>
        </w:tabs>
        <w:spacing w:after="100" w:afterAutospacing="1"/>
        <w:ind w:left="0"/>
        <w:contextualSpacing/>
        <w:rPr>
          <w:lang w:val="es-CR"/>
        </w:rPr>
      </w:pPr>
      <w:r w:rsidRPr="003D49EB">
        <w:rPr>
          <w:lang w:val="es-CR"/>
        </w:rPr>
        <w:t>273.</w:t>
      </w:r>
      <w:r w:rsidRPr="003D49EB">
        <w:rPr>
          <w:lang w:val="es-CR"/>
        </w:rPr>
        <w:tab/>
        <w:t>En cuanto a las entrevistas que se realicen a una persona que afirma haber sido sometida a actos de tortura, la Corte ha referido que: i) se debe permitir que ésta pueda exponer lo que considere relevante con libertad; ii) no debe exigirse a nadie hablar de ninguna forma de tortura si se siente incómoda al hacerlo; iii) se debe documentar durante la entrevista la historia psicosocial y previa al arresto de la presunta víctima, el resumen de los hechos narrados por ésta relacionados al momento de su detención inicial, las circunstancias, el lugar y las condiciones en las que se encontraba durante su permanencia bajo custodia estatal, los malos tratos o actos de tortura presuntamente sufridos, así como los métodos presuntamente utilizados para ello, y iv) se debe grabar y hacer transcribir la declaración detallada</w:t>
      </w:r>
      <w:r w:rsidR="006A660B" w:rsidRPr="003D49EB">
        <w:rPr>
          <w:lang w:val="es-CR"/>
        </w:rPr>
        <w:t>.</w:t>
      </w:r>
      <w:r w:rsidRPr="003D49EB">
        <w:rPr>
          <w:lang w:val="es-CR"/>
        </w:rPr>
        <w:t xml:space="preserve"> Por otro lado, la entrevista que se realiza a una presunta víctima de actos de violencia o violación sexual deberá realizarse en un ambiente cómodo y seguro, que le brinde privacidad y confianza, y deberá registrarse de forma tal que se evite o limite la necesidad de su repetición</w:t>
      </w:r>
      <w:r w:rsidR="006A660B" w:rsidRPr="003D49EB">
        <w:rPr>
          <w:lang w:val="es-CR"/>
        </w:rPr>
        <w:t>.</w:t>
      </w:r>
      <w:r w:rsidRPr="003D49EB">
        <w:rPr>
          <w:lang w:val="es-CR"/>
        </w:rPr>
        <w:t xml:space="preserve"> </w:t>
      </w:r>
    </w:p>
    <w:p w14:paraId="423EF51C" w14:textId="044DFFE7" w:rsidR="00384B5C" w:rsidRPr="003D49EB" w:rsidRDefault="00384B5C" w:rsidP="009A4683">
      <w:pPr>
        <w:pStyle w:val="Prrafodelista2"/>
        <w:tabs>
          <w:tab w:val="left" w:pos="720"/>
          <w:tab w:val="num" w:pos="1427"/>
        </w:tabs>
        <w:spacing w:after="100" w:afterAutospacing="1"/>
        <w:ind w:left="0"/>
        <w:contextualSpacing/>
        <w:rPr>
          <w:lang w:val="es-CR"/>
        </w:rPr>
      </w:pPr>
    </w:p>
    <w:p w14:paraId="3F5EF465" w14:textId="7211C5EB" w:rsidR="00384B5C" w:rsidRPr="003D49EB" w:rsidRDefault="00384B5C" w:rsidP="009A4683">
      <w:pPr>
        <w:pStyle w:val="Prrafodelista2"/>
        <w:tabs>
          <w:tab w:val="left" w:pos="720"/>
          <w:tab w:val="num" w:pos="1427"/>
        </w:tabs>
        <w:spacing w:after="100" w:afterAutospacing="1"/>
        <w:ind w:left="0"/>
        <w:contextualSpacing/>
        <w:rPr>
          <w:lang w:val="es-CR"/>
        </w:rPr>
      </w:pPr>
      <w:r w:rsidRPr="003D49EB">
        <w:rPr>
          <w:lang w:val="es-CR"/>
        </w:rPr>
        <w:t>275.</w:t>
      </w:r>
      <w:r w:rsidRPr="003D49EB">
        <w:rPr>
          <w:lang w:val="es-CR"/>
        </w:rPr>
        <w:tab/>
        <w:t xml:space="preserve">Asimismo, la Corte considera que, en casos donde existen indicios de tortura, los exámenes médicos practicados a la presunta víctima deben ser realizados con consentimiento previo e informado, sin la presencia de agentes de seguridad u otros agentes estatales. </w:t>
      </w:r>
      <w:proofErr w:type="spellStart"/>
      <w:r w:rsidRPr="003D49EB">
        <w:rPr>
          <w:lang w:val="es-CR"/>
        </w:rPr>
        <w:t>Igualmemente</w:t>
      </w:r>
      <w:proofErr w:type="spellEnd"/>
      <w:r w:rsidRPr="003D49EB">
        <w:rPr>
          <w:lang w:val="es-CR"/>
        </w:rPr>
        <w:t>, al tomar conocimiento de actos de violencia contra la mujer, es necesario que se realice inmediatamente un examen médico y psicológico completo y detallado por personal idóneo y capacitado, en lo posible del sexo que la víctima indique, ofreciéndole que sea acompañada por alguien de su confianza si así lo desea. Dicho examen deberá ser realizado de conformidad con protocolos dirigidos específicamente a documentar evidencias en casos de violencia de género</w:t>
      </w:r>
      <w:r w:rsidR="006A660B" w:rsidRPr="003D49EB">
        <w:rPr>
          <w:lang w:val="es-CR"/>
        </w:rPr>
        <w:t>.</w:t>
      </w:r>
      <w:r w:rsidRPr="003D49EB">
        <w:rPr>
          <w:lang w:val="es-CR"/>
        </w:rPr>
        <w:t xml:space="preserve"> Por otro lado, los médicos y demás miembros del personal de salud están en la obligación de no participar, ni activa ni pasivamente, en actos que constituyan participación o complicidad en torturas u otros tratos crueles, inhumanos o degradantes; tienen la obligación de plasmar en sus informes la existencia de prueba de malos tratos, de ser el caso, y deben adoptar medidas a fin de notificar posibles </w:t>
      </w:r>
      <w:r w:rsidRPr="003D49EB">
        <w:rPr>
          <w:lang w:val="es-CR"/>
        </w:rPr>
        <w:lastRenderedPageBreak/>
        <w:t>abusos a las autoridades correspondientes o, si ello implica riesgos previsibles para los profesionales de la salud o sus pacientes, a autoridades ajenas a la jurisdicción inmediata. Del mismo modo, el Estado debe garantizar la independencia del personal médico y de salud encargado de examinar y prestar asistencia a los detenidos</w:t>
      </w:r>
    </w:p>
    <w:p w14:paraId="2D1EEE85" w14:textId="75B6E8A6" w:rsidR="00384B5C" w:rsidRPr="003D49EB" w:rsidRDefault="00384B5C" w:rsidP="009A4683">
      <w:pPr>
        <w:pStyle w:val="Prrafodelista2"/>
        <w:tabs>
          <w:tab w:val="left" w:pos="720"/>
          <w:tab w:val="num" w:pos="1427"/>
        </w:tabs>
        <w:spacing w:after="100" w:afterAutospacing="1"/>
        <w:ind w:left="0"/>
        <w:contextualSpacing/>
        <w:rPr>
          <w:lang w:val="es-CR"/>
        </w:rPr>
      </w:pPr>
    </w:p>
    <w:p w14:paraId="5A7E0ED4" w14:textId="234B447C" w:rsidR="007E3D14" w:rsidRPr="003D49EB" w:rsidRDefault="007E3D14" w:rsidP="009A4683">
      <w:pPr>
        <w:pStyle w:val="Prrafodelista2"/>
        <w:tabs>
          <w:tab w:val="left" w:pos="720"/>
          <w:tab w:val="num" w:pos="1427"/>
        </w:tabs>
        <w:spacing w:after="100" w:afterAutospacing="1"/>
        <w:ind w:left="0"/>
        <w:contextualSpacing/>
        <w:rPr>
          <w:lang w:val="es-CR"/>
        </w:rPr>
      </w:pPr>
      <w:r w:rsidRPr="003D49EB">
        <w:rPr>
          <w:lang w:val="es-CR"/>
        </w:rPr>
        <w:t>281.</w:t>
      </w:r>
      <w:r w:rsidRPr="003D49EB">
        <w:rPr>
          <w:lang w:val="es-CR"/>
        </w:rPr>
        <w:tab/>
        <w:t>Al respecto, la Corte ha dicho que, en cuanto a la investigación de casos de tortura, el Protocolo de Estambul señala que resulta “particularmente importante que [el] examen [médico] se haga en el momento más oportuno” y que “[d]e todas formas debe realizarse independientemente del tiempo que haya transcurrido desde el momento de la tortura”</w:t>
      </w:r>
      <w:r w:rsidR="006A660B" w:rsidRPr="003D49EB">
        <w:rPr>
          <w:lang w:val="es-CR"/>
        </w:rPr>
        <w:t>.</w:t>
      </w:r>
      <w:r w:rsidRPr="003D49EB">
        <w:rPr>
          <w:lang w:val="es-CR"/>
        </w:rPr>
        <w:t xml:space="preserve"> No obstante, dicho Protocolo advierte que, “[p]ese a todas las precauciones, los exámenes físicos y psicológicos, por su propia naturaleza, pueden causar un nuevo traumatismo al paciente provocando o exacerbando los síntomas de estrés postraumático al resucitar efectos y recuerdos dolorosos”</w:t>
      </w:r>
      <w:r w:rsidR="006A660B" w:rsidRPr="003D49EB">
        <w:rPr>
          <w:lang w:val="es-CR"/>
        </w:rPr>
        <w:t>.</w:t>
      </w:r>
      <w:r w:rsidRPr="003D49EB">
        <w:rPr>
          <w:lang w:val="es-CR"/>
        </w:rPr>
        <w:t xml:space="preserve"> De manera similar, en casos de violencia sexual, la Corte ha destacado que: </w:t>
      </w:r>
    </w:p>
    <w:p w14:paraId="1C47EB27" w14:textId="212C27CE" w:rsidR="007E3D14" w:rsidRPr="003D49EB" w:rsidRDefault="007E3D14" w:rsidP="009A4683">
      <w:pPr>
        <w:pStyle w:val="NormalNumbered"/>
        <w:spacing w:line="240" w:lineRule="auto"/>
        <w:rPr>
          <w:lang w:val="es-CR"/>
        </w:rPr>
      </w:pPr>
      <w:r w:rsidRPr="003D49EB">
        <w:rPr>
          <w:lang w:val="es-CR"/>
        </w:rPr>
        <w:t xml:space="preserve">[…] la investigación debe intentar evitar en lo posible la revictimización o </w:t>
      </w:r>
      <w:proofErr w:type="spellStart"/>
      <w:r w:rsidRPr="003D49EB">
        <w:rPr>
          <w:lang w:val="es-CR"/>
        </w:rPr>
        <w:t>reexperimentación</w:t>
      </w:r>
      <w:proofErr w:type="spellEnd"/>
      <w:r w:rsidRPr="003D49EB">
        <w:rPr>
          <w:lang w:val="es-CR"/>
        </w:rPr>
        <w:t xml:space="preserve"> de la profunda experiencia traumática a la presunta víctima. Respecto de exámenes de integridad sexual, […] el peritaje ginecológico debe realizarse lo más pronto posible […] de considerarse procedente su realización y con el consentimiento previo e informado de la presunta víctima, durante las primeras 72 horas a partir del hecho denunciado, con base en un protocolo específico de atención a las víctimas de violencia sexual. Esto no obsta a que el peritaje ginecológico se realice con posterioridad a este período, con el consentimiento de la presunta víctima, toda vez que evidencias pueden ser encontradas tiempo después del acto de violencia sexual, […] la procedencia de un peritaje ginecológico debe ser considerada sobre la base de un análisis realizado caso por caso, tomando en cuenta el tiempo transcurrido desde el momento en que se alega que ocurrió la violencia sexual. […] la procedencia de un peritaje ginecológico debe ser motivada detalladamente por la autoridad que la solicita y, en caso de no ser procedente o no contar con el consentimiento informado de la presunta víctima, el examen debe ser omitido, lo que en ninguna circunstancia debe servir de excusa para desacreditar a la presunta víctima y/o impedir una investigación</w:t>
      </w:r>
      <w:r w:rsidR="006A660B" w:rsidRPr="003D49EB">
        <w:rPr>
          <w:lang w:val="es-CR"/>
        </w:rPr>
        <w:t>.</w:t>
      </w:r>
    </w:p>
    <w:p w14:paraId="5324517E" w14:textId="75D01517" w:rsidR="007E3D14" w:rsidRPr="003D49EB" w:rsidRDefault="007E3D14" w:rsidP="009A4683">
      <w:pPr>
        <w:rPr>
          <w:lang w:val="es-CR"/>
        </w:rPr>
      </w:pPr>
      <w:r w:rsidRPr="003D49EB">
        <w:rPr>
          <w:lang w:val="es-CR"/>
        </w:rPr>
        <w:t>284.</w:t>
      </w:r>
      <w:r w:rsidRPr="003D49EB">
        <w:rPr>
          <w:lang w:val="es-CR"/>
        </w:rPr>
        <w:tab/>
        <w:t>Por todo lo expuesto, esta Corte concluye que las investigaciones realizadas por la PGJEM y la FEVIM no se llevaron a cabo con debida diligencia, en tanto: (i) la recolección y manejo de la evidencia fue a todas luces ineficiente; (ii) las entrevistas y los exámenes médicos realizados no cumplieron con los requisitos necesarios en casos de víctimas de violencia sexual y/o tortura; (iii) no se les realizó exámenes ginecológicos ni se les aplicó el Protocolo de Estambul de manera inmediata; (iv) no se les prestó atención ginecológica, pese a haber denunciado ser víctimas de violencia sexual; (v) se las sometió innecesariamente a peritajes revictimizantes; (vi) la falta de adopción de otras medidas redundó en desmedro de la investigación, y (vii) no se le dio tratamiento a los elementos de prueba presentados por las víctimas.</w:t>
      </w:r>
    </w:p>
    <w:p w14:paraId="21523EEA" w14:textId="77777777" w:rsidR="001D37B7" w:rsidRDefault="001D37B7" w:rsidP="009A4683">
      <w:pPr>
        <w:rPr>
          <w:lang w:val="es-CR"/>
        </w:rPr>
      </w:pPr>
    </w:p>
    <w:p w14:paraId="05A0BF2C" w14:textId="00DC5FC2" w:rsidR="00A55300" w:rsidRPr="003D49EB" w:rsidRDefault="00A55300" w:rsidP="009A4683">
      <w:pPr>
        <w:rPr>
          <w:lang w:val="es-CR"/>
        </w:rPr>
      </w:pPr>
      <w:r w:rsidRPr="003D49EB">
        <w:rPr>
          <w:lang w:val="es-CR"/>
        </w:rPr>
        <w:t>292.</w:t>
      </w:r>
      <w:r w:rsidRPr="003D49EB">
        <w:rPr>
          <w:lang w:val="es-CR"/>
        </w:rPr>
        <w:tab/>
        <w:t>Esta Corte ha establecido que los Estados tienen el deber de realizar una investigación por todos los medios legales disponibles y orientada a la determinación de la verdad y la persecución, captura, enjuiciamiento y, en su caso, el castigo de los responsables, cualquiera que haya sido su participación en los hechos</w:t>
      </w:r>
      <w:r w:rsidR="006A660B" w:rsidRPr="003D49EB">
        <w:rPr>
          <w:lang w:val="es-CR"/>
        </w:rPr>
        <w:t>.</w:t>
      </w:r>
      <w:r w:rsidRPr="003D49EB">
        <w:rPr>
          <w:lang w:val="es-CR"/>
        </w:rPr>
        <w:t xml:space="preserve"> Así, deben evitarse omisiones en el seguimiento de líneas lógicas de investigación,  de tal forma que se pueda garantizar el debido análisis de las hipótesis de autoría surgidas a raíz de la misma</w:t>
      </w:r>
      <w:r w:rsidR="006A660B" w:rsidRPr="003D49EB">
        <w:rPr>
          <w:lang w:val="es-CR"/>
        </w:rPr>
        <w:t>.</w:t>
      </w:r>
      <w:r w:rsidRPr="003D49EB">
        <w:rPr>
          <w:lang w:val="es-CR"/>
        </w:rPr>
        <w:t xml:space="preserve"> En este sentido, a los fines de determinar si un Estado ha cumplido con su obligación de investigar a todas las personas penalmente responsables, esta Corte ha referido que es necesario analizar (i) la existencia de indicios sobre la participación de los presuntos responsables, y (ii) si hubo una actuación diligente o negligente en la indagación de tales indicios</w:t>
      </w:r>
      <w:r w:rsidR="006A660B" w:rsidRPr="003D49EB">
        <w:rPr>
          <w:lang w:val="es-CR"/>
        </w:rPr>
        <w:t>.</w:t>
      </w:r>
    </w:p>
    <w:p w14:paraId="387C969B" w14:textId="77777777" w:rsidR="001D37B7" w:rsidRDefault="001D37B7" w:rsidP="009A4683">
      <w:pPr>
        <w:rPr>
          <w:lang w:val="es-CR"/>
        </w:rPr>
      </w:pPr>
    </w:p>
    <w:p w14:paraId="72C26246" w14:textId="6B445BA4" w:rsidR="00A55300" w:rsidRPr="003D49EB" w:rsidRDefault="00A55300" w:rsidP="009A4683">
      <w:pPr>
        <w:rPr>
          <w:lang w:val="es-CR"/>
        </w:rPr>
      </w:pPr>
      <w:r w:rsidRPr="003D49EB">
        <w:rPr>
          <w:lang w:val="es-CR"/>
        </w:rPr>
        <w:lastRenderedPageBreak/>
        <w:t>294.</w:t>
      </w:r>
      <w:r w:rsidRPr="003D49EB">
        <w:rPr>
          <w:lang w:val="es-CR"/>
        </w:rPr>
        <w:tab/>
        <w:t xml:space="preserve">Con respecto a los alegatos relativos a la falta de investigación de la presunta responsabilidad por cadena de mando, la Corte nota que el artículo 3 de la Convención Interamericana contra la Tortura establece que son responsables por dicho delito “los empleados o funcionarios públicos que actuando en ese carácter ordenen, instiguen, induzcan a su comisión, lo cometan directamente o que, pudiendo impedirlo, no lo hagan”. Ello significa que, tal como lo remarca el peritaje de Susana </w:t>
      </w:r>
      <w:proofErr w:type="spellStart"/>
      <w:r w:rsidRPr="003D49EB">
        <w:rPr>
          <w:lang w:val="es-CR"/>
        </w:rPr>
        <w:t>SáCouto</w:t>
      </w:r>
      <w:proofErr w:type="spellEnd"/>
      <w:r w:rsidRPr="003D49EB">
        <w:rPr>
          <w:lang w:val="es-CR"/>
        </w:rPr>
        <w:t>, “en casos de tortura la obligación de investigar bajo la [Convención Americana] complementada por la [Convención Interamericana contra la Tortura] se extiende no sólo al perpetrador directo sino también a los funcionarios estatales que ordenen, instiguen, induzcan a su comisión, o que estando en posición de impedirlo, omitieron hacerlo”</w:t>
      </w:r>
      <w:r w:rsidR="006A660B" w:rsidRPr="003D49EB">
        <w:rPr>
          <w:lang w:val="es-CR"/>
        </w:rPr>
        <w:t>.</w:t>
      </w:r>
      <w:r w:rsidRPr="003D49EB">
        <w:rPr>
          <w:lang w:val="es-CR"/>
        </w:rPr>
        <w:t xml:space="preserve"> En este punto, cabe recordar que no corresponde a la Corte analizar las hipótesis de autoría manejadas durante la investigación de los hechos y en consecuencia determinar responsabilidades individuales, cuya definición compete a los tribunales penales internos, sino evaluar las acciones u omisiones de agentes estatales, según la prueba presentada por las partes,  sino constatar si en los pasos efectivamente dados a nivel interno se violaron o no obligaciones internacionales del Estado derivadas de los artículos 8 y 25 de la Convención Americana</w:t>
      </w:r>
      <w:r w:rsidR="006A660B" w:rsidRPr="003D49EB">
        <w:rPr>
          <w:lang w:val="es-CR"/>
        </w:rPr>
        <w:t>.</w:t>
      </w:r>
      <w:r w:rsidRPr="003D49EB">
        <w:rPr>
          <w:lang w:val="es-CR"/>
        </w:rPr>
        <w:t xml:space="preserve"> Por ello, este Tribunal procederá a analizar si, en el presente caso, existieron indicios que señalaran que las autoridades civiles  que planearon y supervisaron los operativos ordenaron, instigaron o indujeron a la comisión de los actos de tortura, o bien que, pudiendo impedirlo, no lo hicieron</w:t>
      </w:r>
      <w:r w:rsidR="006A660B" w:rsidRPr="003D49EB">
        <w:rPr>
          <w:lang w:val="es-CR"/>
        </w:rPr>
        <w:t>,</w:t>
      </w:r>
      <w:r w:rsidRPr="003D49EB">
        <w:rPr>
          <w:lang w:val="es-CR"/>
        </w:rPr>
        <w:t xml:space="preserve"> y si dichos indicios eran suficientes para justificar la apertura de líneas de investigación relativas a la responsabilidad de mando de los superiores.</w:t>
      </w:r>
    </w:p>
    <w:p w14:paraId="0F681C7B" w14:textId="77777777" w:rsidR="001D37B7" w:rsidRDefault="001D37B7" w:rsidP="009A4683">
      <w:pPr>
        <w:pStyle w:val="Prrafodelista2"/>
        <w:tabs>
          <w:tab w:val="left" w:pos="720"/>
          <w:tab w:val="num" w:pos="1427"/>
        </w:tabs>
        <w:spacing w:after="100" w:afterAutospacing="1"/>
        <w:ind w:left="0"/>
        <w:contextualSpacing/>
        <w:rPr>
          <w:lang w:val="es-CR"/>
        </w:rPr>
      </w:pPr>
    </w:p>
    <w:p w14:paraId="23C2ADFC" w14:textId="1EAA8975" w:rsidR="00A55300" w:rsidRPr="003D49EB" w:rsidRDefault="00A55300" w:rsidP="009A4683">
      <w:pPr>
        <w:pStyle w:val="Prrafodelista2"/>
        <w:tabs>
          <w:tab w:val="left" w:pos="720"/>
          <w:tab w:val="num" w:pos="1427"/>
        </w:tabs>
        <w:spacing w:after="100" w:afterAutospacing="1"/>
        <w:ind w:left="0"/>
        <w:contextualSpacing/>
        <w:rPr>
          <w:lang w:val="es-CR"/>
        </w:rPr>
      </w:pPr>
      <w:r w:rsidRPr="003D49EB">
        <w:rPr>
          <w:lang w:val="es-CR"/>
        </w:rPr>
        <w:t>297.</w:t>
      </w:r>
      <w:r w:rsidRPr="003D49EB">
        <w:rPr>
          <w:lang w:val="es-CR"/>
        </w:rPr>
        <w:tab/>
        <w:t xml:space="preserve">Esta Corte no es un tribunal penal, pero no puede pasar por alto que la omisión del Estado respecto de la cadena de mando hubiese debido investigarse en función de las noticias que hubiesen llegado a las autoridades superiores, no sólo en el caso en que eventualmente se hubiese hecho caso omiso de éstas y se hubiese aceptado la posibilidad del resultado (dolo eventual), sino también ante la posibilidad de que éstas se hubiesen subestimado rechazando la posibilidad de ese resultado (culpa con representación). Por otra parte, esta última variable de responsabilidad penal no podía descartarse por el Estado, puesto que, dadas las características de las agresiones sexuales, que no fueron cometidas por un individuo aislado, sino en grupo, resulta manifiesto que las fuerzas de seguridad que operaron en el operativo carecían del más elemental y debido entrenamiento, lo que en cualquier policía debidamente organizada y disciplinada jamás hubiese permitido la comisión de tan aberrantes delitos por parte de una pluralidad de sus agentes. </w:t>
      </w:r>
    </w:p>
    <w:p w14:paraId="5C8E319B" w14:textId="77777777" w:rsidR="00A55300" w:rsidRPr="003D49EB" w:rsidRDefault="00A55300" w:rsidP="009A4683">
      <w:pPr>
        <w:pStyle w:val="Prrafodelista2"/>
        <w:tabs>
          <w:tab w:val="left" w:pos="720"/>
          <w:tab w:val="num" w:pos="1427"/>
        </w:tabs>
        <w:spacing w:after="100" w:afterAutospacing="1"/>
        <w:ind w:left="0"/>
        <w:contextualSpacing/>
        <w:rPr>
          <w:lang w:val="es-CR"/>
        </w:rPr>
      </w:pPr>
    </w:p>
    <w:p w14:paraId="0F0E94D9" w14:textId="3CA036BE" w:rsidR="00A55300" w:rsidRPr="003D49EB" w:rsidRDefault="00A55300" w:rsidP="009A4683">
      <w:pPr>
        <w:pStyle w:val="Prrafodelista2"/>
        <w:tabs>
          <w:tab w:val="left" w:pos="720"/>
          <w:tab w:val="num" w:pos="1427"/>
        </w:tabs>
        <w:spacing w:after="100" w:afterAutospacing="1"/>
        <w:ind w:left="0"/>
        <w:contextualSpacing/>
        <w:rPr>
          <w:lang w:val="es-CR"/>
        </w:rPr>
      </w:pPr>
      <w:r w:rsidRPr="003D49EB">
        <w:rPr>
          <w:lang w:val="es-CR"/>
        </w:rPr>
        <w:t>298.</w:t>
      </w:r>
      <w:r w:rsidRPr="003D49EB">
        <w:rPr>
          <w:lang w:val="es-CR"/>
        </w:rPr>
        <w:tab/>
        <w:t>Esta Corte no propugna ninguna forma de responsabilidad penal objetiva contraria a los principios generales de responsabilidad penal contemporáneos y, por ende, en consonancia con esos principios universalmente reconocidos, reafirma que sólo incurre en delito quien opera con dolo o con imprudencia o negligencia. La Corte entiende que corresponde a los jueces penales del Estado establecer en el caso si ha mediado dolo eventual (si los superiores tuvieron conocimiento de los hechos o indicios de éstos y se desentendieron de eso, admitiendo la posibilidad del resultado) o si, por el contrario, no incurrieron en dolo eventual. En este último caso, que sería el más favorable para los superiores de la cadena de mandos, la Corte observa que tampoco se investigó su eventual responsabilidad por culpa (imprudencia por disponer el operativo con una policía indisciplinada y desorganizada) o negligencia (subestimar las noticias que les llegaban). A juicio de esta Corte, por lo menos esta última posibilidad aparece necesitada de investigación, dado que el hecho mismo, revelador de la alta indisciplina y carencia de preparación de las fuerzas de seguridad cuyos agentes fueron autores de los delitos, es un clarísimo indicio de imprudencia, pues a todas luces, el superior que dispone un operativo de esta naturaleza valiéndose de una fuerza con semejante desorden interno, incurre en una clara violación del deber de cuidado que le incumbe conforme a su función de mando y decisión. Cabe remarcar que esto mismo lo indica la SCJN</w:t>
      </w:r>
      <w:r w:rsidR="006A660B" w:rsidRPr="003D49EB">
        <w:rPr>
          <w:lang w:val="es-CR"/>
        </w:rPr>
        <w:t>.</w:t>
      </w:r>
    </w:p>
    <w:p w14:paraId="34218223" w14:textId="77777777" w:rsidR="00A55300" w:rsidRPr="003D49EB" w:rsidRDefault="00A55300" w:rsidP="009A4683">
      <w:pPr>
        <w:pStyle w:val="Prrafodelista2"/>
        <w:tabs>
          <w:tab w:val="left" w:pos="720"/>
          <w:tab w:val="num" w:pos="1427"/>
        </w:tabs>
        <w:spacing w:after="100" w:afterAutospacing="1"/>
        <w:ind w:left="0"/>
        <w:contextualSpacing/>
        <w:rPr>
          <w:lang w:val="es-CR"/>
        </w:rPr>
      </w:pPr>
    </w:p>
    <w:p w14:paraId="7F0CB338" w14:textId="77777777" w:rsidR="00A55300" w:rsidRPr="003D49EB" w:rsidRDefault="00A55300" w:rsidP="009A4683">
      <w:pPr>
        <w:pStyle w:val="Prrafodelista2"/>
        <w:tabs>
          <w:tab w:val="left" w:pos="720"/>
          <w:tab w:val="num" w:pos="1427"/>
        </w:tabs>
        <w:spacing w:after="100" w:afterAutospacing="1"/>
        <w:ind w:left="0"/>
        <w:contextualSpacing/>
        <w:rPr>
          <w:lang w:val="es-CR"/>
        </w:rPr>
      </w:pPr>
      <w:r w:rsidRPr="003D49EB">
        <w:rPr>
          <w:lang w:val="es-CR"/>
        </w:rPr>
        <w:t>299.</w:t>
      </w:r>
      <w:r w:rsidRPr="003D49EB">
        <w:rPr>
          <w:lang w:val="es-CR"/>
        </w:rPr>
        <w:tab/>
        <w:t xml:space="preserve">La Corte señala que respecto de la posibilidad de menor responsabilidad penal para los responsables de la cadena de mando, no es válido el argumento de que se ha omitido toda investigación sobre una eventual responsabilidad por violación del deber de cuidado por parte de los superiores, en razón de que los tipos de tortura y de violación sexual exigen dolo y no admiten la forma culposa. </w:t>
      </w:r>
    </w:p>
    <w:p w14:paraId="4C54B1D0" w14:textId="77777777" w:rsidR="00A55300" w:rsidRPr="003D49EB" w:rsidRDefault="00A55300" w:rsidP="009A4683">
      <w:pPr>
        <w:pStyle w:val="Prrafodelista2"/>
        <w:tabs>
          <w:tab w:val="left" w:pos="720"/>
          <w:tab w:val="num" w:pos="1427"/>
        </w:tabs>
        <w:spacing w:after="100" w:afterAutospacing="1"/>
        <w:ind w:left="0"/>
        <w:contextualSpacing/>
        <w:rPr>
          <w:lang w:val="es-CR"/>
        </w:rPr>
      </w:pPr>
    </w:p>
    <w:p w14:paraId="31195E7D" w14:textId="77777777" w:rsidR="00A55300" w:rsidRPr="003D49EB" w:rsidRDefault="00A55300" w:rsidP="009A4683">
      <w:pPr>
        <w:pStyle w:val="Prrafodelista2"/>
        <w:tabs>
          <w:tab w:val="left" w:pos="720"/>
          <w:tab w:val="num" w:pos="1427"/>
        </w:tabs>
        <w:spacing w:after="100" w:afterAutospacing="1"/>
        <w:ind w:left="0"/>
        <w:contextualSpacing/>
        <w:rPr>
          <w:lang w:val="es-CR"/>
        </w:rPr>
      </w:pPr>
      <w:r w:rsidRPr="003D49EB">
        <w:rPr>
          <w:lang w:val="es-CR"/>
        </w:rPr>
        <w:t>300.</w:t>
      </w:r>
      <w:r w:rsidRPr="003D49EB">
        <w:rPr>
          <w:lang w:val="es-CR"/>
        </w:rPr>
        <w:tab/>
        <w:t xml:space="preserve">Conforme al principio de que a cada participante en un delito le corresponde solo la responsabilidad por su injusto personal, es verdad que los autores materiales, instigadores y cómplices de los delitos de tortura y violación sólo pueden incurrir en esos injustos con dolo directo o eventual y, aún más, que la violación es un tipo en que solo puede incurrir como autor quien lo comete en forma directa y personal (llamado de propia mano), como también que en el injusto reprochable a esos agentes no pueden computarse como concurso ideal las lesiones sufridas por las víctimas, puesto que quedan consumidas por la violencia exigida por esos tipos, lo que queda aún más de manifiesto cuando, por lo general, los tipos de esos delitos las mencionan como agravantes del ilícito al igual que el posible resultado de muerte. </w:t>
      </w:r>
    </w:p>
    <w:p w14:paraId="0B21846A" w14:textId="77777777" w:rsidR="00A55300" w:rsidRPr="003D49EB" w:rsidRDefault="00A55300" w:rsidP="009A4683">
      <w:pPr>
        <w:pStyle w:val="Prrafodelista2"/>
        <w:tabs>
          <w:tab w:val="left" w:pos="720"/>
          <w:tab w:val="num" w:pos="1427"/>
        </w:tabs>
        <w:spacing w:after="100" w:afterAutospacing="1"/>
        <w:ind w:left="0"/>
        <w:contextualSpacing/>
        <w:rPr>
          <w:lang w:val="es-CR"/>
        </w:rPr>
      </w:pPr>
    </w:p>
    <w:p w14:paraId="538C8703" w14:textId="77777777" w:rsidR="00A55300" w:rsidRPr="003D49EB" w:rsidRDefault="00A55300" w:rsidP="009A4683">
      <w:pPr>
        <w:pStyle w:val="Prrafodelista2"/>
        <w:tabs>
          <w:tab w:val="left" w:pos="720"/>
          <w:tab w:val="num" w:pos="1427"/>
        </w:tabs>
        <w:spacing w:after="100" w:afterAutospacing="1"/>
        <w:ind w:left="0"/>
        <w:contextualSpacing/>
        <w:rPr>
          <w:lang w:val="es-CR"/>
        </w:rPr>
      </w:pPr>
      <w:r w:rsidRPr="003D49EB">
        <w:rPr>
          <w:lang w:val="es-CR"/>
        </w:rPr>
        <w:t>301.</w:t>
      </w:r>
      <w:r w:rsidRPr="003D49EB">
        <w:rPr>
          <w:lang w:val="es-CR"/>
        </w:rPr>
        <w:tab/>
        <w:t>No obstante lo anterior y, atendiendo al principio de que el ilícito penal siempre es personal, el Estado incurrió en omisión de investigación, por lo menos, de la responsabilidad penal de los superiores de la cadena de mandos, dejando a investigar su posible responsabilidad por culpa (negligencia o imprudencia) respecto de las lesiones que se constataron en las víctimas, toda vez que se trata de tipos que obviamente se prevén en el derecho interno también en la modalidad culposa y, respecto de ellos, incluso en esa hipótesis más favorable para los superiores, esas lesiones no estaban consumidas por ningún tipo en que hubiesen incurrido y que exigiese violencia.</w:t>
      </w:r>
    </w:p>
    <w:p w14:paraId="7CA11C5C" w14:textId="77777777" w:rsidR="00A55300" w:rsidRPr="003D49EB" w:rsidRDefault="00A55300" w:rsidP="009A4683">
      <w:pPr>
        <w:pStyle w:val="Prrafodelista2"/>
        <w:tabs>
          <w:tab w:val="left" w:pos="720"/>
          <w:tab w:val="num" w:pos="1427"/>
        </w:tabs>
        <w:spacing w:after="100" w:afterAutospacing="1"/>
        <w:ind w:left="0"/>
        <w:contextualSpacing/>
        <w:rPr>
          <w:lang w:val="es-CR"/>
        </w:rPr>
      </w:pPr>
    </w:p>
    <w:p w14:paraId="66FE6AC4" w14:textId="1F7E9BAF" w:rsidR="00A55300" w:rsidRPr="003D49EB" w:rsidRDefault="00A55300" w:rsidP="009A4683">
      <w:pPr>
        <w:pStyle w:val="Prrafodelista2"/>
        <w:tabs>
          <w:tab w:val="left" w:pos="720"/>
          <w:tab w:val="num" w:pos="1427"/>
        </w:tabs>
        <w:spacing w:after="100" w:afterAutospacing="1"/>
        <w:ind w:left="0"/>
        <w:contextualSpacing/>
        <w:rPr>
          <w:lang w:val="es-CR"/>
        </w:rPr>
      </w:pPr>
      <w:r w:rsidRPr="003D49EB">
        <w:rPr>
          <w:lang w:val="es-CR"/>
        </w:rPr>
        <w:t>302.</w:t>
      </w:r>
      <w:r w:rsidRPr="003D49EB">
        <w:rPr>
          <w:lang w:val="es-CR"/>
        </w:rPr>
        <w:tab/>
        <w:t xml:space="preserve">En lo que respecta a la conducta estatal, la Corte no tiene información de que exista, al momento, investigación alguna, en curso o finalizada, tendiente a determinar la responsabilidad de mando de los superiores a cargo del operativo, más allá de la acción penal en contra del Subdirector Operativo de Región sur de la Agencia de Seguridad Estatal actualmente en curso </w:t>
      </w:r>
      <w:r w:rsidR="00632C28">
        <w:rPr>
          <w:lang w:val="es-CR"/>
        </w:rPr>
        <w:t>[...]</w:t>
      </w:r>
      <w:r w:rsidRPr="003D49EB">
        <w:rPr>
          <w:lang w:val="es-CR"/>
        </w:rPr>
        <w:t xml:space="preserve">. Si bien el Estado alegó que la responsabilidad de mando fue debidamente analizada y descartada por la SCJN en el marco de su investigación sobre los hechos ocurridos el 3 y 4 de mayo, esta Corte considera que dicha investigación no es suficiente para cumplir con la obligación de investigar a todos los responsables. Ello en tanto no se trataba de un </w:t>
      </w:r>
      <w:proofErr w:type="spellStart"/>
      <w:r w:rsidRPr="003D49EB">
        <w:rPr>
          <w:lang w:val="es-CR"/>
        </w:rPr>
        <w:t>procecimiento</w:t>
      </w:r>
      <w:proofErr w:type="spellEnd"/>
      <w:r w:rsidRPr="003D49EB">
        <w:rPr>
          <w:lang w:val="es-CR"/>
        </w:rPr>
        <w:t xml:space="preserve"> jurisdiccional con la capacidad de determinar responsabilidades penales, y la misma sentencia establecía la necesidad de seguir investigando a los posibles responsables</w:t>
      </w:r>
      <w:r w:rsidR="006A660B" w:rsidRPr="003D49EB">
        <w:rPr>
          <w:lang w:val="es-CR"/>
        </w:rPr>
        <w:t>.</w:t>
      </w:r>
      <w:r w:rsidRPr="003D49EB">
        <w:rPr>
          <w:lang w:val="es-CR"/>
        </w:rPr>
        <w:t xml:space="preserve"> Además, si bien la SCJN descartó que existiesen suficientes indicios de órdenes expresas por parte de las autoridades de agredir a las personas, esta Corte remarca que: (i) la responsabilidad por el delito de tortura puede surgir no solamente del dictado de órdenes, sino también, como se mencionó supra, por instigación, inducción, o cuando estando en posición de impedirlo, omitieran hacerlo; (ii) las órdenes pueden no ser expresas sino también implícitas</w:t>
      </w:r>
      <w:r w:rsidR="006A660B" w:rsidRPr="003D49EB">
        <w:rPr>
          <w:lang w:val="es-CR"/>
        </w:rPr>
        <w:t>,</w:t>
      </w:r>
      <w:r w:rsidRPr="003D49EB">
        <w:rPr>
          <w:lang w:val="es-CR"/>
        </w:rPr>
        <w:t xml:space="preserve"> y (iii) las instrucciones no necesariamente deben ser criminales en sí, sino que basta con que exista una probabilidad sustancial de que se cometan crímenes en la ejecución de la instrucción</w:t>
      </w:r>
      <w:r w:rsidR="006A660B" w:rsidRPr="003D49EB">
        <w:rPr>
          <w:lang w:val="es-CR"/>
        </w:rPr>
        <w:t>.</w:t>
      </w:r>
      <w:r w:rsidRPr="003D49EB">
        <w:rPr>
          <w:lang w:val="es-CR"/>
        </w:rPr>
        <w:t xml:space="preserve"> Ninguna de estas circunstancias fue descartada por la SCJN. </w:t>
      </w:r>
    </w:p>
    <w:p w14:paraId="4952D4E4" w14:textId="77777777" w:rsidR="00A55300" w:rsidRPr="003D49EB" w:rsidRDefault="00A55300" w:rsidP="009A4683">
      <w:pPr>
        <w:pStyle w:val="Prrafodelista2"/>
        <w:tabs>
          <w:tab w:val="left" w:pos="720"/>
          <w:tab w:val="num" w:pos="1427"/>
        </w:tabs>
        <w:spacing w:after="100" w:afterAutospacing="1"/>
        <w:contextualSpacing/>
        <w:rPr>
          <w:lang w:val="es-CR"/>
        </w:rPr>
      </w:pPr>
    </w:p>
    <w:p w14:paraId="7F337643" w14:textId="1B9E5DB4" w:rsidR="007E3D14" w:rsidRPr="003D49EB" w:rsidRDefault="00A55300" w:rsidP="009A4683">
      <w:pPr>
        <w:pStyle w:val="Prrafodelista2"/>
        <w:tabs>
          <w:tab w:val="left" w:pos="720"/>
          <w:tab w:val="num" w:pos="1427"/>
        </w:tabs>
        <w:spacing w:after="100" w:afterAutospacing="1"/>
        <w:ind w:left="0"/>
        <w:contextualSpacing/>
        <w:rPr>
          <w:lang w:val="es-CR"/>
        </w:rPr>
      </w:pPr>
      <w:r w:rsidRPr="003D49EB">
        <w:rPr>
          <w:lang w:val="es-CR"/>
        </w:rPr>
        <w:t>303.</w:t>
      </w:r>
      <w:r w:rsidRPr="003D49EB">
        <w:rPr>
          <w:lang w:val="es-CR"/>
        </w:rPr>
        <w:tab/>
        <w:t xml:space="preserve">Por otra parte, el Estado tampoco avanzó investigación alguna respecto de una eventual responsabilidad dolosa de las autoridades por su conducta posterior a los hechos. Las declaraciones posteriores, afirmando que las denuncias de las víctimas eran falsas y sólo se trataba de invenciones tácticas de “guerrilleras” </w:t>
      </w:r>
      <w:r w:rsidR="00632C28">
        <w:rPr>
          <w:lang w:val="es-CR"/>
        </w:rPr>
        <w:t>[...]</w:t>
      </w:r>
      <w:r w:rsidRPr="003D49EB">
        <w:rPr>
          <w:lang w:val="es-CR"/>
        </w:rPr>
        <w:t>, constituyeron un indicio suficiente para promover la investigación de una eventual tipicidad contra la administración de justicia, es decir, de un posible delito de encubrimiento, lo que surge de las observaciones de la SCJN</w:t>
      </w:r>
      <w:r w:rsidR="006A660B" w:rsidRPr="003D49EB">
        <w:rPr>
          <w:lang w:val="es-CR"/>
        </w:rPr>
        <w:t>.</w:t>
      </w:r>
      <w:r w:rsidRPr="003D49EB">
        <w:rPr>
          <w:lang w:val="es-CR"/>
        </w:rPr>
        <w:t xml:space="preserve"> Como es obvio, ambas </w:t>
      </w:r>
      <w:r w:rsidRPr="003D49EB">
        <w:rPr>
          <w:lang w:val="es-CR"/>
        </w:rPr>
        <w:lastRenderedPageBreak/>
        <w:t>investigaciones debían ser alternativas, toda vez que de surgir responsabilidad por los hechos, se descartaría la tipicidad de encubrimiento.</w:t>
      </w:r>
    </w:p>
    <w:p w14:paraId="66FA6388" w14:textId="77777777" w:rsidR="00A55300" w:rsidRPr="003D49EB" w:rsidRDefault="00A55300" w:rsidP="009A4683">
      <w:pPr>
        <w:pStyle w:val="Prrafodelista2"/>
        <w:tabs>
          <w:tab w:val="left" w:pos="720"/>
          <w:tab w:val="num" w:pos="1427"/>
        </w:tabs>
        <w:spacing w:after="100" w:afterAutospacing="1"/>
        <w:ind w:left="0"/>
        <w:contextualSpacing/>
        <w:rPr>
          <w:lang w:val="es-CR"/>
        </w:rPr>
      </w:pPr>
    </w:p>
    <w:p w14:paraId="210A77F0" w14:textId="785B7091" w:rsidR="00384B5C" w:rsidRPr="003D49EB" w:rsidRDefault="00384B5C" w:rsidP="009A4683">
      <w:pPr>
        <w:pStyle w:val="Prrafodelista2"/>
        <w:tabs>
          <w:tab w:val="left" w:pos="720"/>
          <w:tab w:val="num" w:pos="1427"/>
        </w:tabs>
        <w:spacing w:after="100" w:afterAutospacing="1"/>
        <w:ind w:left="0"/>
        <w:contextualSpacing/>
        <w:rPr>
          <w:lang w:val="es-CR"/>
        </w:rPr>
      </w:pPr>
      <w:r w:rsidRPr="003D49EB">
        <w:rPr>
          <w:lang w:val="es-CR"/>
        </w:rPr>
        <w:t>[...]</w:t>
      </w:r>
    </w:p>
    <w:p w14:paraId="27D2BFE8" w14:textId="77777777" w:rsidR="00384B5C" w:rsidRPr="003D49EB" w:rsidRDefault="00384B5C" w:rsidP="009A4683">
      <w:pPr>
        <w:pStyle w:val="Prrafodelista2"/>
        <w:tabs>
          <w:tab w:val="left" w:pos="720"/>
          <w:tab w:val="num" w:pos="1427"/>
        </w:tabs>
        <w:spacing w:after="100" w:afterAutospacing="1"/>
        <w:ind w:left="0"/>
        <w:contextualSpacing/>
        <w:rPr>
          <w:lang w:val="es-CR"/>
        </w:rPr>
      </w:pPr>
    </w:p>
    <w:p w14:paraId="04B57C1F" w14:textId="5407B8BD" w:rsidR="00C257FF" w:rsidRPr="003D49EB" w:rsidRDefault="00384B5C" w:rsidP="009A4683">
      <w:pPr>
        <w:pStyle w:val="Prrafodelista2"/>
        <w:tabs>
          <w:tab w:val="left" w:pos="720"/>
          <w:tab w:val="num" w:pos="1427"/>
        </w:tabs>
        <w:spacing w:after="100" w:afterAutospacing="1"/>
        <w:ind w:left="0"/>
        <w:contextualSpacing/>
        <w:rPr>
          <w:lang w:val="es-CR"/>
        </w:rPr>
      </w:pPr>
      <w:r w:rsidRPr="003D49EB">
        <w:rPr>
          <w:lang w:val="es-CR"/>
        </w:rPr>
        <w:t>305.</w:t>
      </w:r>
      <w:r w:rsidRPr="003D49EB">
        <w:rPr>
          <w:lang w:val="es-CR"/>
        </w:rPr>
        <w:tab/>
        <w:t>En virtud del reconocimiento de responsabilidad así como de lo establecido en esta Sentencia, la Corte concluye que, debido a las falencias iniciales en la investigación, la falta de valoración de la evidencia presentada por las mujeres víctimas de este caso ante la FEVIM, así como la falta de investigación de todos los posibles responsables penales y seguimiento de líneas lógicas de investigación, el Estado mexicano no actuó con la debida diligencia requerida en las investigaciones por la tortura y violencia sexual sufridos por las once mujeres víctimas del presente caso.</w:t>
      </w:r>
    </w:p>
    <w:p w14:paraId="263CA4CB" w14:textId="4354D61C" w:rsidR="00DC1503" w:rsidRPr="003D49EB" w:rsidRDefault="00DC1503" w:rsidP="009A4683">
      <w:pPr>
        <w:pStyle w:val="Caso"/>
        <w:rPr>
          <w:lang w:val="es-CR"/>
        </w:rPr>
      </w:pPr>
      <w:r w:rsidRPr="003D49EB">
        <w:rPr>
          <w:lang w:val="es-CR"/>
        </w:rPr>
        <w:t>Corte IDH. Caso Azul Rojas Marín y otra Vs. Perú. Excepciones Preliminares, Fondo, Reparaciones y Costas. Sentencia de 12 de marzo de 2020. Serie C No. 402.</w:t>
      </w:r>
    </w:p>
    <w:p w14:paraId="706D6ED2" w14:textId="77777777" w:rsidR="001D37B7" w:rsidRDefault="001D37B7" w:rsidP="009A4683">
      <w:pPr>
        <w:pStyle w:val="Prrafodelista2"/>
        <w:tabs>
          <w:tab w:val="num" w:pos="1427"/>
        </w:tabs>
        <w:spacing w:after="100" w:afterAutospacing="1"/>
        <w:ind w:left="0"/>
        <w:contextualSpacing/>
        <w:rPr>
          <w:lang w:val="es-CR"/>
        </w:rPr>
      </w:pPr>
    </w:p>
    <w:p w14:paraId="7834033E" w14:textId="28195F65" w:rsidR="00DC1503" w:rsidRPr="003D49EB" w:rsidRDefault="00DC1503" w:rsidP="009A4683">
      <w:pPr>
        <w:pStyle w:val="Prrafodelista2"/>
        <w:tabs>
          <w:tab w:val="num" w:pos="1427"/>
        </w:tabs>
        <w:spacing w:after="100" w:afterAutospacing="1"/>
        <w:ind w:left="0"/>
        <w:contextualSpacing/>
        <w:rPr>
          <w:lang w:val="es-CR"/>
        </w:rPr>
      </w:pPr>
      <w:r w:rsidRPr="003D49EB">
        <w:rPr>
          <w:lang w:val="es-CR"/>
        </w:rPr>
        <w:t xml:space="preserve">178. La Corte ha </w:t>
      </w:r>
      <w:proofErr w:type="spellStart"/>
      <w:r w:rsidRPr="003D49EB">
        <w:rPr>
          <w:lang w:val="es-CR"/>
        </w:rPr>
        <w:t>señalado</w:t>
      </w:r>
      <w:proofErr w:type="spellEnd"/>
      <w:r w:rsidRPr="003D49EB">
        <w:rPr>
          <w:lang w:val="es-CR"/>
        </w:rPr>
        <w:t xml:space="preserve"> que el deber de investigar previsto en la Convención Americana se ve reforzado por lo dispuesto en los </w:t>
      </w:r>
      <w:proofErr w:type="spellStart"/>
      <w:r w:rsidRPr="003D49EB">
        <w:rPr>
          <w:lang w:val="es-CR"/>
        </w:rPr>
        <w:t>artículos</w:t>
      </w:r>
      <w:proofErr w:type="spellEnd"/>
      <w:r w:rsidRPr="003D49EB">
        <w:rPr>
          <w:lang w:val="es-CR"/>
        </w:rPr>
        <w:t xml:space="preserve"> 1, 6 y 8 de la Convención Interamericana para Prevenir y Sancionar la Tortura que obligan al Estado a “toma[r] medidas efectivas para prevenir y sancionar la tortura en el </w:t>
      </w:r>
      <w:proofErr w:type="spellStart"/>
      <w:r w:rsidRPr="003D49EB">
        <w:rPr>
          <w:lang w:val="es-CR"/>
        </w:rPr>
        <w:t>ámbito</w:t>
      </w:r>
      <w:proofErr w:type="spellEnd"/>
      <w:r w:rsidRPr="003D49EB">
        <w:rPr>
          <w:lang w:val="es-CR"/>
        </w:rPr>
        <w:t xml:space="preserve"> de su </w:t>
      </w:r>
      <w:proofErr w:type="spellStart"/>
      <w:r w:rsidRPr="003D49EB">
        <w:rPr>
          <w:lang w:val="es-CR"/>
        </w:rPr>
        <w:t>jurisdicción</w:t>
      </w:r>
      <w:proofErr w:type="spellEnd"/>
      <w:r w:rsidRPr="003D49EB">
        <w:rPr>
          <w:lang w:val="es-CR"/>
        </w:rPr>
        <w:t xml:space="preserve">”, </w:t>
      </w:r>
      <w:proofErr w:type="spellStart"/>
      <w:r w:rsidRPr="003D49EB">
        <w:rPr>
          <w:lang w:val="es-CR"/>
        </w:rPr>
        <w:t>asi</w:t>
      </w:r>
      <w:proofErr w:type="spellEnd"/>
      <w:r w:rsidRPr="003D49EB">
        <w:rPr>
          <w:lang w:val="es-CR"/>
        </w:rPr>
        <w:t>́ como a “prevenir y sancionar [...] otros tratos o penas crueles, inhumanos o degradantes”.</w:t>
      </w:r>
    </w:p>
    <w:p w14:paraId="456D6CC4" w14:textId="77777777" w:rsidR="00DC1503" w:rsidRPr="003D49EB" w:rsidRDefault="00DC1503" w:rsidP="009A4683">
      <w:pPr>
        <w:pStyle w:val="Prrafodelista2"/>
        <w:tabs>
          <w:tab w:val="num" w:pos="1427"/>
        </w:tabs>
        <w:spacing w:after="100" w:afterAutospacing="1"/>
        <w:ind w:left="0"/>
        <w:contextualSpacing/>
        <w:rPr>
          <w:lang w:val="es-CR"/>
        </w:rPr>
      </w:pPr>
    </w:p>
    <w:p w14:paraId="358C0C86" w14:textId="7E6D629F" w:rsidR="00DC1503" w:rsidRPr="003D49EB" w:rsidRDefault="00DC1503" w:rsidP="009A4683">
      <w:pPr>
        <w:pStyle w:val="Prrafodelista2"/>
        <w:tabs>
          <w:tab w:val="num" w:pos="1427"/>
        </w:tabs>
        <w:spacing w:after="100" w:afterAutospacing="1"/>
        <w:ind w:left="0"/>
        <w:contextualSpacing/>
        <w:rPr>
          <w:lang w:val="es-CR"/>
        </w:rPr>
      </w:pPr>
      <w:r w:rsidRPr="003D49EB">
        <w:rPr>
          <w:lang w:val="es-CR"/>
        </w:rPr>
        <w:t xml:space="preserve">179. La Corte ha desarrollado </w:t>
      </w:r>
      <w:proofErr w:type="spellStart"/>
      <w:r w:rsidRPr="003D49EB">
        <w:rPr>
          <w:lang w:val="es-CR"/>
        </w:rPr>
        <w:t>estándares</w:t>
      </w:r>
      <w:proofErr w:type="spellEnd"/>
      <w:r w:rsidRPr="003D49EB">
        <w:rPr>
          <w:lang w:val="es-CR"/>
        </w:rPr>
        <w:t xml:space="preserve"> </w:t>
      </w:r>
      <w:proofErr w:type="spellStart"/>
      <w:r w:rsidRPr="003D49EB">
        <w:rPr>
          <w:lang w:val="es-CR"/>
        </w:rPr>
        <w:t>específicos</w:t>
      </w:r>
      <w:proofErr w:type="spellEnd"/>
      <w:r w:rsidRPr="003D49EB">
        <w:rPr>
          <w:lang w:val="es-CR"/>
        </w:rPr>
        <w:t xml:space="preserve"> sobre </w:t>
      </w:r>
      <w:proofErr w:type="spellStart"/>
      <w:r w:rsidRPr="003D49EB">
        <w:rPr>
          <w:lang w:val="es-CR"/>
        </w:rPr>
        <w:t>cómo</w:t>
      </w:r>
      <w:proofErr w:type="spellEnd"/>
      <w:r w:rsidRPr="003D49EB">
        <w:rPr>
          <w:lang w:val="es-CR"/>
        </w:rPr>
        <w:t xml:space="preserve"> se debe investigar la violencia sexual en casos donde las </w:t>
      </w:r>
      <w:proofErr w:type="spellStart"/>
      <w:r w:rsidRPr="003D49EB">
        <w:rPr>
          <w:lang w:val="es-CR"/>
        </w:rPr>
        <w:t>víctimas</w:t>
      </w:r>
      <w:proofErr w:type="spellEnd"/>
      <w:r w:rsidRPr="003D49EB">
        <w:rPr>
          <w:lang w:val="es-CR"/>
        </w:rPr>
        <w:t xml:space="preserve"> han sido mujeres. Estos </w:t>
      </w:r>
      <w:proofErr w:type="spellStart"/>
      <w:r w:rsidRPr="003D49EB">
        <w:rPr>
          <w:lang w:val="es-CR"/>
        </w:rPr>
        <w:t>estándares</w:t>
      </w:r>
      <w:proofErr w:type="spellEnd"/>
      <w:r w:rsidRPr="003D49EB">
        <w:rPr>
          <w:lang w:val="es-CR"/>
        </w:rPr>
        <w:t xml:space="preserve"> se basaron principalmente en lo establecido en el Protocolo de Estambul y la </w:t>
      </w:r>
      <w:proofErr w:type="spellStart"/>
      <w:r w:rsidRPr="003D49EB">
        <w:rPr>
          <w:lang w:val="es-CR"/>
        </w:rPr>
        <w:t>Guía</w:t>
      </w:r>
      <w:proofErr w:type="spellEnd"/>
      <w:r w:rsidRPr="003D49EB">
        <w:rPr>
          <w:lang w:val="es-CR"/>
        </w:rPr>
        <w:t xml:space="preserve"> de la </w:t>
      </w:r>
      <w:proofErr w:type="spellStart"/>
      <w:r w:rsidRPr="003D49EB">
        <w:rPr>
          <w:lang w:val="es-CR"/>
        </w:rPr>
        <w:t>Organización</w:t>
      </w:r>
      <w:proofErr w:type="spellEnd"/>
      <w:r w:rsidRPr="003D49EB">
        <w:rPr>
          <w:lang w:val="es-CR"/>
        </w:rPr>
        <w:t xml:space="preserve"> Mundial de la Salud para el cuidado </w:t>
      </w:r>
      <w:proofErr w:type="spellStart"/>
      <w:r w:rsidRPr="003D49EB">
        <w:rPr>
          <w:lang w:val="es-CR"/>
        </w:rPr>
        <w:t>médico</w:t>
      </w:r>
      <w:proofErr w:type="spellEnd"/>
      <w:r w:rsidRPr="003D49EB">
        <w:rPr>
          <w:lang w:val="es-CR"/>
        </w:rPr>
        <w:t xml:space="preserve">-legal de </w:t>
      </w:r>
      <w:proofErr w:type="spellStart"/>
      <w:r w:rsidRPr="003D49EB">
        <w:rPr>
          <w:lang w:val="es-CR"/>
        </w:rPr>
        <w:t>víctimas</w:t>
      </w:r>
      <w:proofErr w:type="spellEnd"/>
      <w:r w:rsidRPr="003D49EB">
        <w:rPr>
          <w:lang w:val="es-CR"/>
        </w:rPr>
        <w:t xml:space="preserve"> de violencia sexual222, los cuales se refieren a medidas que se deben tomar en caso de violencia sexual, independientemente de si las </w:t>
      </w:r>
      <w:proofErr w:type="spellStart"/>
      <w:r w:rsidRPr="003D49EB">
        <w:rPr>
          <w:lang w:val="es-CR"/>
        </w:rPr>
        <w:t>víctimas</w:t>
      </w:r>
      <w:proofErr w:type="spellEnd"/>
      <w:r w:rsidRPr="003D49EB">
        <w:rPr>
          <w:lang w:val="es-CR"/>
        </w:rPr>
        <w:t xml:space="preserve"> son hombres o mujeres. Por tanto, los mismos </w:t>
      </w:r>
      <w:proofErr w:type="spellStart"/>
      <w:r w:rsidRPr="003D49EB">
        <w:rPr>
          <w:lang w:val="es-CR"/>
        </w:rPr>
        <w:t>estándares</w:t>
      </w:r>
      <w:proofErr w:type="spellEnd"/>
      <w:r w:rsidRPr="003D49EB">
        <w:rPr>
          <w:lang w:val="es-CR"/>
        </w:rPr>
        <w:t xml:space="preserve"> son aplicables en el presente caso.</w:t>
      </w:r>
    </w:p>
    <w:p w14:paraId="4F36E401" w14:textId="77777777" w:rsidR="00DC1503" w:rsidRPr="003D49EB" w:rsidRDefault="00DC1503" w:rsidP="009A4683">
      <w:pPr>
        <w:pStyle w:val="Prrafodelista2"/>
        <w:tabs>
          <w:tab w:val="left" w:pos="720"/>
          <w:tab w:val="num" w:pos="1427"/>
        </w:tabs>
        <w:spacing w:after="100" w:afterAutospacing="1"/>
        <w:ind w:left="0"/>
        <w:contextualSpacing/>
        <w:rPr>
          <w:lang w:val="es-CR"/>
        </w:rPr>
      </w:pPr>
    </w:p>
    <w:p w14:paraId="62C10252" w14:textId="1F4FC013" w:rsidR="00DC1503" w:rsidRPr="003D49EB" w:rsidRDefault="00DC1503" w:rsidP="009A4683">
      <w:pPr>
        <w:pStyle w:val="Prrafodelista2"/>
        <w:tabs>
          <w:tab w:val="left" w:pos="720"/>
          <w:tab w:val="num" w:pos="1427"/>
        </w:tabs>
        <w:spacing w:after="100" w:afterAutospacing="1"/>
        <w:ind w:left="0"/>
        <w:contextualSpacing/>
        <w:rPr>
          <w:lang w:val="es-CR"/>
        </w:rPr>
      </w:pPr>
      <w:r w:rsidRPr="003D49EB">
        <w:rPr>
          <w:lang w:val="es-CR"/>
        </w:rPr>
        <w:t xml:space="preserve">180. Este Tribunal ha especificado que en una </w:t>
      </w:r>
      <w:proofErr w:type="spellStart"/>
      <w:r w:rsidRPr="003D49EB">
        <w:rPr>
          <w:lang w:val="es-CR"/>
        </w:rPr>
        <w:t>investigación</w:t>
      </w:r>
      <w:proofErr w:type="spellEnd"/>
      <w:r w:rsidRPr="003D49EB">
        <w:rPr>
          <w:lang w:val="es-CR"/>
        </w:rPr>
        <w:t xml:space="preserve"> penal por violencia sexual, es necesario que: i) la </w:t>
      </w:r>
      <w:proofErr w:type="spellStart"/>
      <w:r w:rsidRPr="003D49EB">
        <w:rPr>
          <w:lang w:val="es-CR"/>
        </w:rPr>
        <w:t>declaración</w:t>
      </w:r>
      <w:proofErr w:type="spellEnd"/>
      <w:r w:rsidRPr="003D49EB">
        <w:rPr>
          <w:lang w:val="es-CR"/>
        </w:rPr>
        <w:t xml:space="preserve"> de la </w:t>
      </w:r>
      <w:proofErr w:type="spellStart"/>
      <w:r w:rsidRPr="003D49EB">
        <w:rPr>
          <w:lang w:val="es-CR"/>
        </w:rPr>
        <w:t>víctima</w:t>
      </w:r>
      <w:proofErr w:type="spellEnd"/>
      <w:r w:rsidRPr="003D49EB">
        <w:rPr>
          <w:lang w:val="es-CR"/>
        </w:rPr>
        <w:t xml:space="preserve"> se realice en un ambiente </w:t>
      </w:r>
      <w:proofErr w:type="spellStart"/>
      <w:r w:rsidRPr="003D49EB">
        <w:rPr>
          <w:lang w:val="es-CR"/>
        </w:rPr>
        <w:t>cómodo</w:t>
      </w:r>
      <w:proofErr w:type="spellEnd"/>
      <w:r w:rsidRPr="003D49EB">
        <w:rPr>
          <w:lang w:val="es-CR"/>
        </w:rPr>
        <w:t xml:space="preserve"> y seguro, que le brinde privacidad y confianza; ii) la </w:t>
      </w:r>
      <w:proofErr w:type="spellStart"/>
      <w:r w:rsidRPr="003D49EB">
        <w:rPr>
          <w:lang w:val="es-CR"/>
        </w:rPr>
        <w:t>declaración</w:t>
      </w:r>
      <w:proofErr w:type="spellEnd"/>
      <w:r w:rsidRPr="003D49EB">
        <w:rPr>
          <w:lang w:val="es-CR"/>
        </w:rPr>
        <w:t xml:space="preserve"> de la </w:t>
      </w:r>
      <w:proofErr w:type="spellStart"/>
      <w:r w:rsidRPr="003D49EB">
        <w:rPr>
          <w:lang w:val="es-CR"/>
        </w:rPr>
        <w:t>víctima</w:t>
      </w:r>
      <w:proofErr w:type="spellEnd"/>
      <w:r w:rsidRPr="003D49EB">
        <w:rPr>
          <w:lang w:val="es-CR"/>
        </w:rPr>
        <w:t xml:space="preserve"> se registre de forma tal que se evite o limite la necesidad de su </w:t>
      </w:r>
      <w:proofErr w:type="spellStart"/>
      <w:r w:rsidRPr="003D49EB">
        <w:rPr>
          <w:lang w:val="es-CR"/>
        </w:rPr>
        <w:t>repetición</w:t>
      </w:r>
      <w:proofErr w:type="spellEnd"/>
      <w:r w:rsidRPr="003D49EB">
        <w:rPr>
          <w:lang w:val="es-CR"/>
        </w:rPr>
        <w:t xml:space="preserve">; iii) se brinde atención médica, sanitaria y </w:t>
      </w:r>
      <w:proofErr w:type="spellStart"/>
      <w:r w:rsidRPr="003D49EB">
        <w:rPr>
          <w:lang w:val="es-CR"/>
        </w:rPr>
        <w:t>psicológica</w:t>
      </w:r>
      <w:proofErr w:type="spellEnd"/>
      <w:r w:rsidRPr="003D49EB">
        <w:rPr>
          <w:lang w:val="es-CR"/>
        </w:rPr>
        <w:t xml:space="preserve"> a la </w:t>
      </w:r>
      <w:proofErr w:type="spellStart"/>
      <w:r w:rsidRPr="003D49EB">
        <w:rPr>
          <w:lang w:val="es-CR"/>
        </w:rPr>
        <w:t>víctima</w:t>
      </w:r>
      <w:proofErr w:type="spellEnd"/>
      <w:r w:rsidRPr="003D49EB">
        <w:rPr>
          <w:lang w:val="es-CR"/>
        </w:rPr>
        <w:t xml:space="preserve">, tanto de emergencia como de forma continuada si </w:t>
      </w:r>
      <w:proofErr w:type="spellStart"/>
      <w:r w:rsidRPr="003D49EB">
        <w:rPr>
          <w:lang w:val="es-CR"/>
        </w:rPr>
        <w:t>asi</w:t>
      </w:r>
      <w:proofErr w:type="spellEnd"/>
      <w:r w:rsidRPr="003D49EB">
        <w:rPr>
          <w:lang w:val="es-CR"/>
        </w:rPr>
        <w:t xml:space="preserve">́ se requiere, mediante un protocolo de atención cuyo objetivo sea reducir las consecuencias de la </w:t>
      </w:r>
      <w:proofErr w:type="spellStart"/>
      <w:r w:rsidRPr="003D49EB">
        <w:rPr>
          <w:lang w:val="es-CR"/>
        </w:rPr>
        <w:t>violación</w:t>
      </w:r>
      <w:proofErr w:type="spellEnd"/>
      <w:r w:rsidRPr="003D49EB">
        <w:rPr>
          <w:lang w:val="es-CR"/>
        </w:rPr>
        <w:t xml:space="preserve">; iv) se realice inmediatamente un examen </w:t>
      </w:r>
      <w:proofErr w:type="spellStart"/>
      <w:r w:rsidRPr="003D49EB">
        <w:rPr>
          <w:lang w:val="es-CR"/>
        </w:rPr>
        <w:t>médico</w:t>
      </w:r>
      <w:proofErr w:type="spellEnd"/>
      <w:r w:rsidRPr="003D49EB">
        <w:rPr>
          <w:lang w:val="es-CR"/>
        </w:rPr>
        <w:t xml:space="preserve"> y </w:t>
      </w:r>
      <w:proofErr w:type="spellStart"/>
      <w:r w:rsidRPr="003D49EB">
        <w:rPr>
          <w:lang w:val="es-CR"/>
        </w:rPr>
        <w:t>psicológico</w:t>
      </w:r>
      <w:proofErr w:type="spellEnd"/>
      <w:r w:rsidRPr="003D49EB">
        <w:rPr>
          <w:lang w:val="es-CR"/>
        </w:rPr>
        <w:t xml:space="preserve"> completo y detallado por personal </w:t>
      </w:r>
      <w:proofErr w:type="spellStart"/>
      <w:r w:rsidRPr="003D49EB">
        <w:rPr>
          <w:lang w:val="es-CR"/>
        </w:rPr>
        <w:t>idóneo</w:t>
      </w:r>
      <w:proofErr w:type="spellEnd"/>
      <w:r w:rsidRPr="003D49EB">
        <w:rPr>
          <w:lang w:val="es-CR"/>
        </w:rPr>
        <w:t xml:space="preserve"> y capacitado, en lo posible del </w:t>
      </w:r>
      <w:proofErr w:type="spellStart"/>
      <w:r w:rsidRPr="003D49EB">
        <w:rPr>
          <w:lang w:val="es-CR"/>
        </w:rPr>
        <w:t>género</w:t>
      </w:r>
      <w:proofErr w:type="spellEnd"/>
      <w:r w:rsidRPr="003D49EB">
        <w:rPr>
          <w:lang w:val="es-CR"/>
        </w:rPr>
        <w:t xml:space="preserve"> que la </w:t>
      </w:r>
      <w:proofErr w:type="spellStart"/>
      <w:r w:rsidRPr="003D49EB">
        <w:rPr>
          <w:lang w:val="es-CR"/>
        </w:rPr>
        <w:t>víctima</w:t>
      </w:r>
      <w:proofErr w:type="spellEnd"/>
      <w:r w:rsidRPr="003D49EB">
        <w:rPr>
          <w:lang w:val="es-CR"/>
        </w:rPr>
        <w:t xml:space="preserve"> indique, </w:t>
      </w:r>
      <w:proofErr w:type="spellStart"/>
      <w:r w:rsidRPr="003D49EB">
        <w:rPr>
          <w:lang w:val="es-CR"/>
        </w:rPr>
        <w:t>ofreciéndole</w:t>
      </w:r>
      <w:proofErr w:type="spellEnd"/>
      <w:r w:rsidRPr="003D49EB">
        <w:rPr>
          <w:lang w:val="es-CR"/>
        </w:rPr>
        <w:t xml:space="preserve"> que sea </w:t>
      </w:r>
      <w:proofErr w:type="spellStart"/>
      <w:r w:rsidRPr="003D49EB">
        <w:rPr>
          <w:lang w:val="es-CR"/>
        </w:rPr>
        <w:t>acompañada</w:t>
      </w:r>
      <w:proofErr w:type="spellEnd"/>
      <w:r w:rsidRPr="003D49EB">
        <w:rPr>
          <w:lang w:val="es-CR"/>
        </w:rPr>
        <w:t xml:space="preserve"> por alguien de su confianza si </w:t>
      </w:r>
      <w:proofErr w:type="spellStart"/>
      <w:r w:rsidRPr="003D49EB">
        <w:rPr>
          <w:lang w:val="es-CR"/>
        </w:rPr>
        <w:t>asi</w:t>
      </w:r>
      <w:proofErr w:type="spellEnd"/>
      <w:r w:rsidRPr="003D49EB">
        <w:rPr>
          <w:lang w:val="es-CR"/>
        </w:rPr>
        <w:t xml:space="preserve">́ lo desea; v) se documenten y coordinen los actos investigativos y se maneje diligentemente la prueba, tomando muestras suficientes, realizando estudios para determinar la posible </w:t>
      </w:r>
      <w:proofErr w:type="spellStart"/>
      <w:r w:rsidRPr="003D49EB">
        <w:rPr>
          <w:lang w:val="es-CR"/>
        </w:rPr>
        <w:t>autoría</w:t>
      </w:r>
      <w:proofErr w:type="spellEnd"/>
      <w:r w:rsidRPr="003D49EB">
        <w:rPr>
          <w:lang w:val="es-CR"/>
        </w:rPr>
        <w:t xml:space="preserve"> del hecho, asegurando otras pruebas como la ropa de la </w:t>
      </w:r>
      <w:proofErr w:type="spellStart"/>
      <w:r w:rsidRPr="003D49EB">
        <w:rPr>
          <w:lang w:val="es-CR"/>
        </w:rPr>
        <w:t>víctima</w:t>
      </w:r>
      <w:proofErr w:type="spellEnd"/>
      <w:r w:rsidRPr="003D49EB">
        <w:rPr>
          <w:lang w:val="es-CR"/>
        </w:rPr>
        <w:t xml:space="preserve">, investigando de forma inmediata el lugar de los hechos y garantizando la correcta cadena de custodia, y vi) se brinde acceso a asistencia </w:t>
      </w:r>
      <w:proofErr w:type="spellStart"/>
      <w:r w:rsidRPr="003D49EB">
        <w:rPr>
          <w:lang w:val="es-CR"/>
        </w:rPr>
        <w:t>jurídica</w:t>
      </w:r>
      <w:proofErr w:type="spellEnd"/>
      <w:r w:rsidRPr="003D49EB">
        <w:rPr>
          <w:lang w:val="es-CR"/>
        </w:rPr>
        <w:t xml:space="preserve"> gratuita a la </w:t>
      </w:r>
      <w:proofErr w:type="spellStart"/>
      <w:r w:rsidRPr="003D49EB">
        <w:rPr>
          <w:lang w:val="es-CR"/>
        </w:rPr>
        <w:t>víctima</w:t>
      </w:r>
      <w:proofErr w:type="spellEnd"/>
      <w:r w:rsidRPr="003D49EB">
        <w:rPr>
          <w:lang w:val="es-CR"/>
        </w:rPr>
        <w:t xml:space="preserve"> durante todas las etapas del proceso. </w:t>
      </w:r>
    </w:p>
    <w:p w14:paraId="39992051" w14:textId="518850A6" w:rsidR="00DC1503" w:rsidRPr="003D49EB" w:rsidRDefault="00DC1503" w:rsidP="009A4683">
      <w:pPr>
        <w:pStyle w:val="Prrafodelista2"/>
        <w:tabs>
          <w:tab w:val="left" w:pos="720"/>
          <w:tab w:val="num" w:pos="1427"/>
        </w:tabs>
        <w:spacing w:after="100" w:afterAutospacing="1"/>
        <w:ind w:left="0"/>
        <w:contextualSpacing/>
        <w:rPr>
          <w:lang w:val="es-CR"/>
        </w:rPr>
      </w:pPr>
    </w:p>
    <w:p w14:paraId="758ACF89" w14:textId="16EF8FB8" w:rsidR="00DC1503" w:rsidRPr="003D49EB" w:rsidRDefault="00DC1503" w:rsidP="009A4683">
      <w:pPr>
        <w:pStyle w:val="Prrafodelista2"/>
        <w:tabs>
          <w:tab w:val="left" w:pos="720"/>
          <w:tab w:val="num" w:pos="1427"/>
        </w:tabs>
        <w:spacing w:after="100" w:afterAutospacing="1"/>
        <w:ind w:left="0"/>
        <w:contextualSpacing/>
        <w:rPr>
          <w:lang w:val="es-CR"/>
        </w:rPr>
      </w:pPr>
      <w:r w:rsidRPr="003D49EB">
        <w:rPr>
          <w:lang w:val="es-CR"/>
        </w:rPr>
        <w:t>[...]</w:t>
      </w:r>
    </w:p>
    <w:p w14:paraId="7F6955B7" w14:textId="77777777" w:rsidR="00DC1503" w:rsidRPr="003D49EB" w:rsidRDefault="00DC1503" w:rsidP="009A4683">
      <w:pPr>
        <w:pStyle w:val="Prrafodelista2"/>
        <w:tabs>
          <w:tab w:val="left" w:pos="720"/>
          <w:tab w:val="num" w:pos="1427"/>
        </w:tabs>
        <w:spacing w:after="100" w:afterAutospacing="1"/>
        <w:ind w:left="0"/>
        <w:contextualSpacing/>
        <w:rPr>
          <w:lang w:val="es-CR"/>
        </w:rPr>
      </w:pPr>
    </w:p>
    <w:p w14:paraId="238EC178" w14:textId="77777777" w:rsidR="00DC1503" w:rsidRPr="003D49EB" w:rsidRDefault="00DC1503" w:rsidP="009A4683">
      <w:pPr>
        <w:pStyle w:val="Prrafodelista2"/>
        <w:tabs>
          <w:tab w:val="left" w:pos="720"/>
          <w:tab w:val="num" w:pos="1427"/>
        </w:tabs>
        <w:spacing w:after="100" w:afterAutospacing="1"/>
        <w:ind w:left="0"/>
        <w:contextualSpacing/>
        <w:rPr>
          <w:lang w:val="es-CR"/>
        </w:rPr>
      </w:pPr>
      <w:r w:rsidRPr="003D49EB">
        <w:rPr>
          <w:lang w:val="es-CR"/>
        </w:rPr>
        <w:t xml:space="preserve">205. Con todas las consideraciones anteriores, este Tribunal concluye que el Estado no </w:t>
      </w:r>
      <w:proofErr w:type="spellStart"/>
      <w:r w:rsidRPr="003D49EB">
        <w:rPr>
          <w:lang w:val="es-CR"/>
        </w:rPr>
        <w:t>actuo</w:t>
      </w:r>
      <w:proofErr w:type="spellEnd"/>
      <w:r w:rsidRPr="003D49EB">
        <w:rPr>
          <w:lang w:val="es-CR"/>
        </w:rPr>
        <w:t xml:space="preserve">́ con la debida diligencia para investigar la tortura sexual de la presunta </w:t>
      </w:r>
      <w:proofErr w:type="spellStart"/>
      <w:r w:rsidRPr="003D49EB">
        <w:rPr>
          <w:lang w:val="es-CR"/>
        </w:rPr>
        <w:t>víctima</w:t>
      </w:r>
      <w:proofErr w:type="spellEnd"/>
      <w:r w:rsidRPr="003D49EB">
        <w:rPr>
          <w:lang w:val="es-CR"/>
        </w:rPr>
        <w:t xml:space="preserve">. Las circunstancias que rodearon las distintas declaraciones prestadas por la </w:t>
      </w:r>
      <w:proofErr w:type="spellStart"/>
      <w:r w:rsidRPr="003D49EB">
        <w:rPr>
          <w:lang w:val="es-CR"/>
        </w:rPr>
        <w:t>señora</w:t>
      </w:r>
      <w:proofErr w:type="spellEnd"/>
      <w:r w:rsidRPr="003D49EB">
        <w:rPr>
          <w:lang w:val="es-CR"/>
        </w:rPr>
        <w:t xml:space="preserve"> Rojas </w:t>
      </w:r>
      <w:proofErr w:type="spellStart"/>
      <w:r w:rsidRPr="003D49EB">
        <w:rPr>
          <w:lang w:val="es-CR"/>
        </w:rPr>
        <w:t>Marín</w:t>
      </w:r>
      <w:proofErr w:type="spellEnd"/>
      <w:r w:rsidRPr="003D49EB">
        <w:rPr>
          <w:lang w:val="es-CR"/>
        </w:rPr>
        <w:t xml:space="preserve">, especialmente la diligencia de </w:t>
      </w:r>
      <w:proofErr w:type="spellStart"/>
      <w:r w:rsidRPr="003D49EB">
        <w:rPr>
          <w:lang w:val="es-CR"/>
        </w:rPr>
        <w:t>inspección</w:t>
      </w:r>
      <w:proofErr w:type="spellEnd"/>
      <w:r w:rsidRPr="003D49EB">
        <w:rPr>
          <w:lang w:val="es-CR"/>
        </w:rPr>
        <w:t xml:space="preserve"> y </w:t>
      </w:r>
      <w:proofErr w:type="spellStart"/>
      <w:r w:rsidRPr="003D49EB">
        <w:rPr>
          <w:lang w:val="es-CR"/>
        </w:rPr>
        <w:t>reconstrucción</w:t>
      </w:r>
      <w:proofErr w:type="spellEnd"/>
      <w:r w:rsidRPr="003D49EB">
        <w:rPr>
          <w:lang w:val="es-CR"/>
        </w:rPr>
        <w:t xml:space="preserve"> </w:t>
      </w:r>
      <w:r w:rsidRPr="003D49EB">
        <w:rPr>
          <w:lang w:val="es-CR"/>
        </w:rPr>
        <w:lastRenderedPageBreak/>
        <w:t xml:space="preserve">judicial, constituyeron actos de </w:t>
      </w:r>
      <w:proofErr w:type="spellStart"/>
      <w:r w:rsidRPr="003D49EB">
        <w:rPr>
          <w:lang w:val="es-CR"/>
        </w:rPr>
        <w:t>revictimización</w:t>
      </w:r>
      <w:proofErr w:type="spellEnd"/>
      <w:r w:rsidRPr="003D49EB">
        <w:rPr>
          <w:lang w:val="es-CR"/>
        </w:rPr>
        <w:t xml:space="preserve">. </w:t>
      </w:r>
      <w:proofErr w:type="spellStart"/>
      <w:r w:rsidRPr="003D49EB">
        <w:rPr>
          <w:lang w:val="es-CR"/>
        </w:rPr>
        <w:t>Además</w:t>
      </w:r>
      <w:proofErr w:type="spellEnd"/>
      <w:r w:rsidRPr="003D49EB">
        <w:rPr>
          <w:lang w:val="es-CR"/>
        </w:rPr>
        <w:t xml:space="preserve">, el examen </w:t>
      </w:r>
      <w:proofErr w:type="spellStart"/>
      <w:r w:rsidRPr="003D49EB">
        <w:rPr>
          <w:lang w:val="es-CR"/>
        </w:rPr>
        <w:t>médico</w:t>
      </w:r>
      <w:proofErr w:type="spellEnd"/>
      <w:r w:rsidRPr="003D49EB">
        <w:rPr>
          <w:lang w:val="es-CR"/>
        </w:rPr>
        <w:t xml:space="preserve"> fue realizado </w:t>
      </w:r>
      <w:proofErr w:type="spellStart"/>
      <w:r w:rsidRPr="003D49EB">
        <w:rPr>
          <w:lang w:val="es-CR"/>
        </w:rPr>
        <w:t>después</w:t>
      </w:r>
      <w:proofErr w:type="spellEnd"/>
      <w:r w:rsidRPr="003D49EB">
        <w:rPr>
          <w:lang w:val="es-CR"/>
        </w:rPr>
        <w:t xml:space="preserve"> de las 72 horas y no presentaba una </w:t>
      </w:r>
      <w:proofErr w:type="spellStart"/>
      <w:r w:rsidRPr="003D49EB">
        <w:rPr>
          <w:lang w:val="es-CR"/>
        </w:rPr>
        <w:t>interpretación</w:t>
      </w:r>
      <w:proofErr w:type="spellEnd"/>
      <w:r w:rsidRPr="003D49EB">
        <w:rPr>
          <w:lang w:val="es-CR"/>
        </w:rPr>
        <w:t xml:space="preserve"> de </w:t>
      </w:r>
      <w:proofErr w:type="spellStart"/>
      <w:r w:rsidRPr="003D49EB">
        <w:rPr>
          <w:lang w:val="es-CR"/>
        </w:rPr>
        <w:t>relación</w:t>
      </w:r>
      <w:proofErr w:type="spellEnd"/>
      <w:r w:rsidRPr="003D49EB">
        <w:rPr>
          <w:lang w:val="es-CR"/>
        </w:rPr>
        <w:t xml:space="preserve"> probable de los </w:t>
      </w:r>
      <w:proofErr w:type="spellStart"/>
      <w:r w:rsidRPr="003D49EB">
        <w:rPr>
          <w:lang w:val="es-CR"/>
        </w:rPr>
        <w:t>síntomas</w:t>
      </w:r>
      <w:proofErr w:type="spellEnd"/>
      <w:r w:rsidRPr="003D49EB">
        <w:rPr>
          <w:lang w:val="es-CR"/>
        </w:rPr>
        <w:t xml:space="preserve"> </w:t>
      </w:r>
      <w:proofErr w:type="spellStart"/>
      <w:r w:rsidRPr="003D49EB">
        <w:rPr>
          <w:lang w:val="es-CR"/>
        </w:rPr>
        <w:t>físicos</w:t>
      </w:r>
      <w:proofErr w:type="spellEnd"/>
      <w:r w:rsidRPr="003D49EB">
        <w:rPr>
          <w:lang w:val="es-CR"/>
        </w:rPr>
        <w:t xml:space="preserve"> y agresiones relatadas por la presunta </w:t>
      </w:r>
      <w:proofErr w:type="spellStart"/>
      <w:r w:rsidRPr="003D49EB">
        <w:rPr>
          <w:lang w:val="es-CR"/>
        </w:rPr>
        <w:t>víctima</w:t>
      </w:r>
      <w:proofErr w:type="spellEnd"/>
      <w:r w:rsidRPr="003D49EB">
        <w:rPr>
          <w:lang w:val="es-CR"/>
        </w:rPr>
        <w:t xml:space="preserve">. Aunado a lo anterior, se </w:t>
      </w:r>
      <w:proofErr w:type="spellStart"/>
      <w:r w:rsidRPr="003D49EB">
        <w:rPr>
          <w:lang w:val="es-CR"/>
        </w:rPr>
        <w:t>omitio</w:t>
      </w:r>
      <w:proofErr w:type="spellEnd"/>
      <w:r w:rsidRPr="003D49EB">
        <w:rPr>
          <w:lang w:val="es-CR"/>
        </w:rPr>
        <w:t xml:space="preserve">́ la </w:t>
      </w:r>
      <w:proofErr w:type="spellStart"/>
      <w:r w:rsidRPr="003D49EB">
        <w:rPr>
          <w:lang w:val="es-CR"/>
        </w:rPr>
        <w:t>realización</w:t>
      </w:r>
      <w:proofErr w:type="spellEnd"/>
      <w:r w:rsidRPr="003D49EB">
        <w:rPr>
          <w:lang w:val="es-CR"/>
        </w:rPr>
        <w:t xml:space="preserve"> de prueba y no se aseguró de forma inmediata la vestimenta de la presunta </w:t>
      </w:r>
      <w:proofErr w:type="spellStart"/>
      <w:r w:rsidRPr="003D49EB">
        <w:rPr>
          <w:lang w:val="es-CR"/>
        </w:rPr>
        <w:t>víctima</w:t>
      </w:r>
      <w:proofErr w:type="spellEnd"/>
      <w:r w:rsidRPr="003D49EB">
        <w:rPr>
          <w:lang w:val="es-CR"/>
        </w:rPr>
        <w:t xml:space="preserve"> y la vara policial posiblemente utilizadas para someterlas a pericias. Asimismo, la </w:t>
      </w:r>
      <w:proofErr w:type="spellStart"/>
      <w:r w:rsidRPr="003D49EB">
        <w:rPr>
          <w:lang w:val="es-CR"/>
        </w:rPr>
        <w:t>investigación</w:t>
      </w:r>
      <w:proofErr w:type="spellEnd"/>
      <w:r w:rsidRPr="003D49EB">
        <w:rPr>
          <w:lang w:val="es-CR"/>
        </w:rPr>
        <w:t xml:space="preserve"> no examinó la discriminación por razones de </w:t>
      </w:r>
      <w:proofErr w:type="spellStart"/>
      <w:r w:rsidRPr="003D49EB">
        <w:rPr>
          <w:lang w:val="es-CR"/>
        </w:rPr>
        <w:t>orientación</w:t>
      </w:r>
      <w:proofErr w:type="spellEnd"/>
      <w:r w:rsidRPr="003D49EB">
        <w:rPr>
          <w:lang w:val="es-CR"/>
        </w:rPr>
        <w:t xml:space="preserve"> sexual o de </w:t>
      </w:r>
      <w:proofErr w:type="spellStart"/>
      <w:r w:rsidRPr="003D49EB">
        <w:rPr>
          <w:lang w:val="es-CR"/>
        </w:rPr>
        <w:t>expresión</w:t>
      </w:r>
      <w:proofErr w:type="spellEnd"/>
      <w:r w:rsidRPr="003D49EB">
        <w:rPr>
          <w:lang w:val="es-CR"/>
        </w:rPr>
        <w:t xml:space="preserve"> de </w:t>
      </w:r>
      <w:proofErr w:type="spellStart"/>
      <w:r w:rsidRPr="003D49EB">
        <w:rPr>
          <w:lang w:val="es-CR"/>
        </w:rPr>
        <w:t>género</w:t>
      </w:r>
      <w:proofErr w:type="spellEnd"/>
      <w:r w:rsidRPr="003D49EB">
        <w:rPr>
          <w:lang w:val="es-CR"/>
        </w:rPr>
        <w:t xml:space="preserve"> como un posible motivo de la tortura. Adicionalmente, durante la </w:t>
      </w:r>
      <w:proofErr w:type="spellStart"/>
      <w:r w:rsidRPr="003D49EB">
        <w:rPr>
          <w:lang w:val="es-CR"/>
        </w:rPr>
        <w:t>investigación</w:t>
      </w:r>
      <w:proofErr w:type="spellEnd"/>
      <w:r w:rsidRPr="003D49EB">
        <w:rPr>
          <w:lang w:val="es-CR"/>
        </w:rPr>
        <w:t xml:space="preserve"> diversos agentes estales utilizaron estereotipos discriminatorios que impidieron que se examinaran los hechos de forma objetiva.</w:t>
      </w:r>
    </w:p>
    <w:p w14:paraId="56988878" w14:textId="77777777" w:rsidR="00DC1503" w:rsidRPr="003D49EB" w:rsidRDefault="00DC1503" w:rsidP="009A4683">
      <w:pPr>
        <w:pStyle w:val="Prrafodelista2"/>
        <w:tabs>
          <w:tab w:val="left" w:pos="720"/>
          <w:tab w:val="num" w:pos="1427"/>
        </w:tabs>
        <w:spacing w:after="100" w:afterAutospacing="1"/>
        <w:ind w:left="0"/>
        <w:contextualSpacing/>
        <w:rPr>
          <w:lang w:val="es-CR"/>
        </w:rPr>
      </w:pPr>
    </w:p>
    <w:p w14:paraId="4011B893" w14:textId="586D5F56" w:rsidR="00DC1503" w:rsidRPr="003D49EB" w:rsidRDefault="00DC1503" w:rsidP="009A4683">
      <w:pPr>
        <w:pStyle w:val="Prrafodelista2"/>
        <w:tabs>
          <w:tab w:val="left" w:pos="720"/>
          <w:tab w:val="num" w:pos="1427"/>
        </w:tabs>
        <w:spacing w:after="100" w:afterAutospacing="1"/>
        <w:ind w:left="0"/>
        <w:contextualSpacing/>
        <w:rPr>
          <w:lang w:val="es-CR"/>
        </w:rPr>
      </w:pPr>
      <w:r w:rsidRPr="003D49EB">
        <w:rPr>
          <w:lang w:val="es-CR"/>
        </w:rPr>
        <w:t xml:space="preserve">206. Este Tribunal ya </w:t>
      </w:r>
      <w:proofErr w:type="spellStart"/>
      <w:r w:rsidRPr="003D49EB">
        <w:rPr>
          <w:lang w:val="es-CR"/>
        </w:rPr>
        <w:t>establecio</w:t>
      </w:r>
      <w:proofErr w:type="spellEnd"/>
      <w:r w:rsidRPr="003D49EB">
        <w:rPr>
          <w:lang w:val="es-CR"/>
        </w:rPr>
        <w:t xml:space="preserve">́ que los maltratos a los que fue sujeta la presunta </w:t>
      </w:r>
      <w:proofErr w:type="spellStart"/>
      <w:r w:rsidRPr="003D49EB">
        <w:rPr>
          <w:lang w:val="es-CR"/>
        </w:rPr>
        <w:t>víctima</w:t>
      </w:r>
      <w:proofErr w:type="spellEnd"/>
      <w:r w:rsidRPr="003D49EB">
        <w:rPr>
          <w:lang w:val="es-CR"/>
        </w:rPr>
        <w:t xml:space="preserve"> constituyeron tortura </w:t>
      </w:r>
      <w:r w:rsidR="00632C28">
        <w:rPr>
          <w:lang w:val="es-CR"/>
        </w:rPr>
        <w:t>[...]</w:t>
      </w:r>
      <w:r w:rsidRPr="003D49EB">
        <w:rPr>
          <w:lang w:val="es-CR"/>
        </w:rPr>
        <w:t xml:space="preserve">. La </w:t>
      </w:r>
      <w:proofErr w:type="spellStart"/>
      <w:r w:rsidRPr="003D49EB">
        <w:rPr>
          <w:lang w:val="es-CR"/>
        </w:rPr>
        <w:t>investigación</w:t>
      </w:r>
      <w:proofErr w:type="spellEnd"/>
      <w:r w:rsidRPr="003D49EB">
        <w:rPr>
          <w:lang w:val="es-CR"/>
        </w:rPr>
        <w:t xml:space="preserve"> penal se realizó por los delitos de </w:t>
      </w:r>
      <w:proofErr w:type="spellStart"/>
      <w:r w:rsidRPr="003D49EB">
        <w:rPr>
          <w:lang w:val="es-CR"/>
        </w:rPr>
        <w:t>violación</w:t>
      </w:r>
      <w:proofErr w:type="spellEnd"/>
      <w:r w:rsidRPr="003D49EB">
        <w:rPr>
          <w:lang w:val="es-CR"/>
        </w:rPr>
        <w:t xml:space="preserve"> sexual agravada y abuso de autoridad. La presunta </w:t>
      </w:r>
      <w:proofErr w:type="spellStart"/>
      <w:r w:rsidRPr="003D49EB">
        <w:rPr>
          <w:lang w:val="es-CR"/>
        </w:rPr>
        <w:t>víctima</w:t>
      </w:r>
      <w:proofErr w:type="spellEnd"/>
      <w:r w:rsidRPr="003D49EB">
        <w:rPr>
          <w:lang w:val="es-CR"/>
        </w:rPr>
        <w:t xml:space="preserve"> solicitó la </w:t>
      </w:r>
      <w:proofErr w:type="spellStart"/>
      <w:r w:rsidRPr="003D49EB">
        <w:rPr>
          <w:lang w:val="es-CR"/>
        </w:rPr>
        <w:t>ampliación</w:t>
      </w:r>
      <w:proofErr w:type="spellEnd"/>
      <w:r w:rsidRPr="003D49EB">
        <w:rPr>
          <w:lang w:val="es-CR"/>
        </w:rPr>
        <w:t xml:space="preserve"> de esta </w:t>
      </w:r>
      <w:proofErr w:type="spellStart"/>
      <w:r w:rsidRPr="003D49EB">
        <w:rPr>
          <w:lang w:val="es-CR"/>
        </w:rPr>
        <w:t>investigación</w:t>
      </w:r>
      <w:proofErr w:type="spellEnd"/>
      <w:r w:rsidRPr="003D49EB">
        <w:rPr>
          <w:lang w:val="es-CR"/>
        </w:rPr>
        <w:t xml:space="preserve"> para que se incluyera el delito de tortura. La </w:t>
      </w:r>
      <w:proofErr w:type="spellStart"/>
      <w:r w:rsidRPr="003D49EB">
        <w:rPr>
          <w:lang w:val="es-CR"/>
        </w:rPr>
        <w:t>fiscalía</w:t>
      </w:r>
      <w:proofErr w:type="spellEnd"/>
      <w:r w:rsidRPr="003D49EB">
        <w:rPr>
          <w:lang w:val="es-CR"/>
        </w:rPr>
        <w:t xml:space="preserve"> </w:t>
      </w:r>
      <w:proofErr w:type="spellStart"/>
      <w:r w:rsidRPr="003D49EB">
        <w:rPr>
          <w:lang w:val="es-CR"/>
        </w:rPr>
        <w:t>decidio</w:t>
      </w:r>
      <w:proofErr w:type="spellEnd"/>
      <w:r w:rsidRPr="003D49EB">
        <w:rPr>
          <w:lang w:val="es-CR"/>
        </w:rPr>
        <w:t xml:space="preserve">́ no ampliar la </w:t>
      </w:r>
      <w:proofErr w:type="spellStart"/>
      <w:r w:rsidRPr="003D49EB">
        <w:rPr>
          <w:lang w:val="es-CR"/>
        </w:rPr>
        <w:t>investigación</w:t>
      </w:r>
      <w:proofErr w:type="spellEnd"/>
      <w:r w:rsidRPr="003D49EB">
        <w:rPr>
          <w:lang w:val="es-CR"/>
        </w:rPr>
        <w:t xml:space="preserve"> indicando que el </w:t>
      </w:r>
      <w:proofErr w:type="spellStart"/>
      <w:r w:rsidRPr="003D49EB">
        <w:rPr>
          <w:lang w:val="es-CR"/>
        </w:rPr>
        <w:t>ilícito</w:t>
      </w:r>
      <w:proofErr w:type="spellEnd"/>
      <w:r w:rsidRPr="003D49EB">
        <w:rPr>
          <w:lang w:val="es-CR"/>
        </w:rPr>
        <w:t xml:space="preserve"> penal del delito de tortura “requiere el </w:t>
      </w:r>
      <w:proofErr w:type="spellStart"/>
      <w:r w:rsidRPr="003D49EB">
        <w:rPr>
          <w:lang w:val="es-CR"/>
        </w:rPr>
        <w:t>ánimo</w:t>
      </w:r>
      <w:proofErr w:type="spellEnd"/>
      <w:r w:rsidRPr="003D49EB">
        <w:rPr>
          <w:lang w:val="es-CR"/>
        </w:rPr>
        <w:t xml:space="preserve"> de producir con la conducta </w:t>
      </w:r>
      <w:proofErr w:type="spellStart"/>
      <w:r w:rsidRPr="003D49EB">
        <w:rPr>
          <w:lang w:val="es-CR"/>
        </w:rPr>
        <w:t>típica</w:t>
      </w:r>
      <w:proofErr w:type="spellEnd"/>
      <w:r w:rsidRPr="003D49EB">
        <w:rPr>
          <w:lang w:val="es-CR"/>
        </w:rPr>
        <w:t xml:space="preserve"> un ulterior resultado”. En este sentido, </w:t>
      </w:r>
      <w:proofErr w:type="spellStart"/>
      <w:r w:rsidRPr="003D49EB">
        <w:rPr>
          <w:lang w:val="es-CR"/>
        </w:rPr>
        <w:t>advirtio</w:t>
      </w:r>
      <w:proofErr w:type="spellEnd"/>
      <w:r w:rsidRPr="003D49EB">
        <w:rPr>
          <w:lang w:val="es-CR"/>
        </w:rPr>
        <w:t xml:space="preserve">́ que la presunta </w:t>
      </w:r>
      <w:proofErr w:type="spellStart"/>
      <w:r w:rsidRPr="003D49EB">
        <w:rPr>
          <w:lang w:val="es-CR"/>
        </w:rPr>
        <w:t>víctima</w:t>
      </w:r>
      <w:proofErr w:type="spellEnd"/>
      <w:r w:rsidRPr="003D49EB">
        <w:rPr>
          <w:lang w:val="es-CR"/>
        </w:rPr>
        <w:t>:</w:t>
      </w:r>
    </w:p>
    <w:p w14:paraId="1F104F59" w14:textId="60D3FB2C" w:rsidR="00DC1503" w:rsidRPr="003D49EB" w:rsidRDefault="00DC1503" w:rsidP="009A4683">
      <w:pPr>
        <w:pStyle w:val="NormalNumbered"/>
        <w:spacing w:line="240" w:lineRule="auto"/>
        <w:rPr>
          <w:lang w:val="es-CR"/>
        </w:rPr>
      </w:pPr>
      <w:r w:rsidRPr="003D49EB">
        <w:rPr>
          <w:lang w:val="es-CR"/>
        </w:rPr>
        <w:t xml:space="preserve">“[E]n </w:t>
      </w:r>
      <w:proofErr w:type="spellStart"/>
      <w:r w:rsidRPr="003D49EB">
        <w:rPr>
          <w:lang w:val="es-CR"/>
        </w:rPr>
        <w:t>ningún</w:t>
      </w:r>
      <w:proofErr w:type="spellEnd"/>
      <w:r w:rsidRPr="003D49EB">
        <w:rPr>
          <w:lang w:val="es-CR"/>
        </w:rPr>
        <w:t xml:space="preserve"> momento hizo referencia a que los efectivos policiales le obligaron a informar sobre el paradero de su hermano alias “tuco”, por lo tanto, al no cumplirse el con tercer elemento subjetivo adicional del tipo penal del delito de tortura (obtener de la </w:t>
      </w:r>
      <w:proofErr w:type="spellStart"/>
      <w:r w:rsidRPr="003D49EB">
        <w:rPr>
          <w:lang w:val="es-CR"/>
        </w:rPr>
        <w:t>víctima</w:t>
      </w:r>
      <w:proofErr w:type="spellEnd"/>
      <w:r w:rsidRPr="003D49EB">
        <w:rPr>
          <w:lang w:val="es-CR"/>
        </w:rPr>
        <w:t xml:space="preserve"> o un tercero una </w:t>
      </w:r>
      <w:proofErr w:type="spellStart"/>
      <w:r w:rsidRPr="003D49EB">
        <w:rPr>
          <w:lang w:val="es-CR"/>
        </w:rPr>
        <w:t>confesión</w:t>
      </w:r>
      <w:proofErr w:type="spellEnd"/>
      <w:r w:rsidRPr="003D49EB">
        <w:rPr>
          <w:lang w:val="es-CR"/>
        </w:rPr>
        <w:t xml:space="preserve"> o </w:t>
      </w:r>
      <w:proofErr w:type="spellStart"/>
      <w:r w:rsidRPr="003D49EB">
        <w:rPr>
          <w:lang w:val="es-CR"/>
        </w:rPr>
        <w:t>información</w:t>
      </w:r>
      <w:proofErr w:type="spellEnd"/>
      <w:r w:rsidRPr="003D49EB">
        <w:rPr>
          <w:lang w:val="es-CR"/>
        </w:rPr>
        <w:t xml:space="preserve">) no se llega a encuadrar la conducta de los denunciados dentro del </w:t>
      </w:r>
      <w:proofErr w:type="spellStart"/>
      <w:r w:rsidRPr="003D49EB">
        <w:rPr>
          <w:lang w:val="es-CR"/>
        </w:rPr>
        <w:t>ilícito</w:t>
      </w:r>
      <w:proofErr w:type="spellEnd"/>
      <w:r w:rsidRPr="003D49EB">
        <w:rPr>
          <w:lang w:val="es-CR"/>
        </w:rPr>
        <w:t xml:space="preserve"> penal antes mencionado.</w:t>
      </w:r>
    </w:p>
    <w:p w14:paraId="0E21082A" w14:textId="57348C5D" w:rsidR="00DC1503" w:rsidRPr="003D49EB" w:rsidRDefault="00DC1503" w:rsidP="009A4683">
      <w:pPr>
        <w:pStyle w:val="Prrafodelista2"/>
        <w:tabs>
          <w:tab w:val="num" w:pos="1427"/>
        </w:tabs>
        <w:spacing w:after="100" w:afterAutospacing="1"/>
        <w:ind w:left="0"/>
        <w:contextualSpacing/>
        <w:rPr>
          <w:lang w:val="es-CR"/>
        </w:rPr>
      </w:pPr>
      <w:r w:rsidRPr="003D49EB">
        <w:rPr>
          <w:lang w:val="es-CR"/>
        </w:rPr>
        <w:t xml:space="preserve">207. Esta </w:t>
      </w:r>
      <w:proofErr w:type="spellStart"/>
      <w:r w:rsidRPr="003D49EB">
        <w:rPr>
          <w:lang w:val="es-CR"/>
        </w:rPr>
        <w:t>decisión</w:t>
      </w:r>
      <w:proofErr w:type="spellEnd"/>
      <w:r w:rsidRPr="003D49EB">
        <w:rPr>
          <w:lang w:val="es-CR"/>
        </w:rPr>
        <w:t xml:space="preserve"> se basó en la </w:t>
      </w:r>
      <w:proofErr w:type="spellStart"/>
      <w:r w:rsidRPr="003D49EB">
        <w:rPr>
          <w:lang w:val="es-CR"/>
        </w:rPr>
        <w:t>tipificación</w:t>
      </w:r>
      <w:proofErr w:type="spellEnd"/>
      <w:r w:rsidRPr="003D49EB">
        <w:rPr>
          <w:lang w:val="es-CR"/>
        </w:rPr>
        <w:t xml:space="preserve"> entonces vigente, en la cual se </w:t>
      </w:r>
      <w:proofErr w:type="spellStart"/>
      <w:r w:rsidRPr="003D49EB">
        <w:rPr>
          <w:lang w:val="es-CR"/>
        </w:rPr>
        <w:t>restringía</w:t>
      </w:r>
      <w:proofErr w:type="spellEnd"/>
      <w:r w:rsidRPr="003D49EB">
        <w:rPr>
          <w:lang w:val="es-CR"/>
        </w:rPr>
        <w:t xml:space="preserve"> las finalidades posibles de la tortura. Esta Corte recuerda que de acuerdo a su jurisprudencia la tortura se puede cometer con cualquier fin o </w:t>
      </w:r>
      <w:proofErr w:type="spellStart"/>
      <w:r w:rsidRPr="003D49EB">
        <w:rPr>
          <w:lang w:val="es-CR"/>
        </w:rPr>
        <w:t>propósito</w:t>
      </w:r>
      <w:proofErr w:type="spellEnd"/>
      <w:r w:rsidRPr="003D49EB">
        <w:rPr>
          <w:lang w:val="es-CR"/>
        </w:rPr>
        <w:t xml:space="preserve"> </w:t>
      </w:r>
      <w:r w:rsidR="00632C28">
        <w:rPr>
          <w:lang w:val="es-CR"/>
        </w:rPr>
        <w:t>[...]</w:t>
      </w:r>
      <w:r w:rsidRPr="003D49EB">
        <w:rPr>
          <w:lang w:val="es-CR"/>
        </w:rPr>
        <w:t xml:space="preserve">, incluyendo el fin discriminatorio. En el mismo sentido, la </w:t>
      </w:r>
      <w:proofErr w:type="spellStart"/>
      <w:r w:rsidRPr="003D49EB">
        <w:rPr>
          <w:lang w:val="es-CR"/>
        </w:rPr>
        <w:t>definición</w:t>
      </w:r>
      <w:proofErr w:type="spellEnd"/>
      <w:r w:rsidRPr="003D49EB">
        <w:rPr>
          <w:lang w:val="es-CR"/>
        </w:rPr>
        <w:t xml:space="preserve"> de tortura establecida en el artículo 2 de la Convención Interamericana para Prevenir y Sancionar la Tortura establece varios fines o </w:t>
      </w:r>
      <w:proofErr w:type="spellStart"/>
      <w:r w:rsidRPr="003D49EB">
        <w:rPr>
          <w:lang w:val="es-CR"/>
        </w:rPr>
        <w:t>propósitos</w:t>
      </w:r>
      <w:proofErr w:type="spellEnd"/>
      <w:r w:rsidRPr="003D49EB">
        <w:rPr>
          <w:lang w:val="es-CR"/>
        </w:rPr>
        <w:t xml:space="preserve"> pero agrega “o con cualquier otro fin”. En este sentido, este Tribunal considera que en el presente caso la indebida </w:t>
      </w:r>
      <w:proofErr w:type="spellStart"/>
      <w:r w:rsidRPr="003D49EB">
        <w:rPr>
          <w:lang w:val="es-CR"/>
        </w:rPr>
        <w:t>tipificación</w:t>
      </w:r>
      <w:proofErr w:type="spellEnd"/>
      <w:r w:rsidRPr="003D49EB">
        <w:rPr>
          <w:lang w:val="es-CR"/>
        </w:rPr>
        <w:t xml:space="preserve"> de la tortura </w:t>
      </w:r>
      <w:proofErr w:type="spellStart"/>
      <w:r w:rsidRPr="003D49EB">
        <w:rPr>
          <w:lang w:val="es-CR"/>
        </w:rPr>
        <w:t>impidio</w:t>
      </w:r>
      <w:proofErr w:type="spellEnd"/>
      <w:r w:rsidRPr="003D49EB">
        <w:rPr>
          <w:lang w:val="es-CR"/>
        </w:rPr>
        <w:t xml:space="preserve">́ que se ampliara la </w:t>
      </w:r>
      <w:proofErr w:type="spellStart"/>
      <w:r w:rsidRPr="003D49EB">
        <w:rPr>
          <w:lang w:val="es-CR"/>
        </w:rPr>
        <w:t>investigación</w:t>
      </w:r>
      <w:proofErr w:type="spellEnd"/>
      <w:r w:rsidRPr="003D49EB">
        <w:rPr>
          <w:lang w:val="es-CR"/>
        </w:rPr>
        <w:t xml:space="preserve"> de los maltratos ocurridos a la </w:t>
      </w:r>
      <w:proofErr w:type="spellStart"/>
      <w:r w:rsidRPr="003D49EB">
        <w:rPr>
          <w:lang w:val="es-CR"/>
        </w:rPr>
        <w:t>señora</w:t>
      </w:r>
      <w:proofErr w:type="spellEnd"/>
      <w:r w:rsidRPr="003D49EB">
        <w:rPr>
          <w:lang w:val="es-CR"/>
        </w:rPr>
        <w:t xml:space="preserve"> Rojas </w:t>
      </w:r>
      <w:proofErr w:type="spellStart"/>
      <w:r w:rsidRPr="003D49EB">
        <w:rPr>
          <w:lang w:val="es-CR"/>
        </w:rPr>
        <w:t>Marín</w:t>
      </w:r>
      <w:proofErr w:type="spellEnd"/>
      <w:r w:rsidRPr="003D49EB">
        <w:rPr>
          <w:lang w:val="es-CR"/>
        </w:rPr>
        <w:t>.</w:t>
      </w:r>
    </w:p>
    <w:p w14:paraId="3861A3C4" w14:textId="77777777" w:rsidR="00DC1503" w:rsidRPr="003D49EB" w:rsidRDefault="00DC1503" w:rsidP="009A4683">
      <w:pPr>
        <w:pStyle w:val="Prrafodelista2"/>
        <w:tabs>
          <w:tab w:val="num" w:pos="1427"/>
        </w:tabs>
        <w:spacing w:after="100" w:afterAutospacing="1"/>
        <w:ind w:left="0"/>
        <w:contextualSpacing/>
        <w:rPr>
          <w:lang w:val="es-CR"/>
        </w:rPr>
      </w:pPr>
    </w:p>
    <w:p w14:paraId="799F9E9F" w14:textId="2442DF65" w:rsidR="00DC1503" w:rsidRPr="003D49EB" w:rsidRDefault="00DC1503" w:rsidP="009A4683">
      <w:pPr>
        <w:pStyle w:val="Prrafodelista2"/>
        <w:tabs>
          <w:tab w:val="left" w:pos="720"/>
          <w:tab w:val="num" w:pos="1427"/>
        </w:tabs>
        <w:spacing w:after="100" w:afterAutospacing="1"/>
        <w:ind w:left="0"/>
        <w:contextualSpacing/>
        <w:rPr>
          <w:lang w:val="es-CR"/>
        </w:rPr>
      </w:pPr>
      <w:r w:rsidRPr="003D49EB">
        <w:rPr>
          <w:lang w:val="es-CR"/>
        </w:rPr>
        <w:t xml:space="preserve">208. Por tanto, esta </w:t>
      </w:r>
      <w:proofErr w:type="spellStart"/>
      <w:r w:rsidRPr="003D49EB">
        <w:rPr>
          <w:lang w:val="es-CR"/>
        </w:rPr>
        <w:t>decisión</w:t>
      </w:r>
      <w:proofErr w:type="spellEnd"/>
      <w:r w:rsidRPr="003D49EB">
        <w:rPr>
          <w:lang w:val="es-CR"/>
        </w:rPr>
        <w:t xml:space="preserve"> violó los </w:t>
      </w:r>
      <w:proofErr w:type="spellStart"/>
      <w:r w:rsidRPr="003D49EB">
        <w:rPr>
          <w:lang w:val="es-CR"/>
        </w:rPr>
        <w:t>artículos</w:t>
      </w:r>
      <w:proofErr w:type="spellEnd"/>
      <w:r w:rsidRPr="003D49EB">
        <w:rPr>
          <w:lang w:val="es-CR"/>
        </w:rPr>
        <w:t xml:space="preserve"> 8.1 y 25.1 de la Convención Americana sobre Derechos Humanos, en </w:t>
      </w:r>
      <w:proofErr w:type="spellStart"/>
      <w:r w:rsidRPr="003D49EB">
        <w:rPr>
          <w:lang w:val="es-CR"/>
        </w:rPr>
        <w:t>relación</w:t>
      </w:r>
      <w:proofErr w:type="spellEnd"/>
      <w:r w:rsidRPr="003D49EB">
        <w:rPr>
          <w:lang w:val="es-CR"/>
        </w:rPr>
        <w:t xml:space="preserve"> con las obligaciones generales contenidas en los </w:t>
      </w:r>
      <w:proofErr w:type="spellStart"/>
      <w:r w:rsidRPr="003D49EB">
        <w:rPr>
          <w:lang w:val="es-CR"/>
        </w:rPr>
        <w:t>artículos</w:t>
      </w:r>
      <w:proofErr w:type="spellEnd"/>
      <w:r w:rsidRPr="003D49EB">
        <w:rPr>
          <w:lang w:val="es-CR"/>
        </w:rPr>
        <w:t xml:space="preserve"> 1.1 y 2 de la misma, y con los </w:t>
      </w:r>
      <w:proofErr w:type="spellStart"/>
      <w:r w:rsidRPr="003D49EB">
        <w:rPr>
          <w:lang w:val="es-CR"/>
        </w:rPr>
        <w:t>artículos</w:t>
      </w:r>
      <w:proofErr w:type="spellEnd"/>
      <w:r w:rsidRPr="003D49EB">
        <w:rPr>
          <w:lang w:val="es-CR"/>
        </w:rPr>
        <w:t xml:space="preserve"> 1, 6 y 8 de la Convención Interamericana para Prevenir y Sancionar la Tortura.</w:t>
      </w:r>
    </w:p>
    <w:p w14:paraId="4167701E" w14:textId="314152EB" w:rsidR="00993905" w:rsidRDefault="0012188D" w:rsidP="009A4683">
      <w:pPr>
        <w:pStyle w:val="Ttulo2"/>
        <w:rPr>
          <w:rFonts w:eastAsiaTheme="minorHAnsi"/>
          <w:shd w:val="clear" w:color="auto" w:fill="FFFFFF"/>
        </w:rPr>
      </w:pPr>
      <w:bookmarkStart w:id="63" w:name="_Toc530497995"/>
      <w:bookmarkStart w:id="64" w:name="_Toc88914995"/>
      <w:r w:rsidRPr="003D49EB">
        <w:rPr>
          <w:rFonts w:eastAsiaTheme="minorHAnsi"/>
          <w:shd w:val="clear" w:color="auto" w:fill="FFFFFF"/>
        </w:rPr>
        <w:t>Obligación de garantía en relación al derecho a la salud y la integridad personal</w:t>
      </w:r>
      <w:bookmarkEnd w:id="63"/>
      <w:bookmarkEnd w:id="64"/>
    </w:p>
    <w:p w14:paraId="3216D91D" w14:textId="77777777" w:rsidR="001D37B7" w:rsidRPr="001D37B7" w:rsidRDefault="001D37B7" w:rsidP="001D37B7">
      <w:pPr>
        <w:rPr>
          <w:lang w:val="es-CR"/>
        </w:rPr>
      </w:pPr>
    </w:p>
    <w:p w14:paraId="384508B1" w14:textId="565B4E4E" w:rsidR="00356E6C" w:rsidRPr="003D49EB" w:rsidRDefault="00AE6F5A" w:rsidP="009A4683">
      <w:pPr>
        <w:spacing w:after="100" w:afterAutospacing="1"/>
        <w:rPr>
          <w:b/>
          <w:bCs/>
          <w:szCs w:val="20"/>
          <w:shd w:val="clear" w:color="auto" w:fill="FFFFFF"/>
        </w:rPr>
      </w:pPr>
      <w:r w:rsidRPr="003D49EB">
        <w:rPr>
          <w:b/>
          <w:bCs/>
          <w:szCs w:val="20"/>
          <w:shd w:val="clear" w:color="auto" w:fill="FFFFFF"/>
        </w:rPr>
        <w:t xml:space="preserve">Corte IDH. Caso </w:t>
      </w:r>
      <w:proofErr w:type="spellStart"/>
      <w:r w:rsidRPr="003D49EB">
        <w:rPr>
          <w:b/>
          <w:bCs/>
          <w:szCs w:val="20"/>
          <w:shd w:val="clear" w:color="auto" w:fill="FFFFFF"/>
        </w:rPr>
        <w:t>Ximenes</w:t>
      </w:r>
      <w:proofErr w:type="spellEnd"/>
      <w:r w:rsidRPr="003D49EB">
        <w:rPr>
          <w:b/>
          <w:bCs/>
          <w:szCs w:val="20"/>
          <w:shd w:val="clear" w:color="auto" w:fill="FFFFFF"/>
        </w:rPr>
        <w:t xml:space="preserve"> </w:t>
      </w:r>
      <w:proofErr w:type="spellStart"/>
      <w:r w:rsidRPr="003D49EB">
        <w:rPr>
          <w:b/>
          <w:bCs/>
          <w:szCs w:val="20"/>
          <w:shd w:val="clear" w:color="auto" w:fill="FFFFFF"/>
        </w:rPr>
        <w:t>Lopes</w:t>
      </w:r>
      <w:proofErr w:type="spellEnd"/>
      <w:r w:rsidRPr="003D49EB">
        <w:rPr>
          <w:b/>
          <w:bCs/>
          <w:szCs w:val="20"/>
          <w:shd w:val="clear" w:color="auto" w:fill="FFFFFF"/>
        </w:rPr>
        <w:t xml:space="preserve"> Vs. Brasil. Sentencia de 4 de julio de 2006. Serie C No. 149.</w:t>
      </w:r>
    </w:p>
    <w:p w14:paraId="4B6B406C" w14:textId="77777777" w:rsidR="00356E6C" w:rsidRPr="003D49EB" w:rsidRDefault="00356E6C" w:rsidP="009A4683">
      <w:pPr>
        <w:spacing w:after="100" w:afterAutospacing="1"/>
        <w:rPr>
          <w:bCs/>
          <w:szCs w:val="20"/>
          <w:shd w:val="clear" w:color="auto" w:fill="FFFFFF"/>
        </w:rPr>
      </w:pPr>
      <w:r w:rsidRPr="003D49EB">
        <w:rPr>
          <w:bCs/>
          <w:szCs w:val="20"/>
          <w:shd w:val="clear" w:color="auto" w:fill="FFFFFF"/>
        </w:rPr>
        <w:t>89.</w:t>
      </w:r>
      <w:r w:rsidRPr="003D49EB">
        <w:rPr>
          <w:bCs/>
          <w:szCs w:val="20"/>
          <w:shd w:val="clear" w:color="auto" w:fill="FFFFFF"/>
        </w:rPr>
        <w:tab/>
        <w:t>En relación con personas que se encuentran recibiendo atención médica, y dado que la salud es un bien público cuya protección está a cargo de los Estados, éstos tienen la obligación de prevenir que terceros interfieran indebidamente en el goce de los derechos a la vida y a la integridad personal, particularmente vulnerables cuando una persona se encuentra bajo tratamiento de salud.</w:t>
      </w:r>
      <w:r w:rsidR="008B18CE" w:rsidRPr="003D49EB">
        <w:rPr>
          <w:bCs/>
          <w:szCs w:val="20"/>
          <w:shd w:val="clear" w:color="auto" w:fill="FFFFFF"/>
        </w:rPr>
        <w:t xml:space="preserve"> </w:t>
      </w:r>
      <w:r w:rsidRPr="003D49EB">
        <w:rPr>
          <w:bCs/>
          <w:szCs w:val="20"/>
          <w:shd w:val="clear" w:color="auto" w:fill="FFFFFF"/>
        </w:rPr>
        <w:t>La Corte considera que los Estados tienen el deber de regular y fiscalizar toda la asistencia de salud prestada a las personas bajo su jurisdicción, como deber especial de protección a la vida y a la integridad personal, independientemente de si la entidad que presta tales servicios es de carácter público o privado.</w:t>
      </w:r>
      <w:r w:rsidR="008B18CE" w:rsidRPr="003D49EB">
        <w:rPr>
          <w:bCs/>
          <w:szCs w:val="20"/>
          <w:shd w:val="clear" w:color="auto" w:fill="FFFFFF"/>
        </w:rPr>
        <w:t xml:space="preserve"> </w:t>
      </w:r>
    </w:p>
    <w:p w14:paraId="6C934C11" w14:textId="77777777" w:rsidR="00356E6C" w:rsidRPr="003D49EB" w:rsidRDefault="00356E6C" w:rsidP="009A4683">
      <w:pPr>
        <w:spacing w:after="100" w:afterAutospacing="1"/>
        <w:rPr>
          <w:bCs/>
          <w:szCs w:val="20"/>
          <w:shd w:val="clear" w:color="auto" w:fill="FFFFFF"/>
        </w:rPr>
      </w:pPr>
      <w:r w:rsidRPr="003D49EB">
        <w:rPr>
          <w:bCs/>
          <w:szCs w:val="20"/>
          <w:shd w:val="clear" w:color="auto" w:fill="FFFFFF"/>
        </w:rPr>
        <w:lastRenderedPageBreak/>
        <w:t>90.</w:t>
      </w:r>
      <w:r w:rsidRPr="003D49EB">
        <w:rPr>
          <w:bCs/>
          <w:szCs w:val="20"/>
          <w:shd w:val="clear" w:color="auto" w:fill="FFFFFF"/>
        </w:rPr>
        <w:tab/>
        <w:t>La falta del deber de regular y fiscalizar genera responsabilidad internacional en razón de que los Estados son responsables tanto por los actos de las entidades públicas como privadas que prestan atención de salud, ya que bajo la Convención Americana los supuestos de responsabilidad internacional comprenden los actos de las entidades privadas que estén actuando con capacidad estatal, así como actos de terceros, cuando el Estado falta a su deber de regularlos y fiscalizarlos.</w:t>
      </w:r>
      <w:r w:rsidR="008B18CE" w:rsidRPr="003D49EB">
        <w:rPr>
          <w:bCs/>
          <w:szCs w:val="20"/>
          <w:shd w:val="clear" w:color="auto" w:fill="FFFFFF"/>
        </w:rPr>
        <w:t xml:space="preserve"> </w:t>
      </w:r>
      <w:r w:rsidRPr="003D49EB">
        <w:rPr>
          <w:bCs/>
          <w:szCs w:val="20"/>
          <w:shd w:val="clear" w:color="auto" w:fill="FFFFFF"/>
        </w:rPr>
        <w:t>La obligación de los Estados de regular no se agota, por lo tanto, en los hospitales que prestan servicios públicos, sino que abarca toda y cualquier institución de salud.</w:t>
      </w:r>
    </w:p>
    <w:p w14:paraId="69DA2A66" w14:textId="75394665" w:rsidR="00356E6C" w:rsidRPr="003D49EB" w:rsidRDefault="00356E6C" w:rsidP="009A4683">
      <w:pPr>
        <w:rPr>
          <w:b/>
          <w:bCs/>
          <w:i/>
          <w:szCs w:val="20"/>
          <w:shd w:val="clear" w:color="auto" w:fill="FFFFFF"/>
        </w:rPr>
      </w:pPr>
      <w:r w:rsidRPr="003D49EB">
        <w:rPr>
          <w:bCs/>
          <w:szCs w:val="20"/>
          <w:shd w:val="clear" w:color="auto" w:fill="FFFFFF"/>
        </w:rPr>
        <w:t>99.</w:t>
      </w:r>
      <w:r w:rsidRPr="003D49EB">
        <w:rPr>
          <w:bCs/>
          <w:szCs w:val="20"/>
          <w:shd w:val="clear" w:color="auto" w:fill="FFFFFF"/>
        </w:rPr>
        <w:tab/>
        <w:t>Por todas las consideraciones anteriores, la Corte estima que los Estados son responsables de regular y fiscalizar con carácter permanente la prestación de los servicios y la ejecución de los programas nacionales relativos al logro de una prestación de servicios de salud públicos de calidad, de tal manera que disuada cualquier amenaza al derecho a la vida y a la integridad física de las personas sometidas a tratamiento de salud.</w:t>
      </w:r>
      <w:r w:rsidR="008B18CE" w:rsidRPr="003D49EB">
        <w:rPr>
          <w:bCs/>
          <w:szCs w:val="20"/>
          <w:shd w:val="clear" w:color="auto" w:fill="FFFFFF"/>
        </w:rPr>
        <w:t xml:space="preserve"> </w:t>
      </w:r>
      <w:r w:rsidRPr="003D49EB">
        <w:rPr>
          <w:bCs/>
          <w:szCs w:val="20"/>
          <w:shd w:val="clear" w:color="auto" w:fill="FFFFFF"/>
        </w:rPr>
        <w:t>Deben, inter alia, crear mecanismos adecuados para inspeccionar las instituciones psiquiátricas, presentar, investigar y resolver quejas y establecer procedimientos disciplinarios o judiciales apropiados para casos de conducta profesional indebida o de violación de los derechos de los pacientes</w:t>
      </w:r>
      <w:r w:rsidR="006A660B" w:rsidRPr="003D49EB">
        <w:rPr>
          <w:bCs/>
          <w:szCs w:val="20"/>
          <w:shd w:val="clear" w:color="auto" w:fill="FFFFFF"/>
        </w:rPr>
        <w:t>.</w:t>
      </w:r>
      <w:r w:rsidRPr="003D49EB">
        <w:rPr>
          <w:bCs/>
          <w:szCs w:val="20"/>
          <w:shd w:val="clear" w:color="auto" w:fill="FFFFFF"/>
        </w:rPr>
        <w:t xml:space="preserve"> </w:t>
      </w:r>
      <w:r w:rsidR="006E5C73">
        <w:rPr>
          <w:rStyle w:val="EnelmismoCar"/>
        </w:rPr>
        <w:t>En similar sentido, ver entre otros</w:t>
      </w:r>
      <w:r w:rsidRPr="003D49EB">
        <w:rPr>
          <w:rStyle w:val="EnelmismoCar"/>
        </w:rPr>
        <w:t>: Caso Gonzales Lluy y otros Vs. Ecuador. Excepciones Preliminares, Fondo, Reparaciones y Costas. Sentencia de 01 de septiembre de 2015, párr. 177.</w:t>
      </w:r>
    </w:p>
    <w:p w14:paraId="04F7AD05" w14:textId="77777777" w:rsidR="009329C3" w:rsidRDefault="009329C3" w:rsidP="009A4683">
      <w:pPr>
        <w:rPr>
          <w:b/>
          <w:bCs/>
          <w:szCs w:val="20"/>
          <w:shd w:val="clear" w:color="auto" w:fill="FFFFFF"/>
        </w:rPr>
      </w:pPr>
    </w:p>
    <w:p w14:paraId="402EA296" w14:textId="0A1AD690" w:rsidR="009329C3" w:rsidRDefault="009329C3" w:rsidP="009A4683">
      <w:pPr>
        <w:rPr>
          <w:b/>
          <w:bCs/>
          <w:szCs w:val="20"/>
          <w:shd w:val="clear" w:color="auto" w:fill="FFFFFF"/>
        </w:rPr>
      </w:pPr>
      <w:r w:rsidRPr="009329C3">
        <w:rPr>
          <w:b/>
          <w:bCs/>
          <w:szCs w:val="20"/>
          <w:shd w:val="clear" w:color="auto" w:fill="FFFFFF"/>
        </w:rPr>
        <w:t>Corte IDH. Caso Albán Cornejo y otros Vs. Ecuador. Fondo, Reparaciones y Costas. Sentencia de 22 de noviembre de 2007. Serie C No. 171.</w:t>
      </w:r>
    </w:p>
    <w:p w14:paraId="42A60F4E" w14:textId="77777777" w:rsidR="009329C3" w:rsidRDefault="009329C3" w:rsidP="009A4683">
      <w:pPr>
        <w:rPr>
          <w:bCs/>
          <w:szCs w:val="20"/>
          <w:shd w:val="clear" w:color="auto" w:fill="FFFFFF"/>
        </w:rPr>
      </w:pPr>
    </w:p>
    <w:p w14:paraId="28BFC8D3" w14:textId="2DD4760B" w:rsidR="00CF7E1B" w:rsidRDefault="00D4257B" w:rsidP="009A4683">
      <w:pPr>
        <w:rPr>
          <w:rStyle w:val="EnelmismoCar"/>
        </w:rPr>
      </w:pPr>
      <w:r w:rsidRPr="003D49EB">
        <w:rPr>
          <w:bCs/>
          <w:szCs w:val="20"/>
          <w:shd w:val="clear" w:color="auto" w:fill="FFFFFF"/>
        </w:rPr>
        <w:t>119.</w:t>
      </w:r>
      <w:r w:rsidRPr="003D49EB">
        <w:rPr>
          <w:bCs/>
          <w:szCs w:val="20"/>
          <w:shd w:val="clear" w:color="auto" w:fill="FFFFFF"/>
        </w:rPr>
        <w:tab/>
        <w:t>La responsabilidad estatal puede surgir cuando un órgano o funcionario del Estado o de una institución de carácter público afecte indebidamente, por acción u omisión, algunos de los bienes jurídicos protegidos por la Convención Americana.</w:t>
      </w:r>
      <w:r w:rsidR="008B18CE" w:rsidRPr="003D49EB">
        <w:rPr>
          <w:bCs/>
          <w:szCs w:val="20"/>
          <w:shd w:val="clear" w:color="auto" w:fill="FFFFFF"/>
        </w:rPr>
        <w:t xml:space="preserve"> </w:t>
      </w:r>
      <w:r w:rsidRPr="003D49EB">
        <w:rPr>
          <w:bCs/>
          <w:szCs w:val="20"/>
          <w:shd w:val="clear" w:color="auto" w:fill="FFFFFF"/>
        </w:rPr>
        <w:t>También puede provenir de actos realizados por particulares, como ocurre cuando el Estado omite prevenir o impedir conductas de terceros que vulneren los referidos bienes jurídicos.</w:t>
      </w:r>
      <w:r w:rsidR="008B18CE" w:rsidRPr="003D49EB">
        <w:rPr>
          <w:bCs/>
          <w:szCs w:val="20"/>
          <w:shd w:val="clear" w:color="auto" w:fill="FFFFFF"/>
        </w:rPr>
        <w:t xml:space="preserve"> </w:t>
      </w:r>
      <w:r w:rsidRPr="003D49EB">
        <w:rPr>
          <w:bCs/>
          <w:szCs w:val="20"/>
          <w:shd w:val="clear" w:color="auto" w:fill="FFFFFF"/>
        </w:rPr>
        <w:t xml:space="preserve">En este orden de consideraciones, cuando se trata de competencias esenciales relacionadas con la supervisión y fiscalización de la prestación de servicios de interés público, como la salud, sea por entidades públicas o privadas (como es el caso de un hospital privado), la responsabilidad resulta por la omisión en el cumplimiento del deber de supervisar la prestación del servicio para proteger el bien respectivo. </w:t>
      </w:r>
      <w:r w:rsidR="006E5C73">
        <w:rPr>
          <w:rStyle w:val="EnelmismoCar"/>
        </w:rPr>
        <w:t>En similar sentido, ver entre otros</w:t>
      </w:r>
      <w:r w:rsidRPr="003D49EB">
        <w:rPr>
          <w:rStyle w:val="EnelmismoCar"/>
        </w:rPr>
        <w:t>: Caso Suárez Peralta Vs. Ecuador. Excepciones Preliminares, Fondo, Reparaciones y Costas. Sentencia de 21 de mayo de 2013, párr. 150; Caso Gonzales Lluy y otros Vs. Ecuador. Excepciones Preliminares, Fondo, Reparaciones y Costas. Sentencia de 01 de septiembre de 2015, párr. 184.</w:t>
      </w:r>
    </w:p>
    <w:p w14:paraId="3519C297" w14:textId="77777777" w:rsidR="009329C3" w:rsidRPr="003D49EB" w:rsidRDefault="009329C3" w:rsidP="009A4683">
      <w:pPr>
        <w:rPr>
          <w:b/>
          <w:bCs/>
          <w:i/>
          <w:szCs w:val="20"/>
          <w:shd w:val="clear" w:color="auto" w:fill="FFFFFF"/>
        </w:rPr>
      </w:pPr>
    </w:p>
    <w:p w14:paraId="608816E6" w14:textId="3CF834A0" w:rsidR="00571D59" w:rsidRPr="003D49EB" w:rsidRDefault="000360CF" w:rsidP="009A4683">
      <w:pPr>
        <w:spacing w:after="100" w:afterAutospacing="1"/>
        <w:rPr>
          <w:b/>
          <w:bCs/>
          <w:szCs w:val="20"/>
          <w:shd w:val="clear" w:color="auto" w:fill="FFFFFF"/>
        </w:rPr>
      </w:pPr>
      <w:r w:rsidRPr="000360CF">
        <w:rPr>
          <w:b/>
          <w:bCs/>
          <w:szCs w:val="20"/>
          <w:shd w:val="clear" w:color="auto" w:fill="FFFFFF"/>
        </w:rPr>
        <w:t>Corte IDH. Caso Suárez Peralta Vs. Ecuador. Excepciones Preliminares, Fondo, Reparaciones y Costas. Sentencia de 21 de mayo de 2013. Serie C No. 261</w:t>
      </w:r>
      <w:r>
        <w:rPr>
          <w:b/>
          <w:bCs/>
          <w:szCs w:val="20"/>
          <w:shd w:val="clear" w:color="auto" w:fill="FFFFFF"/>
        </w:rPr>
        <w:t>.</w:t>
      </w:r>
      <w:r>
        <w:rPr>
          <w:rStyle w:val="Refdenotaalpie"/>
          <w:b/>
          <w:bCs/>
          <w:szCs w:val="20"/>
          <w:shd w:val="clear" w:color="auto" w:fill="FFFFFF"/>
        </w:rPr>
        <w:footnoteReference w:id="76"/>
      </w:r>
      <w:r w:rsidR="00571D59" w:rsidRPr="003D49EB">
        <w:rPr>
          <w:b/>
          <w:bCs/>
          <w:szCs w:val="20"/>
          <w:shd w:val="clear" w:color="auto" w:fill="FFFFFF"/>
        </w:rPr>
        <w:t xml:space="preserve"> </w:t>
      </w:r>
    </w:p>
    <w:p w14:paraId="5FE363FF" w14:textId="77777777" w:rsidR="00571D59" w:rsidRPr="003D49EB" w:rsidRDefault="00571D59" w:rsidP="009A4683">
      <w:pPr>
        <w:pStyle w:val="Prrafodelista"/>
        <w:autoSpaceDE w:val="0"/>
        <w:autoSpaceDN w:val="0"/>
        <w:adjustRightInd w:val="0"/>
        <w:spacing w:after="100" w:afterAutospacing="1"/>
        <w:ind w:left="0"/>
        <w:rPr>
          <w:szCs w:val="20"/>
        </w:rPr>
      </w:pPr>
      <w:r w:rsidRPr="003D49EB">
        <w:rPr>
          <w:szCs w:val="20"/>
        </w:rPr>
        <w:t>130.</w:t>
      </w:r>
      <w:r w:rsidRPr="003D49EB">
        <w:rPr>
          <w:szCs w:val="20"/>
        </w:rPr>
        <w:tab/>
        <w:t xml:space="preserve">En lo que respecta a la relación del deber de garantía (artículo 1.1) con el artículo 5.1 de la Convención, la Corte ha establecido que el derecho a la integridad personal se halla directa e inmediatamente vinculado con la atención a la salud humana, y que la falta de atención médica adecuada puede conllevar la vulneración del artículo 5.1 de la Convención. En este sentido, la Corte ha sostenido que la protección del derecho a la integridad personal supone la regulación de los servicios </w:t>
      </w:r>
      <w:r w:rsidRPr="003D49EB">
        <w:rPr>
          <w:szCs w:val="20"/>
        </w:rPr>
        <w:lastRenderedPageBreak/>
        <w:t>de salud en el ámbito interno, así como la implementación de una serie de mecanismos tendientes a tutelar la efectividad de dicha regulación. […]</w:t>
      </w:r>
      <w:r w:rsidR="008B18CE" w:rsidRPr="003D49EB">
        <w:rPr>
          <w:b/>
          <w:szCs w:val="20"/>
        </w:rPr>
        <w:t xml:space="preserve"> </w:t>
      </w:r>
      <w:r w:rsidRPr="003D49EB">
        <w:rPr>
          <w:szCs w:val="20"/>
        </w:rPr>
        <w:t xml:space="preserve"> </w:t>
      </w:r>
    </w:p>
    <w:p w14:paraId="318023CD" w14:textId="77777777" w:rsidR="00571D59" w:rsidRPr="003D49EB" w:rsidRDefault="00571D59" w:rsidP="009A4683">
      <w:pPr>
        <w:pStyle w:val="Prrafodelista"/>
        <w:autoSpaceDE w:val="0"/>
        <w:autoSpaceDN w:val="0"/>
        <w:adjustRightInd w:val="0"/>
        <w:spacing w:after="100" w:afterAutospacing="1"/>
        <w:ind w:left="0"/>
        <w:rPr>
          <w:szCs w:val="20"/>
        </w:rPr>
      </w:pPr>
    </w:p>
    <w:p w14:paraId="1BEA341C" w14:textId="77777777" w:rsidR="00571D59" w:rsidRPr="003D49EB" w:rsidRDefault="00571D59" w:rsidP="009A4683">
      <w:pPr>
        <w:pStyle w:val="Prrafodelista"/>
        <w:autoSpaceDE w:val="0"/>
        <w:autoSpaceDN w:val="0"/>
        <w:adjustRightInd w:val="0"/>
        <w:spacing w:after="100" w:afterAutospacing="1"/>
        <w:ind w:left="0"/>
        <w:rPr>
          <w:rFonts w:cs="Arial"/>
          <w:bCs/>
          <w:szCs w:val="20"/>
        </w:rPr>
      </w:pPr>
      <w:r w:rsidRPr="003D49EB">
        <w:rPr>
          <w:szCs w:val="20"/>
        </w:rPr>
        <w:t>132.</w:t>
      </w:r>
      <w:r w:rsidRPr="003D49EB">
        <w:rPr>
          <w:szCs w:val="20"/>
        </w:rPr>
        <w:tab/>
        <w:t>Por tanto, esta Corte ha señalado que, a los efectos de dar cumplimiento a la obligación de garantizar el derecho a la integridad personal y en el marco de</w:t>
      </w:r>
      <w:r w:rsidRPr="003D49EB">
        <w:rPr>
          <w:b/>
          <w:szCs w:val="20"/>
        </w:rPr>
        <w:t xml:space="preserve"> </w:t>
      </w:r>
      <w:r w:rsidRPr="003D49EB">
        <w:rPr>
          <w:szCs w:val="20"/>
        </w:rPr>
        <w:t>la salud, los Estados deben establecer un marco normativo adecuado que regule la prestación de servicios de salud, estableciendo estándares de calidad para las instituciones públicas y privadas, que permita prevenir cualquier amenaza de vulneración a la integridad personal en dichas prestaciones. Asimismo, el Estado debe prever mecanismos de supervisión y fiscalización estatal de las instituciones de salud, así como procedimientos de tutela administrativa y judicial para el damnificado, cuya efectividad dependerá, en definitiva, de la puesta en práctica que la administración competente realice al respecto.</w:t>
      </w:r>
    </w:p>
    <w:p w14:paraId="02DDD856" w14:textId="77777777" w:rsidR="00571D59" w:rsidRPr="003D49EB" w:rsidRDefault="00571D59" w:rsidP="009A4683">
      <w:pPr>
        <w:pStyle w:val="Prrafodelista"/>
        <w:autoSpaceDE w:val="0"/>
        <w:autoSpaceDN w:val="0"/>
        <w:adjustRightInd w:val="0"/>
        <w:spacing w:after="100" w:afterAutospacing="1"/>
        <w:ind w:left="0"/>
        <w:rPr>
          <w:rFonts w:cs="Arial"/>
          <w:bCs/>
          <w:szCs w:val="20"/>
        </w:rPr>
      </w:pPr>
    </w:p>
    <w:p w14:paraId="13C11DA2" w14:textId="3F57B667" w:rsidR="00571D59" w:rsidRPr="003D49EB" w:rsidRDefault="00571D59" w:rsidP="009A4683">
      <w:pPr>
        <w:pStyle w:val="Prrafodelista"/>
        <w:autoSpaceDE w:val="0"/>
        <w:autoSpaceDN w:val="0"/>
        <w:adjustRightInd w:val="0"/>
        <w:spacing w:after="100" w:afterAutospacing="1"/>
        <w:ind w:left="0"/>
        <w:rPr>
          <w:rFonts w:cs="Verdana"/>
          <w:szCs w:val="20"/>
        </w:rPr>
      </w:pPr>
      <w:r w:rsidRPr="003D49EB">
        <w:rPr>
          <w:szCs w:val="20"/>
        </w:rPr>
        <w:t>134.</w:t>
      </w:r>
      <w:r w:rsidRPr="003D49EB">
        <w:rPr>
          <w:szCs w:val="20"/>
        </w:rPr>
        <w:tab/>
        <w:t>Conforme esta Corte lo señaló en otro caso, “los Estados son responsables de regular […] con carácter permanente la prestación de los servicios y la ejecución de los programas nacionales relativos al logro de una prestación de servicios de salud públicos de calidad, de tal manera que disuada cualquier amenaza al derecho a la vida y a la integridad física</w:t>
      </w:r>
      <w:r w:rsidRPr="003D49EB">
        <w:rPr>
          <w:rFonts w:cs="Verdana"/>
          <w:szCs w:val="20"/>
        </w:rPr>
        <w:t xml:space="preserve"> de las personas sometidas a tratamiento de salud. Deben, </w:t>
      </w:r>
      <w:r w:rsidRPr="003D49EB">
        <w:rPr>
          <w:rFonts w:cs="Verdana"/>
          <w:i/>
          <w:iCs/>
          <w:szCs w:val="20"/>
        </w:rPr>
        <w:t>inter alia</w:t>
      </w:r>
      <w:r w:rsidRPr="003D49EB">
        <w:rPr>
          <w:rFonts w:cs="Verdana"/>
          <w:szCs w:val="20"/>
        </w:rPr>
        <w:t xml:space="preserve">, crear mecanismos adecuados para inspeccionar las instituciones, […] presentar, investigar y resolver quejas y establecer procedimientos disciplinarios o judiciales apropiados para casos de conducta profesional indebida o de violación de los derechos de los pacientes”. </w:t>
      </w:r>
    </w:p>
    <w:p w14:paraId="729A80C8" w14:textId="77777777" w:rsidR="00571D59" w:rsidRPr="003D49EB" w:rsidRDefault="00571D59" w:rsidP="009A4683">
      <w:pPr>
        <w:pStyle w:val="Prrafodelista"/>
        <w:autoSpaceDE w:val="0"/>
        <w:autoSpaceDN w:val="0"/>
        <w:adjustRightInd w:val="0"/>
        <w:spacing w:after="100" w:afterAutospacing="1"/>
        <w:ind w:left="0"/>
        <w:rPr>
          <w:rFonts w:cs="Arial"/>
          <w:bCs/>
          <w:szCs w:val="20"/>
        </w:rPr>
      </w:pPr>
    </w:p>
    <w:p w14:paraId="2C4B5A97" w14:textId="77777777" w:rsidR="00571D59" w:rsidRPr="003D49EB" w:rsidRDefault="00571D59" w:rsidP="009A4683">
      <w:pPr>
        <w:pStyle w:val="Prrafodelista"/>
        <w:autoSpaceDE w:val="0"/>
        <w:autoSpaceDN w:val="0"/>
        <w:adjustRightInd w:val="0"/>
        <w:spacing w:after="100" w:afterAutospacing="1"/>
        <w:ind w:left="0"/>
        <w:rPr>
          <w:szCs w:val="20"/>
        </w:rPr>
      </w:pPr>
      <w:r w:rsidRPr="003D49EB">
        <w:rPr>
          <w:szCs w:val="20"/>
        </w:rPr>
        <w:t>149.</w:t>
      </w:r>
      <w:r w:rsidRPr="003D49EB">
        <w:rPr>
          <w:szCs w:val="20"/>
        </w:rPr>
        <w:tab/>
        <w:t>Conforme la Corte ha establecido, la obligación de fiscalización estatal comprende tanto a servicios prestados por el Estado, directa o indirectamente, como a los ofrecidos por particulares. Abarca, por tanto, las situaciones en las que se ha delegado el servicio, en las que los particulares brindan el mismo por cuenta y orden del Estado, como también la supervisión de servicios privados relativos a bienes del más alto interés social, cuya vigilancia también compete al poder público. Una eventual atención médica en instituciones sin la debida habilitación, sin estar aptas en su infraestructura o en su higiene para brindar prestaciones médicas, o por profesionales que no cuenten con la debida calificación para tales actividades, podría conllevar una incidencia trascendental en los derechos a la vida o a la integridad del paciente.</w:t>
      </w:r>
    </w:p>
    <w:p w14:paraId="61DF15EA" w14:textId="7068AC45" w:rsidR="00571D59" w:rsidRPr="003D49EB" w:rsidRDefault="000360CF" w:rsidP="009A4683">
      <w:pPr>
        <w:spacing w:after="100" w:afterAutospacing="1"/>
        <w:rPr>
          <w:b/>
          <w:bCs/>
          <w:szCs w:val="20"/>
          <w:shd w:val="clear" w:color="auto" w:fill="FFFFFF"/>
        </w:rPr>
      </w:pPr>
      <w:r w:rsidRPr="00D03D1F">
        <w:rPr>
          <w:b/>
          <w:szCs w:val="20"/>
          <w:lang w:val="es-ES"/>
        </w:rPr>
        <w:t>Corte IDH. Caso Gonzales Lluy y otros Vs. Ecuador. Excepciones Preliminares, Fondo, Reparaciones y Costas. Sentencia de 1 de septiembre de 2015. Serie C No. 298</w:t>
      </w:r>
      <w:r w:rsidR="00571D59" w:rsidRPr="003D49EB">
        <w:rPr>
          <w:b/>
          <w:bCs/>
          <w:szCs w:val="20"/>
          <w:shd w:val="clear" w:color="auto" w:fill="FFFFFF"/>
        </w:rPr>
        <w:t>.</w:t>
      </w:r>
      <w:r w:rsidRPr="00D03D1F">
        <w:rPr>
          <w:rStyle w:val="Refdenotaalpie"/>
          <w:b/>
        </w:rPr>
        <w:footnoteReference w:id="77"/>
      </w:r>
      <w:r w:rsidR="00571D59" w:rsidRPr="003D49EB">
        <w:rPr>
          <w:b/>
          <w:bCs/>
          <w:szCs w:val="20"/>
          <w:shd w:val="clear" w:color="auto" w:fill="FFFFFF"/>
        </w:rPr>
        <w:t xml:space="preserve"> </w:t>
      </w:r>
    </w:p>
    <w:p w14:paraId="4658A1A7" w14:textId="77777777" w:rsidR="00571D59" w:rsidRPr="003D49EB" w:rsidRDefault="00571D59" w:rsidP="009A4683">
      <w:pPr>
        <w:spacing w:after="100" w:afterAutospacing="1"/>
        <w:rPr>
          <w:szCs w:val="20"/>
        </w:rPr>
      </w:pPr>
      <w:r w:rsidRPr="003D49EB">
        <w:rPr>
          <w:szCs w:val="20"/>
        </w:rPr>
        <w:t>171.</w:t>
      </w:r>
      <w:r w:rsidRPr="003D49EB">
        <w:rPr>
          <w:szCs w:val="20"/>
        </w:rPr>
        <w:tab/>
        <w:t xml:space="preserve">En lo que respecta a la relación del deber de garantía (artículo 1.1) con el artículo 5.1 de la Convención, la Corte ha establecido que el derecho a la integridad personal se halla directa e inmediatamente vinculado con la atención a la salud humana, y que la falta de atención médica adecuada puede conllevar la vulneración del artículo 5.1 de la Convención. En este sentido, la Corte ha sostenido que la protección del derecho a la integridad personal supone la regulación de los servicios de salud en el ámbito interno, así como la implementación de una serie de </w:t>
      </w:r>
      <w:r w:rsidRPr="003D49EB">
        <w:rPr>
          <w:szCs w:val="20"/>
        </w:rPr>
        <w:lastRenderedPageBreak/>
        <w:t>mecanismos tendientes a tutelar la efectividad de dicha regulación. Por esta razón, se debe determinar si en el presente caso se garantizó la integridad personal consagrada en el artículo 5.1 de la Convención en relación con el artículo 1.1 de la misma.</w:t>
      </w:r>
      <w:r w:rsidR="008B18CE" w:rsidRPr="003D49EB">
        <w:rPr>
          <w:szCs w:val="20"/>
        </w:rPr>
        <w:t xml:space="preserve"> </w:t>
      </w:r>
      <w:r w:rsidRPr="003D49EB">
        <w:rPr>
          <w:szCs w:val="20"/>
        </w:rPr>
        <w:t xml:space="preserve"> </w:t>
      </w:r>
    </w:p>
    <w:p w14:paraId="513E4FDF" w14:textId="77777777" w:rsidR="0012188D" w:rsidRPr="003D49EB" w:rsidRDefault="0012188D" w:rsidP="009A4683">
      <w:pPr>
        <w:spacing w:after="100" w:afterAutospacing="1"/>
        <w:rPr>
          <w:szCs w:val="20"/>
          <w:lang w:val="es-CO"/>
        </w:rPr>
      </w:pPr>
      <w:r w:rsidRPr="003D49EB">
        <w:rPr>
          <w:szCs w:val="20"/>
          <w:lang w:val="es-CO"/>
        </w:rPr>
        <w:t>191.</w:t>
      </w:r>
      <w:r w:rsidRPr="003D49EB">
        <w:rPr>
          <w:szCs w:val="20"/>
          <w:lang w:val="es-CO"/>
        </w:rPr>
        <w:tab/>
        <w:t xml:space="preserve">En virtud de lo mencionado en este segmento, dado que son imputables al Estado el tipo de negligencias que condujeron al contagio con VIH de Talía Gonzales Lluy, el Ecuador es responsable por la violación de la obligación de fiscalización y supervisión de la prestación de servicios de salud, en el marco del derecho a la integridad personal y de la obligación de no poner en riesgo la vida, lo cual vulnera los artículos 4 y 5 de la Convención Americana en relación con el artículo 1.1 de la misma. </w:t>
      </w:r>
    </w:p>
    <w:p w14:paraId="5E8AED6F" w14:textId="77777777" w:rsidR="0012188D" w:rsidRPr="003D49EB" w:rsidRDefault="0012188D" w:rsidP="009A4683">
      <w:pPr>
        <w:tabs>
          <w:tab w:val="left" w:pos="709"/>
          <w:tab w:val="left" w:pos="10065"/>
        </w:tabs>
        <w:spacing w:after="100" w:afterAutospacing="1"/>
        <w:ind w:right="25"/>
        <w:contextualSpacing/>
        <w:rPr>
          <w:szCs w:val="20"/>
        </w:rPr>
      </w:pPr>
      <w:r w:rsidRPr="003D49EB">
        <w:rPr>
          <w:rFonts w:cs="Helvetica"/>
          <w:szCs w:val="20"/>
        </w:rPr>
        <w:t>216.</w:t>
      </w:r>
      <w:r w:rsidRPr="003D49EB">
        <w:rPr>
          <w:rFonts w:cs="Helvetica"/>
          <w:szCs w:val="20"/>
        </w:rPr>
        <w:tab/>
        <w:t xml:space="preserve">La Corte destaca la constante </w:t>
      </w:r>
      <w:r w:rsidRPr="003D49EB">
        <w:rPr>
          <w:szCs w:val="20"/>
          <w:lang w:val="es-CR"/>
        </w:rPr>
        <w:t>situación de vulnerabilidad en que se encontraron Teresa e Iván Lluy al ser discriminados, aislados de la sociedad y estar condiciones económicas precarias. Aunado a lo anterior, el contagio de Talía afectó en gran manera a toda la familia, ya que Teresa e Iván tuvieron que dedicar los mayores esfuerzos físicos, materiales y económicos para procurar la sobrevivencia y vida digna de Talía. Todo lo anterior generó un estado de angustia, incertidumbre e inseguridad permanente en la vida de Talía, Teresa e Iván Lluy.</w:t>
      </w:r>
    </w:p>
    <w:p w14:paraId="12C3A9D9" w14:textId="77777777" w:rsidR="0012188D" w:rsidRPr="003D49EB" w:rsidRDefault="0012188D" w:rsidP="009A4683">
      <w:pPr>
        <w:tabs>
          <w:tab w:val="left" w:pos="709"/>
          <w:tab w:val="left" w:pos="10065"/>
        </w:tabs>
        <w:spacing w:after="100" w:afterAutospacing="1"/>
        <w:ind w:right="25"/>
        <w:contextualSpacing/>
        <w:rPr>
          <w:szCs w:val="20"/>
        </w:rPr>
      </w:pPr>
    </w:p>
    <w:p w14:paraId="77579A3C" w14:textId="79B6EB79" w:rsidR="0012188D" w:rsidRPr="003D49EB" w:rsidRDefault="0012188D" w:rsidP="009A4683">
      <w:pPr>
        <w:tabs>
          <w:tab w:val="left" w:pos="709"/>
          <w:tab w:val="left" w:pos="10065"/>
        </w:tabs>
        <w:spacing w:after="100" w:afterAutospacing="1"/>
        <w:ind w:right="25"/>
        <w:contextualSpacing/>
        <w:rPr>
          <w:szCs w:val="20"/>
          <w:lang w:val="es-CR"/>
        </w:rPr>
      </w:pPr>
      <w:r w:rsidRPr="003D49EB">
        <w:rPr>
          <w:szCs w:val="20"/>
        </w:rPr>
        <w:t>217.</w:t>
      </w:r>
      <w:r w:rsidRPr="003D49EB">
        <w:rPr>
          <w:szCs w:val="20"/>
        </w:rPr>
        <w:tab/>
        <w:t>En el caso concreto de Teresa Lluy, ella ha declarado que</w:t>
      </w:r>
      <w:r w:rsidRPr="003D49EB">
        <w:rPr>
          <w:szCs w:val="20"/>
          <w:lang w:val="es-CR"/>
        </w:rPr>
        <w:t xml:space="preserve"> su vida cambió a raíz del contagio con VIH a Talía; al hacerse pública la enfermedad de Talía, la señora Lluy perdió su trabajo </w:t>
      </w:r>
      <w:r w:rsidRPr="003D49EB">
        <w:rPr>
          <w:rFonts w:cs="Arial"/>
          <w:szCs w:val="20"/>
          <w:lang w:val="es-CR"/>
        </w:rPr>
        <w:t>en la empresa en la que había trabajado por 10 años, de la cual fue despedida diciéndole que era “por dar mala imagen a la misma ya que [su] hija tenía VIH”. Después de su despido, la señora Lluy habría trabajado como empleada doméstica; sin embargo, “cuando [sus empleadores] reconocían quien era, [l]e decían que ya no [la] necesitaban” y en algunas ocasiones le reprocharon que “podía ponerles en riesgo de contagio”.</w:t>
      </w:r>
      <w:r w:rsidRPr="003D49EB">
        <w:rPr>
          <w:szCs w:val="20"/>
          <w:lang w:val="es-CR"/>
        </w:rPr>
        <w:t xml:space="preserve"> </w:t>
      </w:r>
    </w:p>
    <w:p w14:paraId="76C4D6AC" w14:textId="77777777" w:rsidR="00742D47" w:rsidRPr="003D49EB" w:rsidRDefault="00742D47" w:rsidP="009A4683">
      <w:pPr>
        <w:tabs>
          <w:tab w:val="left" w:pos="709"/>
          <w:tab w:val="left" w:pos="10065"/>
        </w:tabs>
        <w:spacing w:after="100" w:afterAutospacing="1"/>
        <w:ind w:right="25"/>
        <w:contextualSpacing/>
        <w:rPr>
          <w:szCs w:val="20"/>
          <w:lang w:val="es-CR"/>
        </w:rPr>
      </w:pPr>
    </w:p>
    <w:p w14:paraId="786C6D75" w14:textId="77777777" w:rsidR="00742D47" w:rsidRPr="003D49EB" w:rsidRDefault="00742D47" w:rsidP="009A4683">
      <w:pPr>
        <w:tabs>
          <w:tab w:val="left" w:pos="709"/>
          <w:tab w:val="left" w:pos="10065"/>
        </w:tabs>
        <w:spacing w:after="100" w:afterAutospacing="1"/>
        <w:ind w:right="25"/>
        <w:contextualSpacing/>
        <w:rPr>
          <w:szCs w:val="20"/>
        </w:rPr>
      </w:pPr>
      <w:r w:rsidRPr="003D49EB">
        <w:rPr>
          <w:szCs w:val="20"/>
        </w:rPr>
        <w:t>226.</w:t>
      </w:r>
      <w:r w:rsidRPr="003D49EB">
        <w:rPr>
          <w:szCs w:val="20"/>
        </w:rPr>
        <w:tab/>
        <w:t xml:space="preserve">La Corte observa que si bien algunos de los aspectos en los cuales Talía y su familia sufrieron discriminación, no obedecieron a una actuación directa de autoridades estatales, dicha discriminación obedeció al estigma derivado de la condición de Talía como portadora de VIH, y fueron resultado de la falta de acciones tomadas por el Estado para proteger a Talía y a su familia, quienes se encontraban en una situación de vulnerabilidad. </w:t>
      </w:r>
    </w:p>
    <w:p w14:paraId="72B00DC6" w14:textId="77777777" w:rsidR="00742D47" w:rsidRPr="003D49EB" w:rsidRDefault="00742D47" w:rsidP="009A4683">
      <w:pPr>
        <w:tabs>
          <w:tab w:val="left" w:pos="709"/>
          <w:tab w:val="left" w:pos="10065"/>
        </w:tabs>
        <w:spacing w:after="100" w:afterAutospacing="1"/>
        <w:ind w:right="25"/>
        <w:contextualSpacing/>
        <w:rPr>
          <w:szCs w:val="20"/>
        </w:rPr>
      </w:pPr>
    </w:p>
    <w:p w14:paraId="670D50E6" w14:textId="77777777" w:rsidR="00742D47" w:rsidRPr="003D49EB" w:rsidRDefault="00742D47" w:rsidP="009A4683">
      <w:pPr>
        <w:tabs>
          <w:tab w:val="left" w:pos="709"/>
          <w:tab w:val="left" w:pos="10065"/>
        </w:tabs>
        <w:spacing w:after="100" w:afterAutospacing="1"/>
        <w:ind w:right="25"/>
        <w:contextualSpacing/>
        <w:rPr>
          <w:szCs w:val="20"/>
        </w:rPr>
      </w:pPr>
      <w:r w:rsidRPr="003D49EB">
        <w:rPr>
          <w:szCs w:val="20"/>
        </w:rPr>
        <w:t>227.</w:t>
      </w:r>
      <w:r w:rsidRPr="003D49EB">
        <w:rPr>
          <w:szCs w:val="20"/>
        </w:rPr>
        <w:tab/>
        <w:t>La discriminación que sufrió Talía fue resultado del estigma generado por su condición de persona viviendo con VIH y le trajo consecuencias a ella, a su madre y a su hermano. La Corte nota que en el presente caso existieron múltiples diferencias de trato hacia Talía y su familia que se derivaron de la condición de Talía de persona con VIH; esas diferencias de trato configuraron una discriminación que los colocó en una posición de vulnerabilidad que se vio agravada con el paso del tiempo. La discriminación sufrida por la familia se concretó en diversos aspectos como la vivienda, el trabajo y la educación.</w:t>
      </w:r>
    </w:p>
    <w:p w14:paraId="04E57E05" w14:textId="77777777" w:rsidR="00742D47" w:rsidRPr="003D49EB" w:rsidRDefault="00742D47" w:rsidP="009A4683">
      <w:pPr>
        <w:tabs>
          <w:tab w:val="left" w:pos="709"/>
          <w:tab w:val="left" w:pos="10065"/>
        </w:tabs>
        <w:spacing w:after="100" w:afterAutospacing="1"/>
        <w:ind w:right="25"/>
        <w:contextualSpacing/>
        <w:rPr>
          <w:szCs w:val="20"/>
        </w:rPr>
      </w:pPr>
    </w:p>
    <w:p w14:paraId="73203FF5" w14:textId="77777777" w:rsidR="00742D47" w:rsidRPr="003D49EB" w:rsidRDefault="00742D47" w:rsidP="009A4683">
      <w:pPr>
        <w:tabs>
          <w:tab w:val="left" w:pos="709"/>
          <w:tab w:val="left" w:pos="10065"/>
        </w:tabs>
        <w:spacing w:after="100" w:afterAutospacing="1"/>
        <w:ind w:right="25"/>
        <w:contextualSpacing/>
        <w:rPr>
          <w:szCs w:val="20"/>
        </w:rPr>
      </w:pPr>
      <w:r w:rsidRPr="003D49EB">
        <w:rPr>
          <w:szCs w:val="20"/>
        </w:rPr>
        <w:t>228.</w:t>
      </w:r>
      <w:r w:rsidRPr="003D49EB">
        <w:rPr>
          <w:szCs w:val="20"/>
        </w:rPr>
        <w:tab/>
        <w:t xml:space="preserve">En el presente caso, a pesar de la situación de particular vulnerabilidad en que se encontraban Talía, Teresa e Iván Lluy, el Estado no tomó las medidas necesarias para garantizarle a ella y a su familia el acceso a sus derechos sin discriminación, por lo que las acciones y omisiones del Estado constituyeron un trato discriminatorio en contra de Talía, de su madre y de su hermano. </w:t>
      </w:r>
    </w:p>
    <w:p w14:paraId="37429869" w14:textId="77777777" w:rsidR="0012188D" w:rsidRPr="003D49EB" w:rsidRDefault="0012188D" w:rsidP="009A4683">
      <w:pPr>
        <w:tabs>
          <w:tab w:val="left" w:pos="709"/>
          <w:tab w:val="left" w:pos="10065"/>
        </w:tabs>
        <w:spacing w:after="100" w:afterAutospacing="1"/>
        <w:ind w:right="25"/>
        <w:contextualSpacing/>
        <w:rPr>
          <w:szCs w:val="20"/>
        </w:rPr>
      </w:pPr>
    </w:p>
    <w:p w14:paraId="10DDB81C" w14:textId="77777777" w:rsidR="0012188D" w:rsidRPr="003D49EB" w:rsidRDefault="0012188D" w:rsidP="009A4683">
      <w:pPr>
        <w:tabs>
          <w:tab w:val="left" w:pos="709"/>
          <w:tab w:val="left" w:pos="10065"/>
        </w:tabs>
        <w:spacing w:after="100" w:afterAutospacing="1"/>
        <w:ind w:right="25"/>
        <w:contextualSpacing/>
        <w:rPr>
          <w:szCs w:val="20"/>
          <w:lang w:val="es-CR"/>
        </w:rPr>
      </w:pPr>
      <w:r w:rsidRPr="003D49EB">
        <w:rPr>
          <w:rFonts w:cs="TimesNewRomanPSMT"/>
          <w:szCs w:val="20"/>
          <w:lang w:val="es-CR"/>
        </w:rPr>
        <w:t>229.</w:t>
      </w:r>
      <w:r w:rsidRPr="003D49EB">
        <w:rPr>
          <w:rFonts w:cs="TimesNewRomanPSMT"/>
          <w:szCs w:val="20"/>
          <w:lang w:val="es-CR"/>
        </w:rPr>
        <w:tab/>
        <w:t xml:space="preserve">En atención de lo anterior, la Corte concluye que </w:t>
      </w:r>
      <w:r w:rsidRPr="003D49EB">
        <w:rPr>
          <w:szCs w:val="20"/>
          <w:lang w:val="es-CR"/>
        </w:rPr>
        <w:t>el Estado es responsable de la violación del derecho a la integridad personal, consagrado en el artículo 5.1 de la Convención Americana, en relación con el artículo 1.1 de la misma, en perjuicio de Teresa Lluy e Iván Lluy.</w:t>
      </w:r>
    </w:p>
    <w:p w14:paraId="24ECB3FC" w14:textId="77777777" w:rsidR="00666A34" w:rsidRPr="003D49EB" w:rsidRDefault="00666A34" w:rsidP="009A4683">
      <w:pPr>
        <w:tabs>
          <w:tab w:val="left" w:pos="709"/>
          <w:tab w:val="left" w:pos="10065"/>
        </w:tabs>
        <w:spacing w:after="100" w:afterAutospacing="1"/>
        <w:ind w:right="25"/>
        <w:contextualSpacing/>
        <w:rPr>
          <w:szCs w:val="20"/>
          <w:lang w:val="es-CR"/>
        </w:rPr>
      </w:pPr>
    </w:p>
    <w:p w14:paraId="27C18BA9" w14:textId="0EA681A7" w:rsidR="00666A34" w:rsidRPr="003D49EB" w:rsidRDefault="00DA57C9" w:rsidP="009A4683">
      <w:pPr>
        <w:tabs>
          <w:tab w:val="left" w:pos="709"/>
          <w:tab w:val="left" w:pos="10065"/>
        </w:tabs>
        <w:spacing w:after="100" w:afterAutospacing="1"/>
        <w:ind w:right="25"/>
        <w:contextualSpacing/>
        <w:rPr>
          <w:b/>
          <w:szCs w:val="20"/>
        </w:rPr>
      </w:pPr>
      <w:r w:rsidRPr="00DA57C9">
        <w:rPr>
          <w:b/>
          <w:szCs w:val="20"/>
        </w:rPr>
        <w:t>Corte IDH. Caso Ortiz Hernández y otros Vs. Venezuela. Fondo, Reparaciones y Costas. Sentencia de 22 de agosto de 2017. Serie C No. 338.</w:t>
      </w:r>
      <w:r>
        <w:rPr>
          <w:rStyle w:val="Refdenotaalpie"/>
          <w:b/>
          <w:szCs w:val="20"/>
        </w:rPr>
        <w:footnoteReference w:id="78"/>
      </w:r>
    </w:p>
    <w:p w14:paraId="4717A650" w14:textId="77777777" w:rsidR="00666A34" w:rsidRPr="003D49EB" w:rsidRDefault="00666A34" w:rsidP="009A4683">
      <w:pPr>
        <w:tabs>
          <w:tab w:val="left" w:pos="709"/>
          <w:tab w:val="left" w:pos="10065"/>
        </w:tabs>
        <w:spacing w:after="100" w:afterAutospacing="1"/>
        <w:ind w:right="25"/>
        <w:contextualSpacing/>
        <w:rPr>
          <w:szCs w:val="20"/>
        </w:rPr>
      </w:pPr>
    </w:p>
    <w:p w14:paraId="715435AF" w14:textId="4BB5EF63" w:rsidR="00666A34" w:rsidRPr="003D49EB" w:rsidRDefault="00666A34" w:rsidP="009A4683">
      <w:pPr>
        <w:tabs>
          <w:tab w:val="left" w:pos="709"/>
          <w:tab w:val="left" w:pos="10065"/>
        </w:tabs>
        <w:spacing w:after="100" w:afterAutospacing="1"/>
        <w:ind w:right="25"/>
        <w:contextualSpacing/>
        <w:rPr>
          <w:szCs w:val="20"/>
        </w:rPr>
      </w:pPr>
      <w:r w:rsidRPr="003D49EB">
        <w:rPr>
          <w:szCs w:val="20"/>
        </w:rPr>
        <w:t>119.</w:t>
      </w:r>
      <w:r w:rsidRPr="003D49EB">
        <w:rPr>
          <w:szCs w:val="20"/>
        </w:rPr>
        <w:tab/>
        <w:t>La Corte ha afirmado que los derechos a la vida y a la integridad personal se hallan directa e inmediatamente vinculados con la atención a la salud humana</w:t>
      </w:r>
      <w:r w:rsidR="008B18CE" w:rsidRPr="003D49EB">
        <w:rPr>
          <w:szCs w:val="20"/>
        </w:rPr>
        <w:t xml:space="preserve"> </w:t>
      </w:r>
      <w:r w:rsidRPr="003D49EB">
        <w:rPr>
          <w:szCs w:val="20"/>
        </w:rPr>
        <w:t>y que la falta de atención médica adecuada puede conllevar la vulneración del artículo 5.1 de la Convención</w:t>
      </w:r>
      <w:r w:rsidR="006A660B" w:rsidRPr="003D49EB">
        <w:rPr>
          <w:szCs w:val="20"/>
        </w:rPr>
        <w:t>.</w:t>
      </w:r>
      <w:r w:rsidRPr="003D49EB">
        <w:rPr>
          <w:szCs w:val="20"/>
        </w:rPr>
        <w:t xml:space="preserve"> Así, la Corte estima que, entre las medidas de seguridad que es preciso adoptar en el marco de los procesos de formación de las fuerzas militares, se encuentra la de contar con atención médica adecuada y de calidad en el transcurso de los entrenamientos militares, ya sea dentro de los cuarteles o en el exterior, incluyendo la asistencia médica de emergencia y especializada que se considere pertinente.</w:t>
      </w:r>
    </w:p>
    <w:p w14:paraId="469C669F" w14:textId="77777777" w:rsidR="00666A34" w:rsidRPr="003D49EB" w:rsidRDefault="00666A34" w:rsidP="009A4683">
      <w:pPr>
        <w:tabs>
          <w:tab w:val="left" w:pos="709"/>
          <w:tab w:val="left" w:pos="10065"/>
        </w:tabs>
        <w:spacing w:after="100" w:afterAutospacing="1"/>
        <w:ind w:right="25"/>
        <w:contextualSpacing/>
        <w:rPr>
          <w:szCs w:val="20"/>
        </w:rPr>
      </w:pPr>
    </w:p>
    <w:p w14:paraId="7919B8E6" w14:textId="5E774777" w:rsidR="00666A34" w:rsidRPr="003D49EB" w:rsidRDefault="00666A34" w:rsidP="009A4683">
      <w:pPr>
        <w:tabs>
          <w:tab w:val="left" w:pos="709"/>
          <w:tab w:val="left" w:pos="10065"/>
        </w:tabs>
        <w:spacing w:after="100" w:afterAutospacing="1"/>
        <w:ind w:right="25"/>
        <w:contextualSpacing/>
        <w:rPr>
          <w:szCs w:val="20"/>
        </w:rPr>
      </w:pPr>
      <w:r w:rsidRPr="003D49EB">
        <w:rPr>
          <w:szCs w:val="20"/>
        </w:rPr>
        <w:t>125.</w:t>
      </w:r>
      <w:r w:rsidRPr="003D49EB">
        <w:rPr>
          <w:szCs w:val="20"/>
        </w:rPr>
        <w:tab/>
        <w:t>Aunado a la falta de atención médica oportuna y adecuada, la Corte estima que la muerte de Johan Alexis Ortiz Hernández fue precedida por una violación de su derecho a la integridad personal, física como psicológica, en tanto de la prueba recolectada, es posible colegir que la víctima efectivamente sufrió un profundo temor y angustia desde el momento en que fue herido hasta su deceso, al evidenciarse que tomó conciencia de que los hechos que acontecían lo conducirían a su eventual muerte</w:t>
      </w:r>
      <w:r w:rsidR="006A660B" w:rsidRPr="003D49EB">
        <w:rPr>
          <w:szCs w:val="20"/>
        </w:rPr>
        <w:t>.</w:t>
      </w:r>
      <w:r w:rsidRPr="003D49EB">
        <w:rPr>
          <w:szCs w:val="20"/>
        </w:rPr>
        <w:t xml:space="preserve"> Ello se desprende de las propias declaraciones de la médica de guardia y las enfermeras, quienes señalaron que Ortiz Hernández solicitó que lo comunicaran con su madre, que “la quería ver ya que iba a morir”, tal como efectivamente ocurrió</w:t>
      </w:r>
      <w:r w:rsidR="006A660B" w:rsidRPr="003D49EB">
        <w:rPr>
          <w:szCs w:val="20"/>
        </w:rPr>
        <w:t>.</w:t>
      </w:r>
    </w:p>
    <w:p w14:paraId="6AD75945" w14:textId="77777777" w:rsidR="00666A34" w:rsidRPr="003D49EB" w:rsidRDefault="00666A34" w:rsidP="009A4683">
      <w:pPr>
        <w:tabs>
          <w:tab w:val="left" w:pos="709"/>
          <w:tab w:val="left" w:pos="10065"/>
        </w:tabs>
        <w:spacing w:after="100" w:afterAutospacing="1"/>
        <w:ind w:right="25"/>
        <w:contextualSpacing/>
        <w:rPr>
          <w:szCs w:val="20"/>
        </w:rPr>
      </w:pPr>
    </w:p>
    <w:p w14:paraId="6288A6DF" w14:textId="77777777" w:rsidR="00666A34" w:rsidRPr="003D49EB" w:rsidRDefault="00666A34" w:rsidP="009A4683">
      <w:pPr>
        <w:tabs>
          <w:tab w:val="left" w:pos="709"/>
          <w:tab w:val="left" w:pos="10065"/>
        </w:tabs>
        <w:spacing w:after="100" w:afterAutospacing="1"/>
        <w:ind w:right="25"/>
        <w:contextualSpacing/>
        <w:rPr>
          <w:szCs w:val="20"/>
        </w:rPr>
      </w:pPr>
      <w:r w:rsidRPr="003D49EB">
        <w:rPr>
          <w:szCs w:val="20"/>
        </w:rPr>
        <w:t>126.</w:t>
      </w:r>
      <w:r w:rsidRPr="003D49EB">
        <w:rPr>
          <w:szCs w:val="20"/>
        </w:rPr>
        <w:tab/>
        <w:t>En definitiva, la Corte nota que la atención médica que debió proporcionarse al señor Ortiz Hernández no fue oportuna ni adecuada para evitar su muerte, lo cual compromete la responsabilidad internacional del Estado por la violación de los derechos a la vida y a la integridad personal de Johan Alexis Ortiz Hernández, reconocidos en los artículos 4.1 y 5.1 de la Convención Americana, en relación con el artículo 1.1 de la misma.</w:t>
      </w:r>
    </w:p>
    <w:p w14:paraId="2F76AE20" w14:textId="77777777" w:rsidR="0012188D" w:rsidRPr="003D49EB" w:rsidRDefault="0012188D" w:rsidP="009A4683">
      <w:pPr>
        <w:tabs>
          <w:tab w:val="left" w:pos="709"/>
          <w:tab w:val="left" w:pos="10065"/>
        </w:tabs>
        <w:spacing w:after="100" w:afterAutospacing="1"/>
        <w:ind w:right="25"/>
        <w:contextualSpacing/>
        <w:rPr>
          <w:szCs w:val="20"/>
        </w:rPr>
      </w:pPr>
    </w:p>
    <w:p w14:paraId="7702D7CA" w14:textId="2342B51B" w:rsidR="004F440B" w:rsidRPr="003D49EB" w:rsidRDefault="004F440B" w:rsidP="009A4683">
      <w:pPr>
        <w:tabs>
          <w:tab w:val="left" w:pos="709"/>
          <w:tab w:val="left" w:pos="10065"/>
        </w:tabs>
        <w:spacing w:after="100" w:afterAutospacing="1"/>
        <w:ind w:right="25"/>
        <w:contextualSpacing/>
        <w:rPr>
          <w:b/>
          <w:szCs w:val="20"/>
        </w:rPr>
      </w:pPr>
      <w:r w:rsidRPr="003D49EB">
        <w:rPr>
          <w:b/>
          <w:szCs w:val="20"/>
        </w:rPr>
        <w:t>Corte IDH. Caso Poblete Vilches y otros Vs. Chile. Fondo, Reparaciones y Costas. Sentencia de 8 de marzo de 2018. Serie C No. 349</w:t>
      </w:r>
      <w:r w:rsidR="00623816">
        <w:rPr>
          <w:b/>
          <w:szCs w:val="20"/>
        </w:rPr>
        <w:t>.</w:t>
      </w:r>
    </w:p>
    <w:p w14:paraId="431D5C3D" w14:textId="77777777" w:rsidR="004F440B" w:rsidRPr="003D49EB" w:rsidRDefault="004F440B" w:rsidP="009A4683">
      <w:pPr>
        <w:tabs>
          <w:tab w:val="left" w:pos="709"/>
          <w:tab w:val="left" w:pos="10065"/>
        </w:tabs>
        <w:spacing w:after="100" w:afterAutospacing="1"/>
        <w:ind w:right="25"/>
        <w:contextualSpacing/>
        <w:rPr>
          <w:szCs w:val="20"/>
        </w:rPr>
      </w:pPr>
    </w:p>
    <w:p w14:paraId="586873BD" w14:textId="2736A712" w:rsidR="004F440B" w:rsidRPr="003D49EB" w:rsidRDefault="004F440B" w:rsidP="009A4683">
      <w:pPr>
        <w:tabs>
          <w:tab w:val="left" w:pos="709"/>
          <w:tab w:val="left" w:pos="10065"/>
        </w:tabs>
        <w:spacing w:after="100" w:afterAutospacing="1"/>
        <w:ind w:right="25"/>
        <w:contextualSpacing/>
        <w:rPr>
          <w:b/>
          <w:i/>
          <w:szCs w:val="20"/>
        </w:rPr>
      </w:pPr>
      <w:r w:rsidRPr="003D49EB">
        <w:rPr>
          <w:szCs w:val="20"/>
        </w:rPr>
        <w:t>152.</w:t>
      </w:r>
      <w:r w:rsidRPr="003D49EB">
        <w:rPr>
          <w:szCs w:val="20"/>
        </w:rPr>
        <w:tab/>
        <w:t>En relación con el artículo 5.1 de la Convención, la Corte ha establecido que la integridad personal se halla directa e inmediatamente vinculada con la atención a la salud humana</w:t>
      </w:r>
      <w:r w:rsidR="006A660B" w:rsidRPr="003D49EB">
        <w:rPr>
          <w:szCs w:val="20"/>
        </w:rPr>
        <w:t>,</w:t>
      </w:r>
      <w:r w:rsidRPr="003D49EB">
        <w:rPr>
          <w:szCs w:val="20"/>
        </w:rPr>
        <w:t xml:space="preserve"> y que la falta de atención médica adecuada puede conllevar la vulneración del artículo 5.1 de la Convención</w:t>
      </w:r>
      <w:r w:rsidR="006A660B" w:rsidRPr="003D49EB">
        <w:rPr>
          <w:szCs w:val="20"/>
        </w:rPr>
        <w:t>.</w:t>
      </w:r>
      <w:r w:rsidRPr="003D49EB">
        <w:rPr>
          <w:szCs w:val="20"/>
        </w:rPr>
        <w:t xml:space="preserve"> En este sentido, la Corte ha sostenido que la protección del derecho a la integridad personal supone la regulación de los servicios de salud en el ámbito interno, así como la implementación de una serie de mecanismos tendientes a tutelar la efectividad de dicha regulación</w:t>
      </w:r>
      <w:r w:rsidR="008B18CE" w:rsidRPr="003D49EB">
        <w:rPr>
          <w:szCs w:val="20"/>
        </w:rPr>
        <w:t xml:space="preserve"> </w:t>
      </w:r>
      <w:r w:rsidR="00632C28">
        <w:rPr>
          <w:szCs w:val="20"/>
        </w:rPr>
        <w:t>[...]</w:t>
      </w:r>
      <w:r w:rsidRPr="003D49EB">
        <w:rPr>
          <w:szCs w:val="20"/>
        </w:rPr>
        <w:t xml:space="preserve">. Por tanto, esta Corte ha señalado que, a los efectos de dar cumplimiento a la obligación de </w:t>
      </w:r>
      <w:r w:rsidRPr="003D49EB">
        <w:rPr>
          <w:szCs w:val="20"/>
        </w:rPr>
        <w:lastRenderedPageBreak/>
        <w:t>garantizar el derecho a la integridad personal y en el marco de la salud, los Estados deben establecer un marco normativo adecuado que regule la prestación de servicios de salud, estableciendo estándares de calidad para las instituciones públicas y privadas, que permita prevenir cualquier amenaza de vulneración a la integridad personal en dichas prestaciones.</w:t>
      </w:r>
      <w:r w:rsidR="00607AF4" w:rsidRPr="003D49EB">
        <w:rPr>
          <w:szCs w:val="20"/>
        </w:rPr>
        <w:t xml:space="preserve"> </w:t>
      </w:r>
      <w:r w:rsidR="006E5C73">
        <w:rPr>
          <w:rStyle w:val="EnelmismoCar"/>
        </w:rPr>
        <w:t>En similar sentido, ver entre otros</w:t>
      </w:r>
      <w:r w:rsidR="00607AF4" w:rsidRPr="003D49EB">
        <w:rPr>
          <w:rStyle w:val="EnelmismoCar"/>
        </w:rPr>
        <w:t xml:space="preserve">: Corte IDH. Caso Cuscul Pivaral y otros Vs. Guatemala. Excepción Preliminar, Fondo, Reparaciones y Costas. Sentencia de 23 de agosto de 2018, párr. </w:t>
      </w:r>
      <w:r w:rsidR="001C0D4E" w:rsidRPr="003D49EB">
        <w:rPr>
          <w:rStyle w:val="EnelmismoCar"/>
        </w:rPr>
        <w:t>161.</w:t>
      </w:r>
    </w:p>
    <w:p w14:paraId="3A2D02DC" w14:textId="77777777" w:rsidR="004F440B" w:rsidRPr="003D49EB" w:rsidRDefault="004F440B" w:rsidP="009A4683">
      <w:pPr>
        <w:tabs>
          <w:tab w:val="left" w:pos="709"/>
          <w:tab w:val="left" w:pos="10065"/>
        </w:tabs>
        <w:spacing w:after="100" w:afterAutospacing="1"/>
        <w:ind w:right="25"/>
        <w:contextualSpacing/>
        <w:rPr>
          <w:szCs w:val="20"/>
        </w:rPr>
      </w:pPr>
    </w:p>
    <w:p w14:paraId="6BD38CA8" w14:textId="04B054C5" w:rsidR="004F440B" w:rsidRPr="003D49EB" w:rsidRDefault="004F440B" w:rsidP="009A4683">
      <w:pPr>
        <w:tabs>
          <w:tab w:val="left" w:pos="709"/>
          <w:tab w:val="left" w:pos="10065"/>
        </w:tabs>
        <w:spacing w:after="100" w:afterAutospacing="1"/>
        <w:ind w:right="25"/>
        <w:contextualSpacing/>
        <w:rPr>
          <w:szCs w:val="20"/>
        </w:rPr>
      </w:pPr>
      <w:r w:rsidRPr="003D49EB">
        <w:rPr>
          <w:szCs w:val="20"/>
        </w:rPr>
        <w:t>155.</w:t>
      </w:r>
      <w:r w:rsidRPr="003D49EB">
        <w:rPr>
          <w:szCs w:val="20"/>
        </w:rPr>
        <w:tab/>
        <w:t xml:space="preserve">En el presente caso la Corte verificó distintas omisiones en la atención brindada que contribuyeron en el deterioro de la salud del señor Poblete Vilches </w:t>
      </w:r>
      <w:r w:rsidR="00632C28">
        <w:rPr>
          <w:szCs w:val="20"/>
        </w:rPr>
        <w:t>[...]</w:t>
      </w:r>
      <w:r w:rsidRPr="003D49EB">
        <w:rPr>
          <w:szCs w:val="20"/>
        </w:rPr>
        <w:t xml:space="preserve">. Dichas omisiones, varias de ellas reconocidas por el propio Estado, se dieron particularmente, tanto en el primer ingreso, con el alta temprana y la falta de información a los familiares respecto de la condición y cuidado del paciente, a fin de que pudieran advertir adecuadamente los signos de alarma y la manera de cómo responder, así como en el segundo ingreso con la negación de los servicios básicos que requería, y en su caso la ausencia de traslado a otro centro con disponibilidad. Particularmente, dichas situaciones derivaron en que, durante al menos cinco días, el señor Poblete Vilches experimentara diversos sufrimientos motivo de la desatención a sus particulares condiciones de salud </w:t>
      </w:r>
      <w:r w:rsidR="00632C28">
        <w:rPr>
          <w:szCs w:val="20"/>
        </w:rPr>
        <w:t>[...]</w:t>
      </w:r>
      <w:r w:rsidRPr="003D49EB">
        <w:rPr>
          <w:szCs w:val="20"/>
        </w:rPr>
        <w:t>. Al respecto, la Corte estima que tales hechos anteriormente enunciados constituyen una vulneración de su derecho a la integridad personal, así reconocido por el propio Estado.</w:t>
      </w:r>
    </w:p>
    <w:p w14:paraId="2DC807F6" w14:textId="77777777" w:rsidR="004F440B" w:rsidRPr="003D49EB" w:rsidRDefault="004F440B" w:rsidP="009A4683">
      <w:pPr>
        <w:tabs>
          <w:tab w:val="left" w:pos="709"/>
          <w:tab w:val="left" w:pos="10065"/>
        </w:tabs>
        <w:spacing w:after="100" w:afterAutospacing="1"/>
        <w:ind w:right="25"/>
        <w:contextualSpacing/>
        <w:rPr>
          <w:szCs w:val="20"/>
        </w:rPr>
      </w:pPr>
    </w:p>
    <w:p w14:paraId="6DE636D1" w14:textId="245F4ABE" w:rsidR="004F440B" w:rsidRPr="003D49EB" w:rsidRDefault="00AA0A16" w:rsidP="009A4683">
      <w:pPr>
        <w:tabs>
          <w:tab w:val="left" w:pos="709"/>
          <w:tab w:val="left" w:pos="10065"/>
        </w:tabs>
        <w:spacing w:after="100" w:afterAutospacing="1"/>
        <w:ind w:right="25"/>
        <w:contextualSpacing/>
        <w:rPr>
          <w:b/>
          <w:szCs w:val="20"/>
        </w:rPr>
      </w:pPr>
      <w:r w:rsidRPr="00D03D1F">
        <w:rPr>
          <w:b/>
          <w:bCs/>
          <w:szCs w:val="20"/>
          <w:lang w:val="es-CR"/>
        </w:rPr>
        <w:t>Corte IDH. Caso Cuscul Pivaral y otros Vs. Guatemala. Excepción Preliminar, Fondo, Reparaciones y Costas. Sentencia de 23 de agosto de 2018. Serie C No. 359</w:t>
      </w:r>
      <w:r>
        <w:rPr>
          <w:b/>
          <w:bCs/>
          <w:szCs w:val="20"/>
          <w:lang w:val="es-CR"/>
        </w:rPr>
        <w:t>.</w:t>
      </w:r>
      <w:r w:rsidRPr="00D03D1F">
        <w:rPr>
          <w:rStyle w:val="Refdenotaalpie"/>
          <w:b/>
          <w:bCs/>
          <w:lang w:val="es-CR"/>
        </w:rPr>
        <w:footnoteReference w:id="79"/>
      </w:r>
    </w:p>
    <w:p w14:paraId="33D1D096" w14:textId="77777777" w:rsidR="004F440B" w:rsidRPr="003D49EB" w:rsidRDefault="004F440B" w:rsidP="009A4683">
      <w:pPr>
        <w:tabs>
          <w:tab w:val="left" w:pos="709"/>
          <w:tab w:val="left" w:pos="10065"/>
        </w:tabs>
        <w:spacing w:after="100" w:afterAutospacing="1"/>
        <w:ind w:right="25"/>
        <w:contextualSpacing/>
        <w:rPr>
          <w:szCs w:val="20"/>
        </w:rPr>
      </w:pPr>
    </w:p>
    <w:p w14:paraId="133BCA42" w14:textId="1330D6A0" w:rsidR="004F440B" w:rsidRPr="003D49EB" w:rsidRDefault="004F440B" w:rsidP="009A4683">
      <w:pPr>
        <w:tabs>
          <w:tab w:val="left" w:pos="709"/>
          <w:tab w:val="left" w:pos="10065"/>
        </w:tabs>
        <w:spacing w:after="100" w:afterAutospacing="1"/>
        <w:ind w:right="25"/>
        <w:contextualSpacing/>
        <w:rPr>
          <w:rStyle w:val="EnelmismoCar"/>
        </w:rPr>
      </w:pPr>
      <w:r w:rsidRPr="003D49EB">
        <w:rPr>
          <w:szCs w:val="20"/>
        </w:rPr>
        <w:t>161.</w:t>
      </w:r>
      <w:r w:rsidRPr="003D49EB">
        <w:rPr>
          <w:szCs w:val="20"/>
        </w:rPr>
        <w:tab/>
        <w:t>Por otro lado, la Convención Americana reconoce expresamente el derecho a la integridad personal, física y psíquica, cuya infracción “es una clase de violación que tiene diversas connotaciones de grado y […] cuyas secuelas físicas y psíquicas varían de intensidad según los factores endógenos y exógenos que deberán ser demostrados en cada situación concreta”. La Corte ha establecido que la integridad personal se halla directa e inmediatamente vinculada con la atención a la salud humana</w:t>
      </w:r>
      <w:r w:rsidR="006A660B" w:rsidRPr="003D49EB">
        <w:rPr>
          <w:szCs w:val="20"/>
        </w:rPr>
        <w:t>,</w:t>
      </w:r>
      <w:r w:rsidRPr="003D49EB">
        <w:rPr>
          <w:szCs w:val="20"/>
        </w:rPr>
        <w:t xml:space="preserve"> y que la falta de atención médica adecuada puede conllevar la vulneración del artículo 5.1 de la Convención</w:t>
      </w:r>
      <w:r w:rsidR="006A660B" w:rsidRPr="003D49EB">
        <w:rPr>
          <w:szCs w:val="20"/>
        </w:rPr>
        <w:t>.</w:t>
      </w:r>
      <w:r w:rsidRPr="003D49EB">
        <w:rPr>
          <w:szCs w:val="20"/>
        </w:rPr>
        <w:t xml:space="preserve"> En este sentido, la Corte ha sostenido que la protección del derecho a la integridad personal supone la regulación de los servicios de salud en el ámbito interno, así como la implementación de una serie de mecanismos tendientes a tutelar la efectividad de dicha regulación. </w:t>
      </w:r>
      <w:r w:rsidR="006E5C73">
        <w:rPr>
          <w:rStyle w:val="EnelmismoCar"/>
        </w:rPr>
        <w:t>En similar sentido, ver entre otros</w:t>
      </w:r>
      <w:r w:rsidRPr="003D49EB">
        <w:rPr>
          <w:rStyle w:val="EnelmismoCar"/>
        </w:rPr>
        <w:t>: Caso Poblete Vilches y otros Vs. Chile. Fondo, Reparaciones y Costas. Sentencia de 8 de marzo de 2018. Serie C No. 349, párr. 152.</w:t>
      </w:r>
    </w:p>
    <w:p w14:paraId="77CB0F8E" w14:textId="77777777" w:rsidR="004F440B" w:rsidRPr="003D49EB" w:rsidRDefault="004F440B" w:rsidP="009A4683">
      <w:pPr>
        <w:tabs>
          <w:tab w:val="left" w:pos="709"/>
          <w:tab w:val="left" w:pos="10065"/>
        </w:tabs>
        <w:spacing w:after="100" w:afterAutospacing="1"/>
        <w:ind w:right="25"/>
        <w:contextualSpacing/>
        <w:rPr>
          <w:szCs w:val="20"/>
        </w:rPr>
      </w:pPr>
    </w:p>
    <w:p w14:paraId="4420A2A9" w14:textId="01BA2044" w:rsidR="004F440B" w:rsidRPr="003D49EB" w:rsidRDefault="004F440B" w:rsidP="009A4683">
      <w:pPr>
        <w:tabs>
          <w:tab w:val="left" w:pos="709"/>
          <w:tab w:val="left" w:pos="10065"/>
        </w:tabs>
        <w:spacing w:after="100" w:afterAutospacing="1"/>
        <w:ind w:right="25"/>
        <w:contextualSpacing/>
        <w:rPr>
          <w:szCs w:val="20"/>
        </w:rPr>
      </w:pPr>
      <w:r w:rsidRPr="003D49EB">
        <w:rPr>
          <w:szCs w:val="20"/>
        </w:rPr>
        <w:t>162.</w:t>
      </w:r>
      <w:r w:rsidRPr="003D49EB">
        <w:rPr>
          <w:szCs w:val="20"/>
        </w:rPr>
        <w:tab/>
        <w:t xml:space="preserve">En relación con el presente caso, la Corte advierte que los pacientes que viven con el VIH pueden experimentar graves sufrimientos, los cuales se producen como resultado de las secuelas físicas y psíquicas que conllevan las enfermedades </w:t>
      </w:r>
      <w:r w:rsidRPr="003D49EB">
        <w:rPr>
          <w:szCs w:val="20"/>
        </w:rPr>
        <w:lastRenderedPageBreak/>
        <w:t>oportunistas, y de factores sociales que resultan de su condición. Tal y como fue mencionado anteriormente, un adecuado tratamiento médico y apoyo social puede mitigar estos sufrimientos, tanto en su aspecto físico como psicológico. Al respecto, la Perito Olga Alicia Paz Bailey explicó que las enfermedades provocadas por el VIH/SIDA provocan dolor físico e impiden realizar actividades diarias, lo que hace a la persona ser estigmatizada y objeto de prejuicios sociales</w:t>
      </w:r>
      <w:r w:rsidR="006A660B" w:rsidRPr="003D49EB">
        <w:rPr>
          <w:szCs w:val="20"/>
        </w:rPr>
        <w:t>.</w:t>
      </w:r>
      <w:r w:rsidRPr="003D49EB">
        <w:rPr>
          <w:szCs w:val="20"/>
        </w:rPr>
        <w:t xml:space="preserve"> De esta forma:</w:t>
      </w:r>
    </w:p>
    <w:p w14:paraId="330D12C6" w14:textId="77777777" w:rsidR="004F440B" w:rsidRPr="003D49EB" w:rsidRDefault="004F440B" w:rsidP="009A4683">
      <w:pPr>
        <w:tabs>
          <w:tab w:val="left" w:pos="709"/>
          <w:tab w:val="left" w:pos="10065"/>
        </w:tabs>
        <w:spacing w:after="100" w:afterAutospacing="1"/>
        <w:ind w:right="25"/>
        <w:contextualSpacing/>
        <w:rPr>
          <w:szCs w:val="20"/>
        </w:rPr>
      </w:pPr>
    </w:p>
    <w:p w14:paraId="1796068E" w14:textId="102D9E0F" w:rsidR="004F440B" w:rsidRPr="003D49EB" w:rsidRDefault="004F440B" w:rsidP="009A4683">
      <w:pPr>
        <w:tabs>
          <w:tab w:val="left" w:pos="709"/>
          <w:tab w:val="left" w:pos="10065"/>
        </w:tabs>
        <w:spacing w:after="100" w:afterAutospacing="1"/>
        <w:ind w:left="1416" w:right="25"/>
        <w:contextualSpacing/>
        <w:rPr>
          <w:sz w:val="18"/>
          <w:szCs w:val="18"/>
        </w:rPr>
      </w:pPr>
      <w:r w:rsidRPr="003D49EB">
        <w:rPr>
          <w:sz w:val="18"/>
          <w:szCs w:val="18"/>
        </w:rPr>
        <w:t xml:space="preserve">Los padecimientos físicos experimentados por el individuo: adormecimiento en brazos y piernas, calambres, los miembros afectados no responde cuando los desea mover, nauseas, dolor de cabeza, fiebre, diarrea, cansancio, falta de fuerza física y el conjunto de enfermedades oportunistas que aprovechan el cuadro clínico se constituyen en signos de un cuerpo enfermo, que el paciente hará esfuerzos por ocultar, pues el estigma que pesa sobre el VIH Sida le condena a marginación, exclusión y discriminación; a esta altura, el sufrimiento somático se torna también psicológico: angustia, depresión, culpa, </w:t>
      </w:r>
      <w:proofErr w:type="spellStart"/>
      <w:r w:rsidRPr="003D49EB">
        <w:rPr>
          <w:sz w:val="18"/>
          <w:szCs w:val="18"/>
        </w:rPr>
        <w:t>culposidad</w:t>
      </w:r>
      <w:proofErr w:type="spellEnd"/>
      <w:r w:rsidRPr="003D49EB">
        <w:rPr>
          <w:sz w:val="18"/>
          <w:szCs w:val="18"/>
        </w:rPr>
        <w:t>, vergüenza.</w:t>
      </w:r>
    </w:p>
    <w:p w14:paraId="71863A25" w14:textId="77777777" w:rsidR="004F440B" w:rsidRPr="003D49EB" w:rsidRDefault="004F440B" w:rsidP="009A4683">
      <w:pPr>
        <w:tabs>
          <w:tab w:val="left" w:pos="709"/>
          <w:tab w:val="left" w:pos="10065"/>
        </w:tabs>
        <w:spacing w:after="100" w:afterAutospacing="1"/>
        <w:ind w:right="25"/>
        <w:contextualSpacing/>
        <w:rPr>
          <w:szCs w:val="20"/>
        </w:rPr>
      </w:pPr>
    </w:p>
    <w:p w14:paraId="45717F00" w14:textId="792F3782" w:rsidR="004F440B" w:rsidRPr="003D49EB" w:rsidRDefault="004F440B" w:rsidP="009A4683">
      <w:pPr>
        <w:tabs>
          <w:tab w:val="left" w:pos="709"/>
          <w:tab w:val="left" w:pos="10065"/>
        </w:tabs>
        <w:spacing w:after="100" w:afterAutospacing="1"/>
        <w:ind w:right="25"/>
        <w:contextualSpacing/>
        <w:rPr>
          <w:szCs w:val="20"/>
        </w:rPr>
      </w:pPr>
      <w:r w:rsidRPr="003D49EB">
        <w:rPr>
          <w:szCs w:val="20"/>
        </w:rPr>
        <w:t>163.</w:t>
      </w:r>
      <w:r w:rsidRPr="003D49EB">
        <w:rPr>
          <w:szCs w:val="20"/>
        </w:rPr>
        <w:tab/>
        <w:t xml:space="preserve">En relación con lo anterior, la Corte tiene por acreditado que 46 presuntas víctimas sufrieron secuelas físicas y psíquicas como resultado de su condición como personas que viven con VIH. De esta forma, por las mismas razones que fueron mencionadas en el acápite anterior </w:t>
      </w:r>
      <w:r w:rsidR="00632C28">
        <w:rPr>
          <w:szCs w:val="20"/>
        </w:rPr>
        <w:t>[...]</w:t>
      </w:r>
      <w:r w:rsidRPr="003D49EB">
        <w:rPr>
          <w:szCs w:val="20"/>
        </w:rPr>
        <w:t>, el Tribunal advierte la existencia de un nexo causal entre la falta de un adecuado tratamiento médico de las presuntas víctimas, y las secuelas físicas y psíquicas que sufrieron como personas que viven con el VIH. En efecto, el Estado, al no asegurar una terapia antirretroviral, realizar las pruebas diagnóstico correspondientes, y proveer apoyo social, lo cual habrían permitido a las presuntas víctimas mitigar o eliminar los factores endógenos y exógenos que fueron causa de sufrimientos físicos y psíquicos derivados de su condición como personas que viven con el VIH, es responsable por la vulneración a su derecho a la integridad personal. En consecuencia, el Estado es responsable por la violación al deber de garantía del derecho a la integridad personal contenido en el artículo 5.1 de la Convención Americana en perjuicio de 46 presuntas víctimas del caso</w:t>
      </w:r>
      <w:r w:rsidR="006A660B" w:rsidRPr="003D49EB">
        <w:rPr>
          <w:szCs w:val="20"/>
        </w:rPr>
        <w:t>.</w:t>
      </w:r>
      <w:r w:rsidRPr="003D49EB">
        <w:rPr>
          <w:szCs w:val="20"/>
        </w:rPr>
        <w:t xml:space="preserve"> Respecto al resto de las presuntas víctimas, la Corte carece de elementos para determinar si sufrieron secuelas físicas o psíquicas como personas que viven con el VIH</w:t>
      </w:r>
      <w:r w:rsidR="006A660B" w:rsidRPr="003D49EB">
        <w:rPr>
          <w:szCs w:val="20"/>
        </w:rPr>
        <w:t>.</w:t>
      </w:r>
    </w:p>
    <w:p w14:paraId="2E21E9A9" w14:textId="77777777" w:rsidR="004F440B" w:rsidRPr="003D49EB" w:rsidRDefault="004F440B" w:rsidP="009A4683">
      <w:pPr>
        <w:tabs>
          <w:tab w:val="left" w:pos="709"/>
          <w:tab w:val="left" w:pos="10065"/>
        </w:tabs>
        <w:spacing w:after="100" w:afterAutospacing="1"/>
        <w:ind w:right="25"/>
        <w:contextualSpacing/>
        <w:rPr>
          <w:szCs w:val="20"/>
        </w:rPr>
      </w:pPr>
    </w:p>
    <w:p w14:paraId="660DB6E2" w14:textId="77777777" w:rsidR="004F440B" w:rsidRPr="003D49EB" w:rsidRDefault="004F440B" w:rsidP="009A4683">
      <w:pPr>
        <w:tabs>
          <w:tab w:val="left" w:pos="709"/>
          <w:tab w:val="left" w:pos="10065"/>
        </w:tabs>
        <w:spacing w:after="100" w:afterAutospacing="1"/>
        <w:ind w:right="25"/>
        <w:contextualSpacing/>
        <w:rPr>
          <w:szCs w:val="20"/>
        </w:rPr>
      </w:pPr>
      <w:r w:rsidRPr="003D49EB">
        <w:rPr>
          <w:szCs w:val="20"/>
        </w:rPr>
        <w:t>164.</w:t>
      </w:r>
      <w:r w:rsidRPr="003D49EB">
        <w:rPr>
          <w:szCs w:val="20"/>
        </w:rPr>
        <w:tab/>
        <w:t>En consecuencia, el Estado es responsable por la violación al deber de garantía del derecho a la integridad personal contenido en el artículo 5.1 de la Convención Americana en perjuicio de [...].</w:t>
      </w:r>
    </w:p>
    <w:p w14:paraId="372DE8AC" w14:textId="77777777" w:rsidR="002D2ADC" w:rsidRPr="003D49EB" w:rsidRDefault="002D2ADC" w:rsidP="009A4683">
      <w:pPr>
        <w:tabs>
          <w:tab w:val="left" w:pos="709"/>
          <w:tab w:val="left" w:pos="10065"/>
        </w:tabs>
        <w:spacing w:after="100" w:afterAutospacing="1"/>
        <w:ind w:right="25"/>
        <w:contextualSpacing/>
        <w:rPr>
          <w:szCs w:val="20"/>
        </w:rPr>
      </w:pPr>
    </w:p>
    <w:p w14:paraId="7743EFE3" w14:textId="76C326A0" w:rsidR="00226095" w:rsidRDefault="00394425" w:rsidP="009A4683">
      <w:pPr>
        <w:pStyle w:val="Ttulo2"/>
      </w:pPr>
      <w:bookmarkStart w:id="65" w:name="_Toc530497996"/>
      <w:bookmarkStart w:id="66" w:name="_Toc88914996"/>
      <w:r w:rsidRPr="003D49EB">
        <w:t xml:space="preserve">Obligación de </w:t>
      </w:r>
      <w:r w:rsidR="00792130" w:rsidRPr="003D49EB">
        <w:t>otorgar asistencia básica en casos de desplazamiento</w:t>
      </w:r>
      <w:bookmarkEnd w:id="65"/>
      <w:bookmarkEnd w:id="66"/>
    </w:p>
    <w:p w14:paraId="37ADAC88" w14:textId="77777777" w:rsidR="00AA0A16" w:rsidRPr="00AA0A16" w:rsidRDefault="00AA0A16" w:rsidP="00AA0A16">
      <w:pPr>
        <w:rPr>
          <w:lang w:val="es-CR"/>
        </w:rPr>
      </w:pPr>
    </w:p>
    <w:p w14:paraId="1C46A74D" w14:textId="77777777" w:rsidR="00AA0A16" w:rsidRPr="00D03D1F" w:rsidRDefault="00AA0A16" w:rsidP="00AA0A16">
      <w:pPr>
        <w:rPr>
          <w:b/>
          <w:szCs w:val="20"/>
          <w:lang w:val="es-ES_tradnl"/>
        </w:rPr>
      </w:pPr>
      <w:r w:rsidRPr="00D03D1F">
        <w:rPr>
          <w:b/>
          <w:szCs w:val="20"/>
          <w:lang w:val="es-ES_tradnl"/>
        </w:rPr>
        <w:t>Corte IDH. Caso de las Comunidades Afrodescendientes desplazadas de la Cuenca del Río Cacarica (Operación Génesis) Vs. Colombia. Excepciones Preliminares, Fondo, Reparaciones y Costas. Sentencia de 20 de noviembre de 2013. Serie C No. 270</w:t>
      </w:r>
      <w:r>
        <w:rPr>
          <w:b/>
          <w:szCs w:val="20"/>
          <w:lang w:val="es-ES_tradnl"/>
        </w:rPr>
        <w:t>.</w:t>
      </w:r>
      <w:r w:rsidRPr="00D03D1F">
        <w:rPr>
          <w:rStyle w:val="Refdenotaalpie"/>
          <w:b/>
          <w:lang w:val="es-ES_tradnl"/>
        </w:rPr>
        <w:footnoteReference w:id="80"/>
      </w:r>
    </w:p>
    <w:p w14:paraId="0456DCC4" w14:textId="5D8CEA2C" w:rsidR="00394425" w:rsidRPr="003D49EB" w:rsidRDefault="00394425" w:rsidP="009A4683">
      <w:pPr>
        <w:spacing w:after="100" w:afterAutospacing="1"/>
        <w:rPr>
          <w:b/>
          <w:bCs/>
          <w:szCs w:val="20"/>
          <w:shd w:val="clear" w:color="auto" w:fill="FFFFFF"/>
        </w:rPr>
      </w:pPr>
      <w:r w:rsidRPr="003D49EB">
        <w:rPr>
          <w:b/>
          <w:bCs/>
          <w:szCs w:val="20"/>
          <w:shd w:val="clear" w:color="auto" w:fill="FFFFFF"/>
        </w:rPr>
        <w:lastRenderedPageBreak/>
        <w:t xml:space="preserve"> </w:t>
      </w:r>
    </w:p>
    <w:p w14:paraId="13600414" w14:textId="51A9A274" w:rsidR="00394425" w:rsidRPr="003D49EB" w:rsidRDefault="00394425" w:rsidP="009A4683">
      <w:pPr>
        <w:pStyle w:val="Prrafodelista"/>
        <w:autoSpaceDE w:val="0"/>
        <w:autoSpaceDN w:val="0"/>
        <w:adjustRightInd w:val="0"/>
        <w:spacing w:before="120" w:after="100" w:afterAutospacing="1"/>
        <w:ind w:left="0"/>
        <w:rPr>
          <w:rFonts w:cs="Verdana"/>
          <w:szCs w:val="20"/>
        </w:rPr>
      </w:pPr>
      <w:r w:rsidRPr="003D49EB">
        <w:rPr>
          <w:rFonts w:cs="Verdana"/>
          <w:szCs w:val="20"/>
        </w:rPr>
        <w:t>323.</w:t>
      </w:r>
      <w:r w:rsidRPr="003D49EB">
        <w:rPr>
          <w:rFonts w:cs="Verdana"/>
          <w:szCs w:val="20"/>
        </w:rPr>
        <w:tab/>
        <w:t>Las medidas de asistencia básicas proporcionadas por el Estado durante el período del desplazamiento fueron insuficientes, toda vez que las condiciones físicas y psíquicas que debieron enfrentar durante casi cuatro años no son acordes con estándares mínimos exigibles en este tipo de casos. El hacinamiento, la alimentación,</w:t>
      </w:r>
      <w:r w:rsidRPr="003D49EB">
        <w:rPr>
          <w:rFonts w:cs="Verdana"/>
          <w:i/>
          <w:szCs w:val="20"/>
        </w:rPr>
        <w:t xml:space="preserve"> </w:t>
      </w:r>
      <w:r w:rsidRPr="003D49EB">
        <w:rPr>
          <w:rFonts w:cs="Verdana"/>
          <w:szCs w:val="20"/>
        </w:rPr>
        <w:t>el</w:t>
      </w:r>
      <w:r w:rsidRPr="003D49EB">
        <w:rPr>
          <w:rFonts w:cs="Verdana"/>
          <w:i/>
          <w:szCs w:val="20"/>
        </w:rPr>
        <w:t xml:space="preserve"> </w:t>
      </w:r>
      <w:r w:rsidRPr="003D49EB">
        <w:rPr>
          <w:rFonts w:cs="Verdana"/>
          <w:szCs w:val="20"/>
        </w:rPr>
        <w:t xml:space="preserve">suministro y manejo del agua, así como la falta de adopción de medidas en materia de salud evidencian incumplimiento de las obligaciones estatales de protección con posterioridad al desplazamiento, con la consecuencia directa de la vulneración del derecho a la integridad personal de quienes sufrieron el desplazamiento forzado. </w:t>
      </w:r>
    </w:p>
    <w:p w14:paraId="73CA0CC3" w14:textId="77777777" w:rsidR="00890B82" w:rsidRPr="003D49EB" w:rsidRDefault="00890B82" w:rsidP="009A4683">
      <w:pPr>
        <w:pStyle w:val="Prrafodelista"/>
        <w:autoSpaceDE w:val="0"/>
        <w:autoSpaceDN w:val="0"/>
        <w:adjustRightInd w:val="0"/>
        <w:spacing w:before="120" w:after="100" w:afterAutospacing="1"/>
        <w:ind w:left="0"/>
        <w:rPr>
          <w:szCs w:val="20"/>
        </w:rPr>
      </w:pPr>
    </w:p>
    <w:p w14:paraId="58D9C19E" w14:textId="35D86F96" w:rsidR="002D2ADC" w:rsidRPr="0087427E" w:rsidRDefault="00394425" w:rsidP="009A4683">
      <w:pPr>
        <w:pStyle w:val="Prrafodelista"/>
        <w:autoSpaceDE w:val="0"/>
        <w:autoSpaceDN w:val="0"/>
        <w:adjustRightInd w:val="0"/>
        <w:spacing w:before="120" w:after="100" w:afterAutospacing="1"/>
        <w:ind w:left="0"/>
        <w:rPr>
          <w:rFonts w:cs="Verdana"/>
          <w:szCs w:val="20"/>
        </w:rPr>
      </w:pPr>
      <w:r w:rsidRPr="003D49EB">
        <w:rPr>
          <w:rFonts w:cs="Verdana"/>
          <w:szCs w:val="20"/>
        </w:rPr>
        <w:t>324.</w:t>
      </w:r>
      <w:r w:rsidRPr="003D49EB">
        <w:rPr>
          <w:rFonts w:cs="Verdana"/>
          <w:szCs w:val="20"/>
        </w:rPr>
        <w:tab/>
        <w:t xml:space="preserve">Por ende, el Estado ha incumplido sus obligaciones de </w:t>
      </w:r>
      <w:r w:rsidRPr="003D49EB">
        <w:rPr>
          <w:szCs w:val="20"/>
        </w:rPr>
        <w:t>garantizar la asistencia humanitaria</w:t>
      </w:r>
      <w:r w:rsidRPr="003D49EB">
        <w:rPr>
          <w:rFonts w:cs="Verdana"/>
          <w:szCs w:val="20"/>
        </w:rPr>
        <w:t xml:space="preserve"> y un retorno seguro, en el marco del derecho de circulación y residencia, y la protección del derecho a la integridad personal, reconocidos en los artículos 22.1 y 5.1 de la Convención Americana, en relación con el artículo 1.1 del mismo instrumento, en perjuicio de las comunidades del Cacarica que estuvieron en situación de desplazamiento forzado durante un período de tres a cuatro años. </w:t>
      </w:r>
    </w:p>
    <w:p w14:paraId="48E482AA" w14:textId="285C1414" w:rsidR="00386954" w:rsidRDefault="000445D1" w:rsidP="0094306A">
      <w:pPr>
        <w:pStyle w:val="Ttulo2"/>
      </w:pPr>
      <w:bookmarkStart w:id="67" w:name="_Toc530497997"/>
      <w:bookmarkStart w:id="68" w:name="_Toc88914997"/>
      <w:r w:rsidRPr="003D49EB">
        <w:t xml:space="preserve">Obligación de </w:t>
      </w:r>
      <w:r w:rsidR="0099227A" w:rsidRPr="003D49EB">
        <w:t>adoptar disposiciones de derecho interno (artículo 2)</w:t>
      </w:r>
      <w:bookmarkEnd w:id="67"/>
      <w:bookmarkEnd w:id="68"/>
    </w:p>
    <w:p w14:paraId="6F7B0217" w14:textId="77777777" w:rsidR="0094306A" w:rsidRPr="0094306A" w:rsidRDefault="0094306A" w:rsidP="0094306A">
      <w:pPr>
        <w:rPr>
          <w:lang w:val="es-CR"/>
        </w:rPr>
      </w:pPr>
    </w:p>
    <w:p w14:paraId="7149555A" w14:textId="36664E18" w:rsidR="00800384" w:rsidRPr="003D49EB" w:rsidRDefault="00386954" w:rsidP="009A4683">
      <w:pPr>
        <w:spacing w:after="100" w:afterAutospacing="1"/>
        <w:rPr>
          <w:szCs w:val="20"/>
        </w:rPr>
      </w:pPr>
      <w:r w:rsidRPr="003D49EB">
        <w:rPr>
          <w:b/>
          <w:szCs w:val="20"/>
        </w:rPr>
        <w:t xml:space="preserve">Corte IDH. Caso </w:t>
      </w:r>
      <w:proofErr w:type="spellStart"/>
      <w:r w:rsidRPr="003D49EB">
        <w:rPr>
          <w:b/>
          <w:szCs w:val="20"/>
        </w:rPr>
        <w:t>Caesar</w:t>
      </w:r>
      <w:proofErr w:type="spellEnd"/>
      <w:r w:rsidRPr="003D49EB">
        <w:rPr>
          <w:b/>
          <w:szCs w:val="20"/>
        </w:rPr>
        <w:t xml:space="preserve"> Vs. Trinidad y Tobago. Fondo, Reparaciones y Costas. Sentencia de 11 de marzo de 2005. Serie C No. 123.</w:t>
      </w:r>
      <w:r w:rsidR="00800384" w:rsidRPr="003D49EB">
        <w:rPr>
          <w:b/>
          <w:szCs w:val="20"/>
        </w:rPr>
        <w:t xml:space="preserve"> </w:t>
      </w:r>
    </w:p>
    <w:p w14:paraId="255C5283" w14:textId="77777777" w:rsidR="00800384" w:rsidRPr="003D49EB" w:rsidRDefault="00800384" w:rsidP="009A4683">
      <w:pPr>
        <w:spacing w:after="100" w:afterAutospacing="1"/>
        <w:rPr>
          <w:szCs w:val="20"/>
        </w:rPr>
      </w:pPr>
      <w:r w:rsidRPr="003D49EB">
        <w:rPr>
          <w:szCs w:val="20"/>
        </w:rPr>
        <w:t>91.</w:t>
      </w:r>
      <w:r w:rsidRPr="003D49EB">
        <w:rPr>
          <w:szCs w:val="20"/>
        </w:rPr>
        <w:tab/>
        <w:t>Al interpretar el artículo 2 de la Convención, la Corte ha considerado que:</w:t>
      </w:r>
    </w:p>
    <w:p w14:paraId="61D625F5" w14:textId="5E097EE5" w:rsidR="00800384" w:rsidRPr="003D49EB" w:rsidRDefault="00800384" w:rsidP="009A4683">
      <w:pPr>
        <w:pStyle w:val="NormalNumbered"/>
        <w:spacing w:line="240" w:lineRule="auto"/>
      </w:pPr>
      <w:r w:rsidRPr="003D49EB">
        <w:t>[s]i los Estados tienen, de acuerdo con el artículo 2 de la Convención Americana, la obligación positiva de adoptar las medidas legislativas que fueren necesarias para garantizar el ejercicio de los derechos reconocidos por la Convención, con mayor razón están en la obligación de no expedir leyes que desconozcan esos derechos u obstaculicen su ejercicio, y la de suprimir o modificar las que tengan estos últimos alcances.</w:t>
      </w:r>
      <w:r w:rsidR="008B18CE" w:rsidRPr="003D49EB">
        <w:t xml:space="preserve"> </w:t>
      </w:r>
      <w:r w:rsidRPr="003D49EB">
        <w:t>De lo contrario, incurren en violación del artículo 2 de la Convención.</w:t>
      </w:r>
    </w:p>
    <w:p w14:paraId="6F7B14F2" w14:textId="77777777" w:rsidR="00800384" w:rsidRPr="003D49EB" w:rsidRDefault="00800384" w:rsidP="009A4683">
      <w:pPr>
        <w:spacing w:after="100" w:afterAutospacing="1"/>
        <w:rPr>
          <w:szCs w:val="20"/>
        </w:rPr>
      </w:pPr>
      <w:r w:rsidRPr="003D49EB">
        <w:rPr>
          <w:szCs w:val="20"/>
        </w:rPr>
        <w:t>92.</w:t>
      </w:r>
      <w:r w:rsidRPr="003D49EB">
        <w:rPr>
          <w:szCs w:val="20"/>
        </w:rPr>
        <w:tab/>
        <w:t xml:space="preserve">Las violaciones del artículo 5.1 y 5.2 de la Convención, en perjuicio del señor </w:t>
      </w:r>
      <w:proofErr w:type="spellStart"/>
      <w:r w:rsidRPr="003D49EB">
        <w:rPr>
          <w:szCs w:val="20"/>
        </w:rPr>
        <w:t>Caesar</w:t>
      </w:r>
      <w:proofErr w:type="spellEnd"/>
      <w:r w:rsidRPr="003D49EB">
        <w:rPr>
          <w:szCs w:val="20"/>
        </w:rPr>
        <w:t>, resultaron no sólo de las acciones y omisiones de los agentes estatales sino, primordialmente, de la existencia misma y de los términos</w:t>
      </w:r>
      <w:r w:rsidR="000445D1" w:rsidRPr="003D49EB">
        <w:rPr>
          <w:szCs w:val="20"/>
        </w:rPr>
        <w:t xml:space="preserve"> de la Ley de Penas Corporales […]</w:t>
      </w:r>
      <w:r w:rsidRPr="003D49EB">
        <w:rPr>
          <w:szCs w:val="20"/>
        </w:rPr>
        <w:t>.</w:t>
      </w:r>
    </w:p>
    <w:p w14:paraId="5FDF8C29" w14:textId="77777777" w:rsidR="00800384" w:rsidRPr="003D49EB" w:rsidRDefault="00800384" w:rsidP="009A4683">
      <w:pPr>
        <w:spacing w:after="100" w:afterAutospacing="1"/>
        <w:rPr>
          <w:szCs w:val="20"/>
        </w:rPr>
      </w:pPr>
      <w:r w:rsidRPr="003D49EB">
        <w:rPr>
          <w:szCs w:val="20"/>
        </w:rPr>
        <w:t>93.</w:t>
      </w:r>
      <w:r w:rsidRPr="003D49EB">
        <w:rPr>
          <w:szCs w:val="20"/>
        </w:rPr>
        <w:tab/>
        <w:t>La Corte ha declarado que dicha ley es incompatible con el artículo 5 de la Convención Americana. Una vez que la Convención entró en vigor para Trinidad y Tobago, el Estado debió haber adaptado su legislación de conformidad con las obligaciones contenidas en dicho tratado, con el fin de asegurar la más efectiva protección de los derechos humanos consagrados en la misma.</w:t>
      </w:r>
      <w:r w:rsidR="008B18CE" w:rsidRPr="003D49EB">
        <w:rPr>
          <w:szCs w:val="20"/>
        </w:rPr>
        <w:t xml:space="preserve"> </w:t>
      </w:r>
      <w:r w:rsidRPr="003D49EB">
        <w:rPr>
          <w:szCs w:val="20"/>
        </w:rPr>
        <w:t>Es necesario reafirmar que, de conformidad con el artículo 2 de la Convención, la obligación de adaptar la legislación interna es, por su propia naturaleza, una de resultado y, consecuentemente, la denuncia de la Convención por parte del Estado no puede extinguir las obligaciones internacionales por éste asumidas mientras el tratado se encontraba en vigencia.</w:t>
      </w:r>
      <w:r w:rsidR="008B18CE" w:rsidRPr="003D49EB">
        <w:rPr>
          <w:szCs w:val="20"/>
        </w:rPr>
        <w:t xml:space="preserve"> </w:t>
      </w:r>
      <w:r w:rsidRPr="003D49EB">
        <w:rPr>
          <w:szCs w:val="20"/>
        </w:rPr>
        <w:t>Dichas obligaciones tienen un carácter autónomo y automático, y no dependen de ninguna declaración de los órganos de supervisión de la Convención respecto de una legislación interna específica.</w:t>
      </w:r>
    </w:p>
    <w:p w14:paraId="1E10F1AA" w14:textId="77777777" w:rsidR="00800384" w:rsidRPr="003D49EB" w:rsidRDefault="00800384" w:rsidP="009A4683">
      <w:pPr>
        <w:spacing w:after="100" w:afterAutospacing="1"/>
        <w:rPr>
          <w:szCs w:val="20"/>
        </w:rPr>
      </w:pPr>
      <w:r w:rsidRPr="003D49EB">
        <w:rPr>
          <w:szCs w:val="20"/>
        </w:rPr>
        <w:lastRenderedPageBreak/>
        <w:t>94.</w:t>
      </w:r>
      <w:r w:rsidRPr="003D49EB">
        <w:rPr>
          <w:szCs w:val="20"/>
        </w:rPr>
        <w:tab/>
        <w:t>Al haber declarado la incompatibilidad de la Ley de Penas Corporales con la Convención Americana, y por el hecho de que el Estado no derogó o de cualquier manera anuló dicha ley después de la ratificación de la Convención, la Corte debe declarar que Trinidad y Tobago incumplió con las obligaciones establecidas en el artículo 2 de la Convención, en relación con el artículo 5.1 y 5.2 de la misma.</w:t>
      </w:r>
    </w:p>
    <w:p w14:paraId="0B13C866" w14:textId="3DFFE815" w:rsidR="001E7BFA" w:rsidRPr="003D49EB" w:rsidRDefault="009329C3" w:rsidP="009A4683">
      <w:pPr>
        <w:spacing w:after="100" w:afterAutospacing="1"/>
        <w:rPr>
          <w:b/>
          <w:szCs w:val="20"/>
        </w:rPr>
      </w:pPr>
      <w:r w:rsidRPr="009329C3">
        <w:rPr>
          <w:b/>
          <w:szCs w:val="20"/>
        </w:rPr>
        <w:t>Corte IDH. Caso Albán Cornejo y otros Vs. Ecuador. Fondo, Reparaciones y Costas. Sentencia de 22 de noviembre de 2007. Serie C No. 171.</w:t>
      </w:r>
      <w:r w:rsidR="001E7BFA" w:rsidRPr="003D49EB">
        <w:rPr>
          <w:b/>
          <w:szCs w:val="20"/>
        </w:rPr>
        <w:t xml:space="preserve"> </w:t>
      </w:r>
    </w:p>
    <w:p w14:paraId="10FBA908" w14:textId="77777777" w:rsidR="001E7BFA" w:rsidRPr="003D49EB" w:rsidRDefault="001E7BFA" w:rsidP="009A4683">
      <w:pPr>
        <w:spacing w:after="100" w:afterAutospacing="1"/>
        <w:rPr>
          <w:szCs w:val="20"/>
        </w:rPr>
      </w:pPr>
      <w:r w:rsidRPr="003D49EB">
        <w:rPr>
          <w:szCs w:val="20"/>
        </w:rPr>
        <w:t>135.</w:t>
      </w:r>
      <w:r w:rsidRPr="003D49EB">
        <w:rPr>
          <w:szCs w:val="20"/>
        </w:rPr>
        <w:tab/>
        <w:t>En el presente caso, se aduce la inexistencia o la deficiencia de normas sobre mala praxis médica.</w:t>
      </w:r>
      <w:r w:rsidR="008B18CE" w:rsidRPr="003D49EB">
        <w:rPr>
          <w:szCs w:val="20"/>
        </w:rPr>
        <w:t xml:space="preserve"> </w:t>
      </w:r>
      <w:r w:rsidRPr="003D49EB">
        <w:rPr>
          <w:szCs w:val="20"/>
        </w:rPr>
        <w:t>Desde luego, los Estados deben adoptar las medidas necesarias, entre ellas, la emisión de normas penales y el establecimiento de un sistema de justicia para evitar y sancionar la vulneración de derechos fundamentales, como la vida y la integridad personal.</w:t>
      </w:r>
      <w:r w:rsidR="008B18CE" w:rsidRPr="003D49EB">
        <w:rPr>
          <w:szCs w:val="20"/>
        </w:rPr>
        <w:t xml:space="preserve"> </w:t>
      </w:r>
      <w:r w:rsidRPr="003D49EB">
        <w:rPr>
          <w:szCs w:val="20"/>
        </w:rPr>
        <w:t>Por lo que toca a la materia penal sustantiva, ese propósito se proyecta en la inclusión de tipos penales adecuados sujetos a las reglas de legalidad penal, atentos a las exigencias del derecho punitivo en una sociedad democrática y suficientes para la protección, desde la perspectiva penal, de los bienes y valores tutelados. Y por lo que atañe a la materia penal procesal, es preciso disponer de medios expeditos para el acceso a la justicia y la plena y oportuna satisfacción de las pretensiones legítimas.</w:t>
      </w:r>
    </w:p>
    <w:p w14:paraId="21903F52" w14:textId="77777777" w:rsidR="001E7BFA" w:rsidRPr="003D49EB" w:rsidRDefault="001E7BFA" w:rsidP="009A4683">
      <w:pPr>
        <w:spacing w:after="100" w:afterAutospacing="1"/>
        <w:rPr>
          <w:szCs w:val="20"/>
        </w:rPr>
      </w:pPr>
      <w:r w:rsidRPr="003D49EB">
        <w:rPr>
          <w:szCs w:val="20"/>
        </w:rPr>
        <w:t xml:space="preserve">136. </w:t>
      </w:r>
      <w:r w:rsidRPr="003D49EB">
        <w:rPr>
          <w:szCs w:val="20"/>
        </w:rPr>
        <w:tab/>
        <w:t>La mala praxis médica suele ser considerada dentro de los tipos penales de lesiones u homicidio.</w:t>
      </w:r>
      <w:r w:rsidR="008B18CE" w:rsidRPr="003D49EB">
        <w:rPr>
          <w:szCs w:val="20"/>
        </w:rPr>
        <w:t xml:space="preserve"> </w:t>
      </w:r>
      <w:r w:rsidRPr="003D49EB">
        <w:rPr>
          <w:szCs w:val="20"/>
        </w:rPr>
        <w:t>No parece indispensable instituir tipos específicos sobre aquélla si basta con las figuras generales y existen reglas pertinentes para la consideración judicial de la gravedad del delito, las circunstancias en que éste fue cometido y la culpabilidad del agente.</w:t>
      </w:r>
      <w:r w:rsidR="008B18CE" w:rsidRPr="003D49EB">
        <w:rPr>
          <w:szCs w:val="20"/>
        </w:rPr>
        <w:t xml:space="preserve"> </w:t>
      </w:r>
      <w:r w:rsidRPr="003D49EB">
        <w:rPr>
          <w:szCs w:val="20"/>
        </w:rPr>
        <w:t>Sin embargo, corresponde al propio Estado decidir la mejor forma de resolver, en este campo, las necesidades de la punición, puesto que no existe acuerdo vinculante acerca de la formulación del tipo, como los hay en otros casos en que los elementos esenciales de la figura penal e inclusive la precisión de tipos autónomos se hallan previstos en instrumentos internacionales, así por ejemplo, genocidio, tortura, desaparición forzada, etc.</w:t>
      </w:r>
    </w:p>
    <w:p w14:paraId="35D9F519" w14:textId="7F65B5F4" w:rsidR="000C47B9" w:rsidRPr="003D49EB" w:rsidRDefault="00BB58A8" w:rsidP="009A4683">
      <w:pPr>
        <w:spacing w:after="100" w:afterAutospacing="1"/>
        <w:ind w:right="-7"/>
        <w:rPr>
          <w:b/>
          <w:bCs/>
          <w:szCs w:val="20"/>
          <w:shd w:val="clear" w:color="auto" w:fill="FFFFFF"/>
        </w:rPr>
      </w:pPr>
      <w:r w:rsidRPr="00BB58A8">
        <w:rPr>
          <w:b/>
          <w:bCs/>
          <w:szCs w:val="20"/>
          <w:shd w:val="clear" w:color="auto" w:fill="FFFFFF"/>
        </w:rPr>
        <w:t xml:space="preserve">Corte IDH. Caso </w:t>
      </w:r>
      <w:proofErr w:type="spellStart"/>
      <w:r w:rsidRPr="00BB58A8">
        <w:rPr>
          <w:b/>
          <w:bCs/>
          <w:szCs w:val="20"/>
          <w:shd w:val="clear" w:color="auto" w:fill="FFFFFF"/>
        </w:rPr>
        <w:t>Nadege</w:t>
      </w:r>
      <w:proofErr w:type="spellEnd"/>
      <w:r w:rsidRPr="00BB58A8">
        <w:rPr>
          <w:b/>
          <w:bCs/>
          <w:szCs w:val="20"/>
          <w:shd w:val="clear" w:color="auto" w:fill="FFFFFF"/>
        </w:rPr>
        <w:t xml:space="preserve"> </w:t>
      </w:r>
      <w:proofErr w:type="spellStart"/>
      <w:r w:rsidRPr="00BB58A8">
        <w:rPr>
          <w:b/>
          <w:bCs/>
          <w:szCs w:val="20"/>
          <w:shd w:val="clear" w:color="auto" w:fill="FFFFFF"/>
        </w:rPr>
        <w:t>Dorzema</w:t>
      </w:r>
      <w:proofErr w:type="spellEnd"/>
      <w:r w:rsidRPr="00BB58A8">
        <w:rPr>
          <w:b/>
          <w:bCs/>
          <w:szCs w:val="20"/>
          <w:shd w:val="clear" w:color="auto" w:fill="FFFFFF"/>
        </w:rPr>
        <w:t xml:space="preserve"> y otros Vs. República Dominicana. Fondo, Reparaciones y Costas. Sentencia de 24 de octubre de 2012. Serie C No. 251.</w:t>
      </w:r>
    </w:p>
    <w:p w14:paraId="059C7E6D" w14:textId="10D183A6" w:rsidR="000C47B9" w:rsidRPr="003D49EB" w:rsidRDefault="000C47B9" w:rsidP="009A4683">
      <w:r w:rsidRPr="003D49EB">
        <w:t>82.</w:t>
      </w:r>
      <w:r w:rsidRPr="003D49EB">
        <w:tab/>
        <w:t>En razón de lo anterior, el Estado no cumplió con su obligación de garantizar los derechos a la vida y a la integridad personal mediante una adecuada legislación sobre el uso de la fuerza, tampoco demostró haber brindado capacitación y entrenamiento en la materia a los agentes encargados de hacer cumplir la ley y en específico a los agentes involucrados en los hechos del caso […], en contravención del deber de garantía de los derechos a la vida y a la integridad personal, en conexión con el artículo 1.1 y de adopción de medidas de derecho interno, dispuesto en e</w:t>
      </w:r>
      <w:r w:rsidR="00BF2C46" w:rsidRPr="003D49EB">
        <w:t xml:space="preserve">l artículo 2 de la Convención. </w:t>
      </w:r>
    </w:p>
    <w:p w14:paraId="50B43917" w14:textId="77777777" w:rsidR="00483901" w:rsidRPr="003D49EB" w:rsidRDefault="00483901" w:rsidP="009A4683"/>
    <w:p w14:paraId="5FAAD3DE" w14:textId="43E6283C" w:rsidR="001E7BFA" w:rsidRPr="003D49EB" w:rsidRDefault="00483901" w:rsidP="009A4683">
      <w:pPr>
        <w:pStyle w:val="Caso"/>
        <w:tabs>
          <w:tab w:val="clear" w:pos="6042"/>
        </w:tabs>
        <w:spacing w:after="100" w:afterAutospacing="1"/>
        <w:rPr>
          <w:b w:val="0"/>
        </w:rPr>
      </w:pPr>
      <w:r w:rsidRPr="003D49EB">
        <w:t xml:space="preserve">Corte IDH. Caso </w:t>
      </w:r>
      <w:proofErr w:type="spellStart"/>
      <w:r w:rsidRPr="003D49EB">
        <w:t>Quispialaya</w:t>
      </w:r>
      <w:proofErr w:type="spellEnd"/>
      <w:r w:rsidRPr="003D49EB">
        <w:t xml:space="preserve"> </w:t>
      </w:r>
      <w:proofErr w:type="spellStart"/>
      <w:r w:rsidRPr="003D49EB">
        <w:t>Vilcapoma</w:t>
      </w:r>
      <w:proofErr w:type="spellEnd"/>
      <w:r w:rsidRPr="003D49EB">
        <w:t xml:space="preserve"> Vs. Perú. Excepciones Preliminares, Fondo, Reparaciones y Costas. Sentencia de 23 de noviembre de 2015. Serie C No. 308.</w:t>
      </w:r>
    </w:p>
    <w:p w14:paraId="378ED54C" w14:textId="5D0C251A" w:rsidR="001E7BFA" w:rsidRDefault="001E7BFA" w:rsidP="009A4683">
      <w:r w:rsidRPr="003D49EB">
        <w:t>219.</w:t>
      </w:r>
      <w:r w:rsidRPr="003D49EB">
        <w:tab/>
        <w:t xml:space="preserve">En relación con el artículo 2 de la Convención Americana, el Tribunal ha indicado que el mismo obliga a los Estados Parte a adoptar, con arreglo a sus procedimientos constitucionales y a las disposiciones de la Convención, las medidas legislativas o de otro carácter que fueren necesarias para hacer efectivos los derechos y libertades protegidos por la Convención. Es decir, los Estados no sólo tienen la obligación positiva de adoptar las medidas necesarias para garantizar el ejercicio de los derechos en ella consagrados, sino que también deben evitar promulgar aquellas </w:t>
      </w:r>
      <w:r w:rsidRPr="003D49EB">
        <w:lastRenderedPageBreak/>
        <w:t>normas que impidan el libre ejercicio de estos derechos, y evitar que se supriman o modifiquen las normas que los protegen.</w:t>
      </w:r>
    </w:p>
    <w:p w14:paraId="35F83887" w14:textId="77777777" w:rsidR="0094306A" w:rsidRPr="003D49EB" w:rsidRDefault="0094306A" w:rsidP="009A4683"/>
    <w:p w14:paraId="7D99A2CA" w14:textId="0E9D63F8" w:rsidR="001E7BFA" w:rsidRDefault="001E7BFA" w:rsidP="009A4683">
      <w:r w:rsidRPr="003D49EB">
        <w:t>222.</w:t>
      </w:r>
      <w:r w:rsidRPr="003D49EB">
        <w:tab/>
        <w:t xml:space="preserve">De la lectura del artículo 6 de la Convención Interamericana contra la Tortura se desprende la obligación de los Estados partes de “tomar medidas efectivas para prevenir y sancionar” dichas conductas “en el ámbito de su jurisdicción”. Lo anterior refleja el carácter de prohibición absoluta de la tortura y los tratos crueles, inhumanos o degradantes en el derecho internacional […]. </w:t>
      </w:r>
    </w:p>
    <w:p w14:paraId="4710DB2A" w14:textId="77777777" w:rsidR="0094306A" w:rsidRPr="003D49EB" w:rsidRDefault="0094306A" w:rsidP="009A4683"/>
    <w:p w14:paraId="0A072BF4" w14:textId="6CB4AB54" w:rsidR="001E7BFA" w:rsidRDefault="001E7BFA" w:rsidP="009A4683">
      <w:r w:rsidRPr="003D49EB">
        <w:t>223.</w:t>
      </w:r>
      <w:r w:rsidRPr="003D49EB">
        <w:tab/>
        <w:t>De una lectura literal de la norma se percibe un trato diferencial entre las figuras de tortura y otros tratos crueles inhumanos o degradantes, lo que se evidencia en los distintos deberes que la Convención impone a los Estados en relación a cada una. En el segundo párrafo del artículo 6 se impone a los Estados la obligación expresa de adaptar su legislación a efectos que los actos de tortura constituyan un delito tipificado en su legislación interna. En lo que respecta a otros tratos o penas crueles, inhumanos o degradantes se establece el deber de adoptar medidas para prevenir y sancionarlas, sin expresar la necesidad de establecer un delito específico a tal fin. De este modo, la Corte estima que la prevención y persecución de este tipo de hechos puede llevarse a cabo mediante la utilización de otros tipos penales no específicos, en tanto resulten idóneos.</w:t>
      </w:r>
    </w:p>
    <w:p w14:paraId="6A1DA3E2" w14:textId="77777777" w:rsidR="0094306A" w:rsidRPr="003D49EB" w:rsidRDefault="0094306A" w:rsidP="009A4683"/>
    <w:p w14:paraId="502DD9D3" w14:textId="0E250460" w:rsidR="001E7BFA" w:rsidRDefault="001E7BFA" w:rsidP="009A4683">
      <w:r w:rsidRPr="003D49EB">
        <w:t>229.</w:t>
      </w:r>
      <w:r w:rsidRPr="003D49EB">
        <w:tab/>
        <w:t>De esta forma, tras considerar que no existe una obligación convencional</w:t>
      </w:r>
      <w:r w:rsidR="008B18CE" w:rsidRPr="003D49EB">
        <w:t xml:space="preserve"> </w:t>
      </w:r>
      <w:r w:rsidRPr="003D49EB">
        <w:t xml:space="preserve">explícita de tipificar los tratos crueles, inhumanos o degradantes como un mecanismo para prevenir y sancionar dicha conducta, la Corte procederá a resolver: 1) si la normativa penal peruana era adecuada para prevenir los tratos crueles, inhumanos o degradantes y garantizar la investigación, juzgamiento y, en su caso, sanción de los responsables, y 2) si la aplicación de un delito menos grave por parte de las autoridades fiscales y judiciales, como por ejemplo el delito de lesiones o incluso abuso de autoridad, tendría impacto en la posibilidad de sancionar e investigar adecuadamente el delito de tortura y si eso facilitaría la aplicación de figuras tales como la prescripción y, como consecuencia, la impunidad. </w:t>
      </w:r>
    </w:p>
    <w:p w14:paraId="3D25803C" w14:textId="77777777" w:rsidR="0094306A" w:rsidRPr="003D49EB" w:rsidRDefault="0094306A" w:rsidP="009A4683"/>
    <w:p w14:paraId="0A0A579C" w14:textId="62B561D3" w:rsidR="001E7BFA" w:rsidRDefault="001E7BFA" w:rsidP="009A4683">
      <w:r w:rsidRPr="003D49EB">
        <w:t>234.</w:t>
      </w:r>
      <w:r w:rsidRPr="003D49EB">
        <w:tab/>
        <w:t>La utilización de una calificación u otra obedece a la naturaleza de los hechos investigados, dependiendo de si estos cumplen con los elementos propios requeridos por cada tipo. El hecho que la figura de tortura se reserve para casos de extrema gravedad no implica per se que un caso de lesiones sea considerado como menos serio, o una distinción en relación con las obligaciones de investigar, juzgar y sancionar actos que vulneren derechos contemplados en la Convención. Por lo contario, la equivalencia en las penas deja entrever que un caso catalogado como lesiones graves puede resultar igualmente relevante que uno por tortura desde el punto de vista punitivo. Por lo expuesto, puede concluirse que el delito de lesiones graves no viola per se la obligación de prevenir y sancionar los tratos crueles, inhumanos o degradantes bajo esa óptica.</w:t>
      </w:r>
    </w:p>
    <w:p w14:paraId="6376C84C" w14:textId="77777777" w:rsidR="0094306A" w:rsidRPr="003D49EB" w:rsidRDefault="0094306A" w:rsidP="009A4683"/>
    <w:p w14:paraId="19037A70" w14:textId="5EEEF3FC" w:rsidR="00C257FF" w:rsidRPr="0094306A" w:rsidRDefault="001E7BFA" w:rsidP="0094306A">
      <w:r w:rsidRPr="003D49EB">
        <w:t>239.</w:t>
      </w:r>
      <w:r w:rsidRPr="003D49EB">
        <w:tab/>
        <w:t xml:space="preserve">Por todo lo anterior, la Corte no ha establecido que el Estado del Perú haya incumplido el artículo 2 de la Convención Americana sobre Derechos Humanos y el artículo 6 de la Convención Interamericana para Prevenir y Sancionar la Tortura. </w:t>
      </w:r>
    </w:p>
    <w:p w14:paraId="7485D76A" w14:textId="17C4D3FE" w:rsidR="00EA36A9" w:rsidRDefault="005E0916" w:rsidP="0087427E">
      <w:pPr>
        <w:pStyle w:val="Ttulo2"/>
      </w:pPr>
      <w:bookmarkStart w:id="69" w:name="_Toc530497998"/>
      <w:bookmarkStart w:id="70" w:name="_Toc88914998"/>
      <w:r w:rsidRPr="003D49EB">
        <w:t>Obligación de prevención</w:t>
      </w:r>
      <w:bookmarkEnd w:id="69"/>
      <w:bookmarkEnd w:id="70"/>
    </w:p>
    <w:p w14:paraId="750578E8" w14:textId="77777777" w:rsidR="0087427E" w:rsidRPr="0087427E" w:rsidRDefault="0087427E" w:rsidP="0087427E">
      <w:pPr>
        <w:rPr>
          <w:lang w:val="es-CR"/>
        </w:rPr>
      </w:pPr>
    </w:p>
    <w:p w14:paraId="115F8307" w14:textId="5C854EBD" w:rsidR="005E0916" w:rsidRPr="003D49EB" w:rsidRDefault="00EA36A9" w:rsidP="009A4683">
      <w:pPr>
        <w:spacing w:after="100" w:afterAutospacing="1"/>
        <w:rPr>
          <w:b/>
          <w:szCs w:val="20"/>
        </w:rPr>
      </w:pPr>
      <w:r w:rsidRPr="003D49EB">
        <w:rPr>
          <w:b/>
          <w:szCs w:val="20"/>
        </w:rPr>
        <w:t>Corte IDH. Caso de la Masacre de Pueblo Bello Vs. Colombia. Sentencia de 31 de enero de 2006. Serie C No. 140.</w:t>
      </w:r>
    </w:p>
    <w:p w14:paraId="18324E68" w14:textId="77777777" w:rsidR="005E0916" w:rsidRPr="003D49EB" w:rsidRDefault="005E0916" w:rsidP="009A4683">
      <w:pPr>
        <w:spacing w:after="100" w:afterAutospacing="1"/>
        <w:rPr>
          <w:szCs w:val="20"/>
        </w:rPr>
      </w:pPr>
      <w:r w:rsidRPr="003D49EB">
        <w:rPr>
          <w:szCs w:val="20"/>
        </w:rPr>
        <w:t>140.</w:t>
      </w:r>
      <w:r w:rsidRPr="003D49EB">
        <w:rPr>
          <w:b/>
          <w:szCs w:val="20"/>
        </w:rPr>
        <w:tab/>
      </w:r>
      <w:r w:rsidRPr="003D49EB">
        <w:rPr>
          <w:szCs w:val="20"/>
        </w:rPr>
        <w:t>La Corte observa que si bien la masacre de Pueblo Bello ocurrida en enero de 1990 fue organizada y perpetrada por miembros de grupos paramilitares, aquélla no habría podido ejecutarse si hubiere existido protección efectiva</w:t>
      </w:r>
      <w:r w:rsidRPr="003D49EB">
        <w:rPr>
          <w:b/>
          <w:szCs w:val="20"/>
        </w:rPr>
        <w:t xml:space="preserve"> </w:t>
      </w:r>
      <w:r w:rsidRPr="003D49EB">
        <w:rPr>
          <w:szCs w:val="20"/>
        </w:rPr>
        <w:t xml:space="preserve">de la población civil </w:t>
      </w:r>
      <w:r w:rsidRPr="003D49EB">
        <w:rPr>
          <w:szCs w:val="20"/>
        </w:rPr>
        <w:lastRenderedPageBreak/>
        <w:t>en una situación de riesgo razonablemente previsible por parte de miembros de las Fuerzas Armadas o de seguridad del Estado. Ciertamente no existen pruebas ante este Tribunal que demuestren que el Estado dirigiera directamente la ejecución de la masacre o que existiese un nexo entre miembros del Ejército y los grupos paramilitares o una delegación de funciones públicas de aquél a éstos. No obstante, la responsabilidad por los actos de los miembros del grupo paramilitar en este caso en particular es atribuible al Estado en la medida en que éste no adoptó diligentemente las medidas necesarias para proteger a la población civil en función de las circunstancias descritas. Por las razones expuestas en los párrafos anteriores, la Corte concluye que el Estado no cumplió con su obligación de garantizar los derechos humanos consagrados en los artículos 4, 5 y 7 de la Convención, por haber faltado a sus deberes de prevención y protección, en perjuicio de las personas desaparecidas y privadas de su vida en este caso.</w:t>
      </w:r>
    </w:p>
    <w:p w14:paraId="5CF69B5C" w14:textId="77777777" w:rsidR="005E0916" w:rsidRPr="003D49EB" w:rsidRDefault="005E0916" w:rsidP="009A4683">
      <w:pPr>
        <w:spacing w:after="100" w:afterAutospacing="1"/>
        <w:rPr>
          <w:szCs w:val="20"/>
        </w:rPr>
      </w:pPr>
      <w:r w:rsidRPr="003D49EB">
        <w:rPr>
          <w:szCs w:val="20"/>
        </w:rPr>
        <w:t>151.</w:t>
      </w:r>
      <w:r w:rsidRPr="003D49EB">
        <w:rPr>
          <w:szCs w:val="20"/>
        </w:rPr>
        <w:tab/>
        <w:t xml:space="preserve">A las situaciones antes descritas de falta de debida diligencia en la protección, incluso preventiva, de los habitantes de Pueblo Bello, y en las investigaciones abiertas al efecto, se añade que fue el propio Estado el que creó una situación de riesgo que después no controló ni desarticuló […]. De tal manera, si bien los actos cometidos por los paramilitares contra las presuntas víctimas del presente caso son hechos cometidos por particulares, la responsabilidad por aquéllos actos es atribuible al Estado en razón del incumplimiento por omisión de sus obligaciones convencionales </w:t>
      </w:r>
      <w:r w:rsidRPr="003D49EB">
        <w:rPr>
          <w:i/>
          <w:szCs w:val="20"/>
        </w:rPr>
        <w:t xml:space="preserve">erga omnes </w:t>
      </w:r>
      <w:r w:rsidRPr="003D49EB">
        <w:rPr>
          <w:szCs w:val="20"/>
        </w:rPr>
        <w:t>de garantizar la efectividad de los derechos humanos en dichas relaciones interindividuales, y se ve concretada y agravada por no haber suprimido o resuelto efectivamente la situación de riesgo propiciada por la existencia de esos grupos y por haber continuado propiciando sus acciones a través de la impunidad. Por ende, el Estado es responsable por la privación arbitraria de la libertad e integridad personales, así como de la vida, de las 43 personas secuestradas en el corregimiento de Pueblo Bello el día 14 de enero de 1990 y posteriormente desaparecidas o privadas de su vida.</w:t>
      </w:r>
    </w:p>
    <w:p w14:paraId="7BB2FF5F" w14:textId="77777777" w:rsidR="005E0916" w:rsidRPr="003D49EB" w:rsidRDefault="005E0916" w:rsidP="009A4683">
      <w:pPr>
        <w:spacing w:after="100" w:afterAutospacing="1"/>
        <w:rPr>
          <w:szCs w:val="20"/>
        </w:rPr>
      </w:pPr>
      <w:r w:rsidRPr="003D49EB">
        <w:rPr>
          <w:szCs w:val="20"/>
        </w:rPr>
        <w:t>152.</w:t>
      </w:r>
      <w:r w:rsidRPr="003D49EB">
        <w:rPr>
          <w:szCs w:val="20"/>
        </w:rPr>
        <w:tab/>
        <w:t>En relación con la determinación de las violaciones cometidas en el presente caso, ha sido probado que las 43 personas fueron arbitrariamente</w:t>
      </w:r>
      <w:r w:rsidRPr="003D49EB">
        <w:rPr>
          <w:b/>
          <w:szCs w:val="20"/>
        </w:rPr>
        <w:t xml:space="preserve"> </w:t>
      </w:r>
      <w:r w:rsidRPr="003D49EB">
        <w:rPr>
          <w:szCs w:val="20"/>
        </w:rPr>
        <w:t>privadas de su libertad; que seis de ellas fueron privadas de su vida y que las otras 37 se encuentran desaparecidas. Ciertamente no existe prueba de los actos específicos a que fueron sometidas cada una de esas personas antes de ser privadas de su vida</w:t>
      </w:r>
      <w:r w:rsidRPr="003D49EB">
        <w:rPr>
          <w:b/>
          <w:szCs w:val="20"/>
        </w:rPr>
        <w:t xml:space="preserve"> </w:t>
      </w:r>
      <w:r w:rsidRPr="003D49EB">
        <w:rPr>
          <w:szCs w:val="20"/>
        </w:rPr>
        <w:t xml:space="preserve">o desaparecidas. No obstante, el propio </w:t>
      </w:r>
      <w:r w:rsidRPr="003D49EB">
        <w:rPr>
          <w:i/>
          <w:szCs w:val="20"/>
        </w:rPr>
        <w:t>modus operandi</w:t>
      </w:r>
      <w:r w:rsidRPr="003D49EB">
        <w:rPr>
          <w:szCs w:val="20"/>
        </w:rPr>
        <w:t xml:space="preserve"> de los hechos del caso y las graves faltas a los deberes de investigación permiten inferir que las personas secuestradas fueron objeto de tortura o graves tratos crueles, inhumanos o degradantes, pues ha sido probado que a algunos de ellos les cortaron las venas, las orejas, los órganos genitales y les "chuzaron" los ojos, incluso habrían sido "golpeados a patada</w:t>
      </w:r>
      <w:r w:rsidR="00984FCA" w:rsidRPr="003D49EB">
        <w:rPr>
          <w:szCs w:val="20"/>
        </w:rPr>
        <w:t>s y puñetazos" hasta su muerte […]</w:t>
      </w:r>
      <w:r w:rsidRPr="003D49EB">
        <w:rPr>
          <w:szCs w:val="20"/>
        </w:rPr>
        <w:t xml:space="preserve">. En la menos cruel de las situaciones, fueron sometidas a graves actos contrarios a la integridad personal al presenciar los actos proferidos contra otras personas y sus homicidios, lo cual les hizo prever su fatal destino. De tal manera, sería incoherente limitar la determinación de los actos contrarios a la integridad personal a sólo algunas de las presuntas víctimas. </w:t>
      </w:r>
    </w:p>
    <w:p w14:paraId="1CFBCF62" w14:textId="77777777" w:rsidR="005E0916" w:rsidRPr="003D49EB" w:rsidRDefault="005E0916" w:rsidP="009A4683">
      <w:pPr>
        <w:spacing w:after="100" w:afterAutospacing="1"/>
        <w:rPr>
          <w:szCs w:val="20"/>
          <w:lang w:val="es-ES_tradnl"/>
        </w:rPr>
      </w:pPr>
      <w:r w:rsidRPr="003D49EB">
        <w:rPr>
          <w:szCs w:val="20"/>
          <w:lang w:val="es-ES_tradnl"/>
        </w:rPr>
        <w:t>153.</w:t>
      </w:r>
      <w:r w:rsidRPr="003D49EB">
        <w:rPr>
          <w:szCs w:val="20"/>
          <w:lang w:val="es-ES_tradnl"/>
        </w:rPr>
        <w:tab/>
        <w:t>Las anteriores consideraciones llevan a la Corte a concluir que, por haber faltado a sus deberes de prevención, protección e investigación, el Estado tiene responsabilidad por la violación de los derechos a la vida, a la integridad personal y a la libertad personal, consagrados en los artículos 4.1, 5.1, 5.2, 7.1 y 7.2 de la Convención, en relación con el artículo 1.1 de dicho tratado, en razón del incumplimiento de sus obligación de garantizar esos derechos, […].</w:t>
      </w:r>
    </w:p>
    <w:p w14:paraId="034F9D6D" w14:textId="499892E5" w:rsidR="00E03D2F" w:rsidRPr="003D49EB" w:rsidRDefault="00AE6F5A" w:rsidP="009A4683">
      <w:pPr>
        <w:spacing w:after="100" w:afterAutospacing="1"/>
        <w:rPr>
          <w:b/>
          <w:szCs w:val="20"/>
          <w:lang w:val="es-ES_tradnl"/>
        </w:rPr>
      </w:pPr>
      <w:r w:rsidRPr="003D49EB">
        <w:rPr>
          <w:b/>
          <w:szCs w:val="20"/>
          <w:lang w:val="es-ES_tradnl"/>
        </w:rPr>
        <w:t xml:space="preserve">Corte IDH. Caso </w:t>
      </w:r>
      <w:proofErr w:type="spellStart"/>
      <w:r w:rsidRPr="003D49EB">
        <w:rPr>
          <w:b/>
          <w:szCs w:val="20"/>
          <w:lang w:val="es-ES_tradnl"/>
        </w:rPr>
        <w:t>Ximenes</w:t>
      </w:r>
      <w:proofErr w:type="spellEnd"/>
      <w:r w:rsidRPr="003D49EB">
        <w:rPr>
          <w:b/>
          <w:szCs w:val="20"/>
          <w:lang w:val="es-ES_tradnl"/>
        </w:rPr>
        <w:t xml:space="preserve"> </w:t>
      </w:r>
      <w:proofErr w:type="spellStart"/>
      <w:r w:rsidRPr="003D49EB">
        <w:rPr>
          <w:b/>
          <w:szCs w:val="20"/>
          <w:lang w:val="es-ES_tradnl"/>
        </w:rPr>
        <w:t>Lopes</w:t>
      </w:r>
      <w:proofErr w:type="spellEnd"/>
      <w:r w:rsidRPr="003D49EB">
        <w:rPr>
          <w:b/>
          <w:szCs w:val="20"/>
          <w:lang w:val="es-ES_tradnl"/>
        </w:rPr>
        <w:t xml:space="preserve"> Vs. Brasil. Sentencia de 4 de julio de 2006. Serie C No. 149.</w:t>
      </w:r>
    </w:p>
    <w:p w14:paraId="20570244" w14:textId="77777777" w:rsidR="00E03D2F" w:rsidRPr="003D49EB" w:rsidRDefault="00E03D2F" w:rsidP="009A4683">
      <w:pPr>
        <w:spacing w:after="100" w:afterAutospacing="1"/>
        <w:rPr>
          <w:szCs w:val="20"/>
          <w:lang w:val="es-ES_tradnl"/>
        </w:rPr>
      </w:pPr>
      <w:r w:rsidRPr="003D49EB">
        <w:rPr>
          <w:szCs w:val="20"/>
          <w:lang w:val="es-ES_tradnl"/>
        </w:rPr>
        <w:lastRenderedPageBreak/>
        <w:t>137.</w:t>
      </w:r>
      <w:r w:rsidRPr="003D49EB">
        <w:rPr>
          <w:szCs w:val="20"/>
          <w:lang w:val="es-ES_tradnl"/>
        </w:rPr>
        <w:tab/>
        <w:t>La Corte ya señaló que de la obligación general de garantía de los derechos a la vida y a la integridad física, nacen deberes especiales de protección y prevención, los cuales, en el presente caso, se traducen en deberes de cuidar y de regular.</w:t>
      </w:r>
    </w:p>
    <w:p w14:paraId="44FEAFDD" w14:textId="4EFC5832" w:rsidR="00E03D2F" w:rsidRPr="003D49EB" w:rsidRDefault="00E03D2F" w:rsidP="009A4683">
      <w:pPr>
        <w:spacing w:after="100" w:afterAutospacing="1"/>
        <w:rPr>
          <w:szCs w:val="20"/>
          <w:lang w:val="es-ES_tradnl"/>
        </w:rPr>
      </w:pPr>
      <w:r w:rsidRPr="003D49EB">
        <w:rPr>
          <w:szCs w:val="20"/>
          <w:lang w:val="es-ES_tradnl"/>
        </w:rPr>
        <w:t>141.</w:t>
      </w:r>
      <w:r w:rsidRPr="003D49EB">
        <w:rPr>
          <w:szCs w:val="20"/>
          <w:lang w:val="es-ES_tradnl"/>
        </w:rPr>
        <w:tab/>
        <w:t xml:space="preserve">El Tribunal ha establecido que el deber de los Estados de regular y fiscalizar las instituciones que prestan servicio de salud, como medida necesaria para la debida protección de la vida e integridad de las personas bajo su jurisdicción, abarca tanto a las entidades públicas y privadas que prestan servicios públicos de salud, como aquellas instituciones que se dedican exclusivamente a servicios privados de salud </w:t>
      </w:r>
      <w:r w:rsidR="00632C28">
        <w:rPr>
          <w:szCs w:val="20"/>
          <w:lang w:val="es-ES_tradnl"/>
        </w:rPr>
        <w:t>[...]</w:t>
      </w:r>
      <w:r w:rsidRPr="003D49EB">
        <w:rPr>
          <w:szCs w:val="20"/>
          <w:lang w:val="es-ES_tradnl"/>
        </w:rPr>
        <w:t>.</w:t>
      </w:r>
      <w:r w:rsidR="008B18CE" w:rsidRPr="003D49EB">
        <w:rPr>
          <w:szCs w:val="20"/>
          <w:lang w:val="es-ES_tradnl"/>
        </w:rPr>
        <w:t xml:space="preserve"> </w:t>
      </w:r>
      <w:r w:rsidRPr="003D49EB">
        <w:rPr>
          <w:szCs w:val="20"/>
          <w:lang w:val="es-ES_tradnl"/>
        </w:rPr>
        <w:t xml:space="preserve">En particular, respecto de las instituciones que prestan servicio público de salud, tal y como lo hacía la Casa de Reposo </w:t>
      </w:r>
      <w:proofErr w:type="spellStart"/>
      <w:r w:rsidRPr="003D49EB">
        <w:rPr>
          <w:szCs w:val="20"/>
          <w:lang w:val="es-ES_tradnl"/>
        </w:rPr>
        <w:t>Guararapes</w:t>
      </w:r>
      <w:proofErr w:type="spellEnd"/>
      <w:r w:rsidRPr="003D49EB">
        <w:rPr>
          <w:szCs w:val="20"/>
          <w:lang w:val="es-ES_tradnl"/>
        </w:rPr>
        <w:t xml:space="preserve">, el Estado no sólo debe regularlas y fiscalizarlas, sino que además tiene el especial deber de cuidado en relación con las personas ahí internadas. </w:t>
      </w:r>
    </w:p>
    <w:p w14:paraId="79AD94DD" w14:textId="77777777" w:rsidR="00E03D2F" w:rsidRPr="003D49EB" w:rsidRDefault="00E03D2F" w:rsidP="009A4683">
      <w:pPr>
        <w:spacing w:after="100" w:afterAutospacing="1"/>
        <w:rPr>
          <w:szCs w:val="20"/>
          <w:lang w:val="es-ES_tradnl"/>
        </w:rPr>
      </w:pPr>
      <w:r w:rsidRPr="003D49EB">
        <w:rPr>
          <w:szCs w:val="20"/>
          <w:lang w:val="es-ES_tradnl"/>
        </w:rPr>
        <w:t>142.</w:t>
      </w:r>
      <w:r w:rsidRPr="003D49EB">
        <w:rPr>
          <w:szCs w:val="20"/>
          <w:lang w:val="es-ES_tradnl"/>
        </w:rPr>
        <w:tab/>
        <w:t xml:space="preserve">En el presente caso la Casa de Reposo </w:t>
      </w:r>
      <w:proofErr w:type="spellStart"/>
      <w:r w:rsidRPr="003D49EB">
        <w:rPr>
          <w:szCs w:val="20"/>
          <w:lang w:val="es-ES_tradnl"/>
        </w:rPr>
        <w:t>Guararapes</w:t>
      </w:r>
      <w:proofErr w:type="spellEnd"/>
      <w:r w:rsidRPr="003D49EB">
        <w:rPr>
          <w:szCs w:val="20"/>
          <w:lang w:val="es-ES_tradnl"/>
        </w:rPr>
        <w:t xml:space="preserve"> operaba en el marco del sistema público de salud, y el Estado estaba obligado a regularla y fiscalizarla, no sólo en virtud de sus obligaciones derivadas de la Convención Americana, sino también en razón de su normativa interna.</w:t>
      </w:r>
      <w:r w:rsidR="008B18CE" w:rsidRPr="003D49EB">
        <w:rPr>
          <w:szCs w:val="20"/>
          <w:lang w:val="es-ES_tradnl"/>
        </w:rPr>
        <w:t xml:space="preserve"> </w:t>
      </w:r>
      <w:r w:rsidRPr="003D49EB">
        <w:rPr>
          <w:szCs w:val="20"/>
          <w:lang w:val="es-ES_tradnl"/>
        </w:rPr>
        <w:t>Según lo dispuesto en el artículo 197 de la Constitución, “son de relevancia pública las acciones y servicios de salud, y cabe al poder público disponer, de acuerdo con la ley, sobre su reglamentación, fiscalización y control [...]”.</w:t>
      </w:r>
      <w:r w:rsidR="008B18CE" w:rsidRPr="003D49EB">
        <w:rPr>
          <w:szCs w:val="20"/>
          <w:lang w:val="es-ES_tradnl"/>
        </w:rPr>
        <w:t xml:space="preserve"> </w:t>
      </w:r>
      <w:r w:rsidRPr="003D49EB">
        <w:rPr>
          <w:szCs w:val="20"/>
          <w:lang w:val="es-ES_tradnl"/>
        </w:rPr>
        <w:t>Asimismo, el artículo 200 de la Constitución señala que “al [S]</w:t>
      </w:r>
      <w:proofErr w:type="spellStart"/>
      <w:r w:rsidRPr="003D49EB">
        <w:rPr>
          <w:szCs w:val="20"/>
          <w:lang w:val="es-ES_tradnl"/>
        </w:rPr>
        <w:t>istema</w:t>
      </w:r>
      <w:proofErr w:type="spellEnd"/>
      <w:r w:rsidRPr="003D49EB">
        <w:rPr>
          <w:szCs w:val="20"/>
          <w:lang w:val="es-ES_tradnl"/>
        </w:rPr>
        <w:t xml:space="preserve"> [Ú]</w:t>
      </w:r>
      <w:proofErr w:type="spellStart"/>
      <w:r w:rsidRPr="003D49EB">
        <w:rPr>
          <w:szCs w:val="20"/>
          <w:lang w:val="es-ES_tradnl"/>
        </w:rPr>
        <w:t>nico</w:t>
      </w:r>
      <w:proofErr w:type="spellEnd"/>
      <w:r w:rsidRPr="003D49EB">
        <w:rPr>
          <w:szCs w:val="20"/>
          <w:lang w:val="es-ES_tradnl"/>
        </w:rPr>
        <w:t xml:space="preserve"> de [S]alud compete […] controlar y fiscalizar procedimientos [... y] ejecutar las acciones de vigilancia sanitaria[...]”.</w:t>
      </w:r>
      <w:r w:rsidR="008B18CE" w:rsidRPr="003D49EB">
        <w:rPr>
          <w:szCs w:val="20"/>
          <w:lang w:val="es-ES_tradnl"/>
        </w:rPr>
        <w:t xml:space="preserve"> </w:t>
      </w:r>
      <w:r w:rsidRPr="003D49EB">
        <w:rPr>
          <w:szCs w:val="20"/>
          <w:lang w:val="es-ES_tradnl"/>
        </w:rPr>
        <w:t>A su vez, el artículo 6° de la Ley No. 8.080 de 1990 dispone que “[e]</w:t>
      </w:r>
      <w:proofErr w:type="spellStart"/>
      <w:r w:rsidRPr="003D49EB">
        <w:rPr>
          <w:szCs w:val="20"/>
          <w:lang w:val="es-ES_tradnl"/>
        </w:rPr>
        <w:t>stán</w:t>
      </w:r>
      <w:proofErr w:type="spellEnd"/>
      <w:r w:rsidRPr="003D49EB">
        <w:rPr>
          <w:szCs w:val="20"/>
          <w:lang w:val="es-ES_tradnl"/>
        </w:rPr>
        <w:t xml:space="preserve"> incluidas en el campo de actuación del Sistema Único de Salud (SUS), [inter alia,] la ejecución de acciones […tanto] de vigilancia sanitaria, [la cual] se comprende por un conjunto de acciones capaz de eliminar, disminuir o prevenir riesgos a la salud y de intervenir en los problemas sanitarios decurrentes […] de la prestación de servicios de interés de la salud, [así como] el control y la fiscalización de servicios, productos y substancias de interés de la salud [...].”</w:t>
      </w:r>
    </w:p>
    <w:p w14:paraId="1334CB7D" w14:textId="77777777" w:rsidR="00E03D2F" w:rsidRPr="003D49EB" w:rsidRDefault="00E03D2F" w:rsidP="009A4683">
      <w:pPr>
        <w:spacing w:after="100" w:afterAutospacing="1"/>
        <w:rPr>
          <w:szCs w:val="20"/>
          <w:lang w:val="es-ES_tradnl"/>
        </w:rPr>
      </w:pPr>
      <w:r w:rsidRPr="003D49EB">
        <w:rPr>
          <w:szCs w:val="20"/>
          <w:lang w:val="es-ES_tradnl"/>
        </w:rPr>
        <w:t>143.</w:t>
      </w:r>
      <w:r w:rsidRPr="003D49EB">
        <w:rPr>
          <w:szCs w:val="20"/>
          <w:lang w:val="es-ES_tradnl"/>
        </w:rPr>
        <w:tab/>
        <w:t xml:space="preserve">El Tribunal observa que el Estado conocía las condiciones de internación que la Casa de Reposo </w:t>
      </w:r>
      <w:proofErr w:type="spellStart"/>
      <w:r w:rsidRPr="003D49EB">
        <w:rPr>
          <w:szCs w:val="20"/>
          <w:lang w:val="es-ES_tradnl"/>
        </w:rPr>
        <w:t>Guararapes</w:t>
      </w:r>
      <w:proofErr w:type="spellEnd"/>
      <w:r w:rsidRPr="003D49EB">
        <w:rPr>
          <w:szCs w:val="20"/>
          <w:lang w:val="es-ES_tradnl"/>
        </w:rPr>
        <w:t xml:space="preserve"> ofrecía en la época de los hechos. La violencia en contra de sus pacientes ya había sido el contexto de la muerte de dos personas internadas en dicho hospital [...]. Además, el 15 de mayo de 1996 el Grupo de Acompañamiento de Asistencia Psiquiátrica del Ministerio de Salud (GAP) había emitido un informe sobre el resultado de la inspección realizada en la Casa de Reposo </w:t>
      </w:r>
      <w:proofErr w:type="spellStart"/>
      <w:r w:rsidRPr="003D49EB">
        <w:rPr>
          <w:szCs w:val="20"/>
          <w:lang w:val="es-ES_tradnl"/>
        </w:rPr>
        <w:t>Guararapes</w:t>
      </w:r>
      <w:proofErr w:type="spellEnd"/>
      <w:r w:rsidRPr="003D49EB">
        <w:rPr>
          <w:szCs w:val="20"/>
          <w:lang w:val="es-ES_tradnl"/>
        </w:rPr>
        <w:t>, en el cual se recomendó el cierre de dos enfermerías del hospital, por falta de condiciones de funcionamiento, infiltración y otras irregularidades [...].</w:t>
      </w:r>
    </w:p>
    <w:p w14:paraId="6B6F2EC8" w14:textId="77777777" w:rsidR="00E03D2F" w:rsidRPr="003D49EB" w:rsidRDefault="00E03D2F" w:rsidP="009A4683">
      <w:pPr>
        <w:spacing w:after="100" w:afterAutospacing="1"/>
        <w:rPr>
          <w:szCs w:val="20"/>
          <w:lang w:val="es-ES_tradnl"/>
        </w:rPr>
      </w:pPr>
      <w:r w:rsidRPr="003D49EB">
        <w:rPr>
          <w:szCs w:val="20"/>
          <w:lang w:val="es-ES_tradnl"/>
        </w:rPr>
        <w:t>144.</w:t>
      </w:r>
      <w:r w:rsidRPr="003D49EB">
        <w:rPr>
          <w:szCs w:val="20"/>
          <w:lang w:val="es-ES_tradnl"/>
        </w:rPr>
        <w:tab/>
        <w:t xml:space="preserve">La Corte observa que fue hasta el 21 de octubre de 1999 que los funcionarios del Departamento de Vigilancia Sanitaria de la Secretaría de Salud y Asistencia Social realizaron una inspección en la Casa de Reposo </w:t>
      </w:r>
      <w:proofErr w:type="spellStart"/>
      <w:r w:rsidRPr="003D49EB">
        <w:rPr>
          <w:szCs w:val="20"/>
          <w:lang w:val="es-ES_tradnl"/>
        </w:rPr>
        <w:t>Guararapes</w:t>
      </w:r>
      <w:proofErr w:type="spellEnd"/>
      <w:r w:rsidRPr="003D49EB">
        <w:rPr>
          <w:szCs w:val="20"/>
          <w:lang w:val="es-ES_tradnl"/>
        </w:rPr>
        <w:t xml:space="preserve"> para averiguar si el hospital obedecía las especificaciones de la normativa pertinente.</w:t>
      </w:r>
      <w:r w:rsidR="008B18CE" w:rsidRPr="003D49EB">
        <w:rPr>
          <w:szCs w:val="20"/>
          <w:lang w:val="es-ES_tradnl"/>
        </w:rPr>
        <w:t xml:space="preserve"> </w:t>
      </w:r>
      <w:r w:rsidRPr="003D49EB">
        <w:rPr>
          <w:szCs w:val="20"/>
          <w:lang w:val="es-ES_tradnl"/>
        </w:rPr>
        <w:t xml:space="preserve">Además, hasta el 4 de noviembre de 1999 la Coordinadora de Control, Evaluación y Auditoría y el Médico Auditor del Sistema Municipal de Auditoria, visitaron la Casa de Reposo </w:t>
      </w:r>
      <w:proofErr w:type="spellStart"/>
      <w:r w:rsidRPr="003D49EB">
        <w:rPr>
          <w:szCs w:val="20"/>
          <w:lang w:val="es-ES_tradnl"/>
        </w:rPr>
        <w:t>Guararapes</w:t>
      </w:r>
      <w:proofErr w:type="spellEnd"/>
      <w:r w:rsidRPr="003D49EB">
        <w:rPr>
          <w:szCs w:val="20"/>
          <w:lang w:val="es-ES_tradnl"/>
        </w:rPr>
        <w:t>.</w:t>
      </w:r>
      <w:r w:rsidR="008B18CE" w:rsidRPr="003D49EB">
        <w:rPr>
          <w:szCs w:val="20"/>
          <w:lang w:val="es-ES_tradnl"/>
        </w:rPr>
        <w:t xml:space="preserve"> </w:t>
      </w:r>
      <w:r w:rsidRPr="003D49EB">
        <w:rPr>
          <w:szCs w:val="20"/>
          <w:lang w:val="es-ES_tradnl"/>
        </w:rPr>
        <w:t>Coincidentemente, los tres órganos concluyeron que el hospital no cumplía con las exigencias de la normativa pertinente y recomendaron que se arreglaran de inmediato las irregularidades [...].</w:t>
      </w:r>
    </w:p>
    <w:p w14:paraId="2362AD96" w14:textId="77777777" w:rsidR="00E03D2F" w:rsidRPr="003D49EB" w:rsidRDefault="00E03D2F" w:rsidP="009A4683">
      <w:pPr>
        <w:spacing w:after="100" w:afterAutospacing="1"/>
        <w:rPr>
          <w:szCs w:val="20"/>
          <w:lang w:val="es-ES_tradnl"/>
        </w:rPr>
      </w:pPr>
      <w:r w:rsidRPr="003D49EB">
        <w:rPr>
          <w:szCs w:val="20"/>
          <w:lang w:val="es-ES_tradnl"/>
        </w:rPr>
        <w:t>146.</w:t>
      </w:r>
      <w:r w:rsidRPr="003D49EB">
        <w:rPr>
          <w:szCs w:val="20"/>
          <w:lang w:val="es-ES_tradnl"/>
        </w:rPr>
        <w:tab/>
        <w:t>El Estado tiene responsabilidad internacional por incumplir, en el presente caso, su deber de cuidar y de prevenir la vulneración de la vida y de la integridad personal, así como su deber de regular y fiscalizar la atención médica de salud, los que constituyen deberes especiales derivados de la obligación de garantizar los derechos consagrados en los artículos 4 y 5 de la Convención Americana.</w:t>
      </w:r>
    </w:p>
    <w:p w14:paraId="73774E74" w14:textId="4309B3B3" w:rsidR="00A056EF" w:rsidRPr="003D49EB" w:rsidRDefault="00A056EF" w:rsidP="009A4683">
      <w:pPr>
        <w:pStyle w:val="Sangradetindependiente0"/>
        <w:widowControl w:val="0"/>
        <w:spacing w:after="100" w:afterAutospacing="1"/>
        <w:rPr>
          <w:rFonts w:ascii="Verdana" w:hAnsi="Verdana"/>
          <w:b/>
          <w:sz w:val="20"/>
          <w:lang w:val="es-CL"/>
        </w:rPr>
      </w:pPr>
      <w:r w:rsidRPr="003D49EB">
        <w:rPr>
          <w:rFonts w:ascii="Verdana" w:hAnsi="Verdana"/>
          <w:b/>
          <w:sz w:val="20"/>
          <w:lang w:val="es-CL"/>
        </w:rPr>
        <w:lastRenderedPageBreak/>
        <w:t xml:space="preserve">Corte IDH. Caso del Penal Miguel Castro </w:t>
      </w:r>
      <w:proofErr w:type="spellStart"/>
      <w:r w:rsidRPr="003D49EB">
        <w:rPr>
          <w:rFonts w:ascii="Verdana" w:hAnsi="Verdana"/>
          <w:b/>
          <w:sz w:val="20"/>
          <w:lang w:val="es-CL"/>
        </w:rPr>
        <w:t>Castro</w:t>
      </w:r>
      <w:proofErr w:type="spellEnd"/>
      <w:r w:rsidRPr="003D49EB">
        <w:rPr>
          <w:rFonts w:ascii="Verdana" w:hAnsi="Verdana"/>
          <w:b/>
          <w:sz w:val="20"/>
          <w:lang w:val="es-CL"/>
        </w:rPr>
        <w:t xml:space="preserve"> Vs. Perú. Fondo, Reparaciones y Costas. Sentencia de 25 de noviembre de 2006. Serie C No. 160.</w:t>
      </w:r>
    </w:p>
    <w:p w14:paraId="68E4FB35" w14:textId="321F3D16" w:rsidR="005E0916" w:rsidRPr="003D49EB" w:rsidRDefault="005E0916" w:rsidP="009A4683">
      <w:pPr>
        <w:pStyle w:val="Sangradetindependiente0"/>
        <w:widowControl w:val="0"/>
        <w:spacing w:after="100" w:afterAutospacing="1"/>
        <w:rPr>
          <w:rFonts w:ascii="Verdana" w:hAnsi="Verdana"/>
          <w:sz w:val="20"/>
        </w:rPr>
      </w:pPr>
      <w:r w:rsidRPr="003D49EB">
        <w:rPr>
          <w:rFonts w:ascii="Verdana" w:hAnsi="Verdana"/>
          <w:sz w:val="20"/>
        </w:rPr>
        <w:t>266.</w:t>
      </w:r>
      <w:r w:rsidRPr="003D49EB">
        <w:rPr>
          <w:rFonts w:ascii="Verdana" w:hAnsi="Verdana"/>
          <w:sz w:val="20"/>
        </w:rPr>
        <w:tab/>
        <w:t xml:space="preserve"> </w:t>
      </w:r>
      <w:r w:rsidR="00301DED" w:rsidRPr="003D49EB">
        <w:rPr>
          <w:rFonts w:ascii="Verdana" w:hAnsi="Verdana"/>
          <w:sz w:val="20"/>
        </w:rPr>
        <w:t xml:space="preserve">[…]. </w:t>
      </w:r>
      <w:r w:rsidRPr="003D49EB">
        <w:rPr>
          <w:rFonts w:ascii="Verdana" w:hAnsi="Verdana"/>
          <w:sz w:val="20"/>
        </w:rPr>
        <w:t>Los artículos 1, 6 y 8 de dicho tratado</w:t>
      </w:r>
      <w:r w:rsidR="003D33C5" w:rsidRPr="003D49EB">
        <w:rPr>
          <w:rFonts w:ascii="Verdana" w:hAnsi="Verdana"/>
          <w:sz w:val="20"/>
        </w:rPr>
        <w:t xml:space="preserve"> </w:t>
      </w:r>
      <w:r w:rsidR="00301DED" w:rsidRPr="003D49EB">
        <w:rPr>
          <w:rFonts w:ascii="Verdana" w:hAnsi="Verdana"/>
          <w:sz w:val="20"/>
        </w:rPr>
        <w:t>[Convención Interamericana para Prevenir y Sancionar la Tortura]</w:t>
      </w:r>
      <w:r w:rsidRPr="003D49EB">
        <w:rPr>
          <w:rFonts w:ascii="Verdana" w:hAnsi="Verdana"/>
          <w:sz w:val="20"/>
        </w:rPr>
        <w:t xml:space="preserve"> obligan a los Estados Partes a adoptar todas las medidas efectivas para prevenir y sancionar todos los actos de tortura dentro</w:t>
      </w:r>
      <w:r w:rsidR="00BF2C46" w:rsidRPr="003D49EB">
        <w:rPr>
          <w:rFonts w:ascii="Verdana" w:hAnsi="Verdana"/>
          <w:sz w:val="20"/>
        </w:rPr>
        <w:t xml:space="preserve"> del ámbito de su jurisdicción.</w:t>
      </w:r>
    </w:p>
    <w:p w14:paraId="3386063B" w14:textId="26AE7F16" w:rsidR="005243C0" w:rsidRPr="003D49EB" w:rsidRDefault="00A321D3" w:rsidP="009A4683">
      <w:pPr>
        <w:tabs>
          <w:tab w:val="right" w:pos="8838"/>
        </w:tabs>
        <w:spacing w:after="100" w:afterAutospacing="1"/>
        <w:rPr>
          <w:b/>
          <w:szCs w:val="20"/>
        </w:rPr>
      </w:pPr>
      <w:r w:rsidRPr="00A321D3">
        <w:rPr>
          <w:b/>
          <w:szCs w:val="20"/>
        </w:rPr>
        <w:t>Corte IDH. Caso González y otras (“Campo Algodonero”) Vs. México. Excepción Preliminar, Fondo, Reparaciones y Costas. Sentencia de 16 de noviembre de 2009. Serie C No. 205</w:t>
      </w:r>
      <w:r w:rsidR="005243C0" w:rsidRPr="003D49EB">
        <w:rPr>
          <w:b/>
          <w:szCs w:val="20"/>
        </w:rPr>
        <w:t xml:space="preserve">. </w:t>
      </w:r>
    </w:p>
    <w:p w14:paraId="37A9E771" w14:textId="77777777" w:rsidR="005243C0" w:rsidRPr="003D49EB" w:rsidRDefault="005243C0" w:rsidP="009A4683">
      <w:pPr>
        <w:spacing w:before="120" w:after="100" w:afterAutospacing="1"/>
        <w:rPr>
          <w:szCs w:val="20"/>
          <w:lang w:val="es-EC"/>
        </w:rPr>
      </w:pPr>
      <w:r w:rsidRPr="003D49EB">
        <w:rPr>
          <w:szCs w:val="20"/>
          <w:lang w:val="es-EC"/>
        </w:rPr>
        <w:t>243.</w:t>
      </w:r>
      <w:r w:rsidRPr="003D49EB">
        <w:rPr>
          <w:szCs w:val="20"/>
          <w:lang w:val="es-EC"/>
        </w:rPr>
        <w:tab/>
        <w:t>La Corte reitera que no basta que los Estados se abstengan de violar los derechos, sino que es imperativa la adopción de medidas positivas, determinables en función de las particulares necesidades de protección del sujeto de derecho, ya sea por su condición personal o por la situación específica en que se encuentre.</w:t>
      </w:r>
    </w:p>
    <w:p w14:paraId="0C20A402" w14:textId="77777777" w:rsidR="005243C0" w:rsidRPr="003D49EB" w:rsidRDefault="005243C0" w:rsidP="009A4683">
      <w:pPr>
        <w:widowControl w:val="0"/>
        <w:autoSpaceDE w:val="0"/>
        <w:autoSpaceDN w:val="0"/>
        <w:adjustRightInd w:val="0"/>
        <w:spacing w:before="120" w:after="100" w:afterAutospacing="1"/>
        <w:rPr>
          <w:b/>
          <w:szCs w:val="20"/>
          <w:lang w:val="es-EC"/>
        </w:rPr>
      </w:pPr>
      <w:r w:rsidRPr="003D49EB">
        <w:rPr>
          <w:szCs w:val="20"/>
          <w:lang w:val="es-EC"/>
        </w:rPr>
        <w:t>252.</w:t>
      </w:r>
      <w:r w:rsidRPr="003D49EB">
        <w:rPr>
          <w:szCs w:val="20"/>
          <w:lang w:val="es-EC"/>
        </w:rPr>
        <w:tab/>
        <w:t>La Corte ha establecido que el deber de prevención abarca todas aquellas medidas de carácter jurídico, político, administrativo y cultural que promuevan la salvaguarda de los derechos humanos y que aseguren que las eventuales violaciones a los mismos sean efectivamente consideradas y tratadas como un hecho ilícito que, como tal, es susceptible de acarrear sanciones para quien las cometa, así como la obligación de indemnizar a las víctimas por sus consecuencias perjudiciales. Es claro, a su vez, que la obligación de prevenir es de medio o comportamiento y no se demuestra su incumplimiento por el mero hecho de que un derecho haya sido violado.</w:t>
      </w:r>
    </w:p>
    <w:p w14:paraId="5B409EEA" w14:textId="77777777" w:rsidR="005243C0" w:rsidRPr="003D49EB" w:rsidRDefault="005243C0" w:rsidP="009A4683">
      <w:pPr>
        <w:widowControl w:val="0"/>
        <w:autoSpaceDE w:val="0"/>
        <w:autoSpaceDN w:val="0"/>
        <w:adjustRightInd w:val="0"/>
        <w:spacing w:before="120" w:after="100" w:afterAutospacing="1"/>
        <w:rPr>
          <w:b/>
          <w:szCs w:val="20"/>
          <w:lang w:val="es-EC"/>
        </w:rPr>
      </w:pPr>
      <w:r w:rsidRPr="003D49EB">
        <w:rPr>
          <w:szCs w:val="20"/>
          <w:lang w:val="es-EC"/>
        </w:rPr>
        <w:t>253.</w:t>
      </w:r>
      <w:r w:rsidRPr="003D49EB">
        <w:rPr>
          <w:szCs w:val="20"/>
          <w:lang w:val="es-EC"/>
        </w:rPr>
        <w:tab/>
        <w:t xml:space="preserve">La Convención Belém do Pará define la violencia contra la mujer […] y en su artículo 7.b obliga a los Estados Partes a utilizar la debida diligencia para prevenir, sancionar y erradicar dicha violencia. </w:t>
      </w:r>
    </w:p>
    <w:p w14:paraId="591D6E11" w14:textId="4584540B" w:rsidR="005243C0" w:rsidRPr="003D49EB" w:rsidRDefault="005243C0" w:rsidP="009A4683">
      <w:pPr>
        <w:widowControl w:val="0"/>
        <w:autoSpaceDE w:val="0"/>
        <w:autoSpaceDN w:val="0"/>
        <w:adjustRightInd w:val="0"/>
        <w:spacing w:before="120" w:after="100" w:afterAutospacing="1"/>
        <w:rPr>
          <w:b/>
          <w:szCs w:val="20"/>
          <w:lang w:val="es-EC"/>
        </w:rPr>
      </w:pPr>
      <w:r w:rsidRPr="003D49EB">
        <w:rPr>
          <w:szCs w:val="20"/>
          <w:lang w:val="es-EC"/>
        </w:rPr>
        <w:t>254.</w:t>
      </w:r>
      <w:r w:rsidRPr="003D49EB">
        <w:rPr>
          <w:szCs w:val="20"/>
          <w:lang w:val="es-EC"/>
        </w:rPr>
        <w:tab/>
        <w:t xml:space="preserve">Desde 1992 el CEDAW estableció que “los Estados también pueden ser responsables de actos privados si no adoptan medidas con la diligencia debida para impedir la violación de los derechos o para investigar y castigar los actos de violencia e indemnizar a las víctimas”. En 1993 la Declaración sobre la eliminación de la violencia contra la mujer de la Asamblea General de las Naciones Unidas instó a los Estados a “[p]roceder con la debida diligencia a fin de prevenir, investigar y, conforme a la legislación nacional, castigar todo acto de violencia contra la mujer, ya se trate de actos perpetrados por el Estado o por particulares” y lo mismo hizo la Plataforma de Acción de la Conferencia Mundial sobre la Mujer de Beijing. En el 2006 la Relatora Especial sobre violencia contra la mujer de la ONU señaló que “[t]omando como base la práctica y la </w:t>
      </w:r>
      <w:r w:rsidRPr="003D49EB">
        <w:rPr>
          <w:i/>
          <w:szCs w:val="20"/>
          <w:lang w:val="es-EC"/>
        </w:rPr>
        <w:t>opinio juris</w:t>
      </w:r>
      <w:r w:rsidRPr="003D49EB">
        <w:rPr>
          <w:szCs w:val="20"/>
          <w:lang w:val="es-EC"/>
        </w:rPr>
        <w:t xml:space="preserve"> […] se puede concluir que hay una norma del derecho internacional consuetudinario que obliga a los Estados a prevenir y responder con la debida diligencia a los actos de violencia contra la mujer”.</w:t>
      </w:r>
    </w:p>
    <w:p w14:paraId="59147411" w14:textId="77777777" w:rsidR="005243C0" w:rsidRPr="003D49EB" w:rsidRDefault="005243C0" w:rsidP="009A4683">
      <w:pPr>
        <w:widowControl w:val="0"/>
        <w:autoSpaceDE w:val="0"/>
        <w:autoSpaceDN w:val="0"/>
        <w:adjustRightInd w:val="0"/>
        <w:spacing w:before="120" w:after="100" w:afterAutospacing="1"/>
        <w:rPr>
          <w:b/>
          <w:szCs w:val="20"/>
          <w:lang w:val="es-EC"/>
        </w:rPr>
      </w:pPr>
      <w:r w:rsidRPr="003D49EB">
        <w:rPr>
          <w:szCs w:val="20"/>
          <w:lang w:val="es-EC"/>
        </w:rPr>
        <w:t>255.</w:t>
      </w:r>
      <w:r w:rsidRPr="003D49EB">
        <w:rPr>
          <w:szCs w:val="20"/>
          <w:lang w:val="es-EC"/>
        </w:rPr>
        <w:tab/>
        <w:t xml:space="preserve">En el caso </w:t>
      </w:r>
      <w:r w:rsidRPr="003D49EB">
        <w:rPr>
          <w:i/>
          <w:szCs w:val="20"/>
          <w:lang w:val="es-EC"/>
        </w:rPr>
        <w:t xml:space="preserve">Maria Da Penha Vs. Brasil </w:t>
      </w:r>
      <w:r w:rsidRPr="003D49EB">
        <w:rPr>
          <w:szCs w:val="20"/>
          <w:lang w:val="es-EC"/>
        </w:rPr>
        <w:t>(2000)</w:t>
      </w:r>
      <w:r w:rsidRPr="003D49EB">
        <w:rPr>
          <w:i/>
          <w:szCs w:val="20"/>
          <w:lang w:val="es-EC"/>
        </w:rPr>
        <w:t>,</w:t>
      </w:r>
      <w:r w:rsidRPr="003D49EB">
        <w:rPr>
          <w:szCs w:val="20"/>
          <w:lang w:val="es-EC"/>
        </w:rPr>
        <w:t xml:space="preserve"> </w:t>
      </w:r>
      <w:r w:rsidRPr="003D49EB">
        <w:rPr>
          <w:rFonts w:cs="Arial"/>
          <w:szCs w:val="20"/>
          <w:lang w:val="es-EC"/>
        </w:rPr>
        <w:t>presentado por una víctima de violencia doméstica,</w:t>
      </w:r>
      <w:r w:rsidRPr="003D49EB">
        <w:rPr>
          <w:i/>
          <w:szCs w:val="20"/>
          <w:lang w:val="es-EC"/>
        </w:rPr>
        <w:t xml:space="preserve"> </w:t>
      </w:r>
      <w:r w:rsidRPr="003D49EB">
        <w:rPr>
          <w:szCs w:val="20"/>
          <w:lang w:val="es-EC"/>
        </w:rPr>
        <w:t xml:space="preserve">la Comisión Interamericana </w:t>
      </w:r>
      <w:r w:rsidRPr="003D49EB">
        <w:rPr>
          <w:rFonts w:cs="Arial"/>
          <w:szCs w:val="20"/>
          <w:lang w:val="es-EC"/>
        </w:rPr>
        <w:t>aplicó por primera vez la Convención Belém do Pará y decidió que</w:t>
      </w:r>
      <w:r w:rsidRPr="003D49EB">
        <w:rPr>
          <w:szCs w:val="20"/>
          <w:lang w:val="es-EC"/>
        </w:rPr>
        <w:t xml:space="preserve"> el </w:t>
      </w:r>
      <w:r w:rsidRPr="003D49EB">
        <w:rPr>
          <w:rFonts w:eastAsia="HiddenHorzOCR" w:cs="HiddenHorzOCR"/>
          <w:szCs w:val="20"/>
          <w:lang w:val="es-EC"/>
        </w:rPr>
        <w:t xml:space="preserve">Estado </w:t>
      </w:r>
      <w:r w:rsidRPr="003D49EB">
        <w:rPr>
          <w:rFonts w:cs="Arial"/>
          <w:szCs w:val="20"/>
          <w:lang w:val="es-EC"/>
        </w:rPr>
        <w:t>había menoscabado su obligación de ejercer la debida diligencia para</w:t>
      </w:r>
      <w:r w:rsidRPr="003D49EB">
        <w:rPr>
          <w:szCs w:val="20"/>
          <w:lang w:val="es-EC"/>
        </w:rPr>
        <w:t xml:space="preserve"> </w:t>
      </w:r>
      <w:r w:rsidRPr="003D49EB">
        <w:rPr>
          <w:rFonts w:cs="Arial"/>
          <w:szCs w:val="20"/>
          <w:lang w:val="es-EC"/>
        </w:rPr>
        <w:t>prevenir, sancionar y erradicar la violencia doméstica, al no condenar y</w:t>
      </w:r>
      <w:r w:rsidRPr="003D49EB">
        <w:rPr>
          <w:szCs w:val="20"/>
          <w:lang w:val="es-EC"/>
        </w:rPr>
        <w:t xml:space="preserve"> </w:t>
      </w:r>
      <w:r w:rsidRPr="003D49EB">
        <w:rPr>
          <w:rFonts w:cs="Arial"/>
          <w:szCs w:val="20"/>
          <w:lang w:val="es-EC"/>
        </w:rPr>
        <w:t>sancionar al victimario durante quince</w:t>
      </w:r>
      <w:r w:rsidRPr="003D49EB">
        <w:rPr>
          <w:szCs w:val="20"/>
          <w:lang w:val="es-EC"/>
        </w:rPr>
        <w:t xml:space="preserve"> años pese a las reclamaciones oportunamente efectuadas. La Comisión concluyó que dado que la violación forma parte de un “patrón general de negligencia y falta de efectividad del Estado”, no sólo se violaba la obligación de procesar y condenar, sino también la de prevenir estas prácticas degradantes.</w:t>
      </w:r>
    </w:p>
    <w:p w14:paraId="00B58D9E" w14:textId="77777777" w:rsidR="005243C0" w:rsidRPr="003D49EB" w:rsidRDefault="005243C0" w:rsidP="009A4683">
      <w:pPr>
        <w:widowControl w:val="0"/>
        <w:autoSpaceDE w:val="0"/>
        <w:autoSpaceDN w:val="0"/>
        <w:adjustRightInd w:val="0"/>
        <w:spacing w:before="120" w:after="100" w:afterAutospacing="1"/>
        <w:rPr>
          <w:b/>
          <w:szCs w:val="20"/>
          <w:lang w:val="es-EC"/>
        </w:rPr>
      </w:pPr>
      <w:r w:rsidRPr="003D49EB">
        <w:rPr>
          <w:rFonts w:cs="TTE16D1F90t00"/>
          <w:szCs w:val="20"/>
          <w:lang w:val="es-EC" w:bidi="en-US"/>
        </w:rPr>
        <w:lastRenderedPageBreak/>
        <w:t>256.</w:t>
      </w:r>
      <w:r w:rsidRPr="003D49EB">
        <w:rPr>
          <w:rFonts w:cs="TTE16D1F90t00"/>
          <w:szCs w:val="20"/>
          <w:lang w:val="es-EC" w:bidi="en-US"/>
        </w:rPr>
        <w:tab/>
        <w:t xml:space="preserve">De otra parte, la Relatoría Especial sobre la violencia contra la mujer de la ONU ha proporcionado directrices sobre qué medidas deben tomar los Estados para cumplir con sus obligaciones internacionales de debida diligencia en cuanto a prevención, a saber: ratificación de los instrumentos internacionales de derechos humanos; garantías </w:t>
      </w:r>
      <w:r w:rsidRPr="003D49EB">
        <w:rPr>
          <w:rFonts w:cs="TimesNewRoman"/>
          <w:szCs w:val="20"/>
          <w:lang w:val="es-EC"/>
        </w:rPr>
        <w:t>constitucionales</w:t>
      </w:r>
      <w:r w:rsidRPr="003D49EB">
        <w:rPr>
          <w:szCs w:val="20"/>
          <w:lang w:val="es-EC"/>
        </w:rPr>
        <w:t xml:space="preserve"> </w:t>
      </w:r>
      <w:r w:rsidRPr="003D49EB">
        <w:rPr>
          <w:rFonts w:cs="TimesNewRoman"/>
          <w:szCs w:val="20"/>
          <w:lang w:val="es-EC"/>
        </w:rPr>
        <w:t>sobre la igualdad de la mujer; existencia de leyes nacionales y sanciones administrativas que</w:t>
      </w:r>
      <w:r w:rsidRPr="003D49EB">
        <w:rPr>
          <w:szCs w:val="20"/>
          <w:lang w:val="es-EC"/>
        </w:rPr>
        <w:t xml:space="preserve"> </w:t>
      </w:r>
      <w:r w:rsidRPr="003D49EB">
        <w:rPr>
          <w:rFonts w:cs="TimesNewRoman"/>
          <w:szCs w:val="20"/>
          <w:lang w:val="es-EC"/>
        </w:rPr>
        <w:t>proporcionen reparación adecuada a las mujeres víctimas de la violencia; políticas o planes de acción que se ocupen de la cuestión de la violencia contra la mujer; sensibilización del sistema</w:t>
      </w:r>
      <w:r w:rsidRPr="003D49EB">
        <w:rPr>
          <w:szCs w:val="20"/>
          <w:lang w:val="es-EC"/>
        </w:rPr>
        <w:t xml:space="preserve"> </w:t>
      </w:r>
      <w:r w:rsidRPr="003D49EB">
        <w:rPr>
          <w:rFonts w:cs="TimesNewRoman"/>
          <w:szCs w:val="20"/>
          <w:lang w:val="es-EC"/>
        </w:rPr>
        <w:t>de justicia penal y la policía en cuanto a cuestiones de género, accesibilidad y disponibilidad de</w:t>
      </w:r>
      <w:r w:rsidRPr="003D49EB">
        <w:rPr>
          <w:szCs w:val="20"/>
          <w:lang w:val="es-EC"/>
        </w:rPr>
        <w:t xml:space="preserve"> </w:t>
      </w:r>
      <w:r w:rsidRPr="003D49EB">
        <w:rPr>
          <w:rFonts w:cs="TimesNewRoman"/>
          <w:szCs w:val="20"/>
          <w:lang w:val="es-EC"/>
        </w:rPr>
        <w:t>servicios de apoyo; existencia de medidas para aumentar la sensibilización y modificar las</w:t>
      </w:r>
      <w:r w:rsidRPr="003D49EB">
        <w:rPr>
          <w:szCs w:val="20"/>
          <w:lang w:val="es-EC"/>
        </w:rPr>
        <w:t xml:space="preserve"> </w:t>
      </w:r>
      <w:r w:rsidRPr="003D49EB">
        <w:rPr>
          <w:rFonts w:cs="TimesNewRoman"/>
          <w:szCs w:val="20"/>
          <w:lang w:val="es-EC"/>
        </w:rPr>
        <w:t>políticas discriminatorias en la esfera de la educación y en los medios de información, y reunión</w:t>
      </w:r>
      <w:r w:rsidRPr="003D49EB">
        <w:rPr>
          <w:szCs w:val="20"/>
          <w:lang w:val="es-EC"/>
        </w:rPr>
        <w:t xml:space="preserve"> </w:t>
      </w:r>
      <w:r w:rsidRPr="003D49EB">
        <w:rPr>
          <w:rFonts w:cs="TimesNewRoman"/>
          <w:szCs w:val="20"/>
          <w:lang w:val="es-EC"/>
        </w:rPr>
        <w:t>de datos y elaboración de estadísticas sobre la violencia contra la mujer.</w:t>
      </w:r>
    </w:p>
    <w:p w14:paraId="500686EB" w14:textId="77777777" w:rsidR="005243C0" w:rsidRPr="003D49EB" w:rsidRDefault="005243C0" w:rsidP="009A4683">
      <w:pPr>
        <w:widowControl w:val="0"/>
        <w:autoSpaceDE w:val="0"/>
        <w:autoSpaceDN w:val="0"/>
        <w:adjustRightInd w:val="0"/>
        <w:spacing w:before="120" w:after="100" w:afterAutospacing="1"/>
        <w:rPr>
          <w:szCs w:val="20"/>
          <w:lang w:val="es-EC"/>
        </w:rPr>
      </w:pPr>
      <w:r w:rsidRPr="003D49EB">
        <w:rPr>
          <w:szCs w:val="20"/>
          <w:lang w:val="es-EC"/>
        </w:rPr>
        <w:t>258.</w:t>
      </w:r>
      <w:r w:rsidRPr="003D49EB">
        <w:rPr>
          <w:szCs w:val="20"/>
          <w:lang w:val="es-EC"/>
        </w:rPr>
        <w:tab/>
        <w:t>De todo lo anterior, se desprende que los Estados deben adoptar medidas integrales para cumplir con la debida diligencia en casos de violencia contra las mujeres. En particular, deben contar con un adecuado marco jurídico de protección, con una aplicación efectiva del mismo y con políticas de prevención y prácticas que permitan actuar de una manera eficaz ante las denuncias. La estrategia de prevención debe ser integral, es decir, debe prevenir los factores de riesgo y a la vez fortalecer las instituciones para que puedan proporcionar una respuesta efectiva a los casos de violencia contra la mujer. Asimismo, los Estados deben adoptar medidas preventivas en casos específicos en los que es evidente que determinadas mujeres y niñas pueden ser víctimas de violencia. Todo esto debe tomar en cuenta que en casos de violencia contra la mujer, los Estados tienen, además de las obligaciones genéricas contenidas en la Convención Americana, una obligación reforzada a partir de la Convención Belém do Pará. La Corte pasará ahora a analizar las medidas adoptadas por el Estado hasta la fecha de los hechos del presente caso para cumplir con su deber de prevención.</w:t>
      </w:r>
    </w:p>
    <w:p w14:paraId="2572B8C5" w14:textId="77777777" w:rsidR="005243C0" w:rsidRPr="003D49EB" w:rsidRDefault="005243C0" w:rsidP="009A4683">
      <w:pPr>
        <w:widowControl w:val="0"/>
        <w:autoSpaceDE w:val="0"/>
        <w:autoSpaceDN w:val="0"/>
        <w:adjustRightInd w:val="0"/>
        <w:spacing w:before="120" w:after="100" w:afterAutospacing="1"/>
        <w:rPr>
          <w:b/>
          <w:szCs w:val="20"/>
          <w:lang w:val="es-EC"/>
        </w:rPr>
      </w:pPr>
      <w:r w:rsidRPr="003D49EB">
        <w:rPr>
          <w:szCs w:val="20"/>
          <w:lang w:val="es-EC"/>
        </w:rPr>
        <w:t>279.</w:t>
      </w:r>
      <w:r w:rsidRPr="003D49EB">
        <w:rPr>
          <w:szCs w:val="20"/>
          <w:lang w:val="es-EC"/>
        </w:rPr>
        <w:tab/>
        <w:t xml:space="preserve">A pesar de que el Estado tenía pleno conocimiento del riesgo que corrían las mujeres de ser objeto de violencia, no demostró haber adoptado medidas efectivas de prevención antes de noviembre de 2001 que redujeran los factores de riesgo para las mujeres. Aunque el deber de prevención sea </w:t>
      </w:r>
      <w:r w:rsidR="00984FCA" w:rsidRPr="003D49EB">
        <w:rPr>
          <w:szCs w:val="20"/>
          <w:lang w:val="es-EC"/>
        </w:rPr>
        <w:t xml:space="preserve">uno de medio y no de resultado </w:t>
      </w:r>
      <w:r w:rsidR="00984FCA" w:rsidRPr="003D49EB">
        <w:rPr>
          <w:szCs w:val="20"/>
        </w:rPr>
        <w:t>[…]</w:t>
      </w:r>
      <w:r w:rsidRPr="003D49EB">
        <w:rPr>
          <w:szCs w:val="20"/>
          <w:lang w:val="es-EC"/>
        </w:rPr>
        <w:t>, el Estado no ha demostrado que la creación de la FEIHM y algunas adiciones a su marco legislativo, por más que fueran necesarias y demuestren un compromiso estatal, fueran suficientes y efectivas para prevenir las graves manifestaciones de la violencia contra la mujer que se vivía en Ciudad Juárez en la época del presente caso.</w:t>
      </w:r>
    </w:p>
    <w:p w14:paraId="3D2722E0" w14:textId="77777777" w:rsidR="005243C0" w:rsidRPr="003D49EB" w:rsidRDefault="005243C0" w:rsidP="009A4683">
      <w:pPr>
        <w:widowControl w:val="0"/>
        <w:autoSpaceDE w:val="0"/>
        <w:autoSpaceDN w:val="0"/>
        <w:adjustRightInd w:val="0"/>
        <w:spacing w:before="120" w:after="100" w:afterAutospacing="1"/>
        <w:rPr>
          <w:b/>
          <w:szCs w:val="20"/>
          <w:lang w:val="es-EC"/>
        </w:rPr>
      </w:pPr>
      <w:r w:rsidRPr="003D49EB">
        <w:rPr>
          <w:szCs w:val="20"/>
          <w:lang w:val="es-EC"/>
        </w:rPr>
        <w:t>280.</w:t>
      </w:r>
      <w:r w:rsidRPr="003D49EB">
        <w:rPr>
          <w:szCs w:val="20"/>
          <w:lang w:val="es-EC"/>
        </w:rPr>
        <w:tab/>
        <w:t>Ahora bien, conforme a jurisprudencia de la Corte es claro que un Estado no puede ser responsable por cualquier violación de derechos humanos cometida entre particulares dentro de su jurisdicción. En efecto, las obligaciones convencionales de garantía a cargo de los Estados no implican una responsabilidad ilimitada de los Estados frente a cualquier acto o hecho de particulares, pues sus deberes de adoptar medidas de prevención y protección de los particulares en sus relaciones entre sí se encuentran condicionados al conocimiento de una situación de riesgo real e inmediato para un individuo o grupo de individuos determinado y a las posibilidades razonables de prevenir o evitar ese riesgo. Es decir, aunque un acto u omisión de un particular tenga como consecuencia jurídica la violación de determinados derechos humanos de otro particular, aquél no es automáticamente atribuible al Estado, pues debe atenderse a las circunstancias particulares del caso y a la concreción de dichas obligaciones de garantía.</w:t>
      </w:r>
    </w:p>
    <w:p w14:paraId="2171C5E4" w14:textId="77777777" w:rsidR="005243C0" w:rsidRPr="003D49EB" w:rsidRDefault="005243C0" w:rsidP="009A4683">
      <w:pPr>
        <w:widowControl w:val="0"/>
        <w:autoSpaceDE w:val="0"/>
        <w:autoSpaceDN w:val="0"/>
        <w:adjustRightInd w:val="0"/>
        <w:spacing w:before="120" w:after="100" w:afterAutospacing="1"/>
        <w:rPr>
          <w:rFonts w:cs="Arial"/>
          <w:szCs w:val="20"/>
        </w:rPr>
      </w:pPr>
      <w:r w:rsidRPr="003D49EB">
        <w:rPr>
          <w:szCs w:val="20"/>
          <w:lang w:val="es-EC"/>
        </w:rPr>
        <w:t>282.</w:t>
      </w:r>
      <w:r w:rsidRPr="003D49EB">
        <w:rPr>
          <w:szCs w:val="20"/>
          <w:lang w:val="es-EC"/>
        </w:rPr>
        <w:tab/>
        <w:t xml:space="preserve">Sobre el primer momento –antes de la desaparición de las víctimas- la Corte considera que la falta de prevención de la desaparición no conlleva </w:t>
      </w:r>
      <w:r w:rsidRPr="003D49EB">
        <w:rPr>
          <w:i/>
          <w:szCs w:val="20"/>
          <w:lang w:val="es-EC"/>
        </w:rPr>
        <w:t xml:space="preserve">per se </w:t>
      </w:r>
      <w:r w:rsidRPr="003D49EB">
        <w:rPr>
          <w:szCs w:val="20"/>
          <w:lang w:val="es-EC"/>
        </w:rPr>
        <w:t xml:space="preserve">la responsabilidad internacional del Estado porque, a pesar de que éste tenía </w:t>
      </w:r>
      <w:r w:rsidRPr="003D49EB">
        <w:rPr>
          <w:szCs w:val="20"/>
          <w:lang w:val="es-EC"/>
        </w:rPr>
        <w:lastRenderedPageBreak/>
        <w:t xml:space="preserve">conocimiento de una situación de riesgo para las mujeres en Ciudad Juárez, no ha sido establecido que tenía conocimiento de un riesgo real e inmediato para las víctimas de este caso. Aunque el contexto en este caso y sus obligaciones internacionales le imponen al Estado una responsabilidad reforzada con respecto a la protección de mujeres en Ciudad Juárez, quienes se encontraban en una situación de vulnerabilidad, especialmente las mujeres jóvenes y humildes, no le imponen una responsabilidad ilimitada frente a cualquier hecho ilícito en contra de ellas. Finalmente, </w:t>
      </w:r>
      <w:r w:rsidRPr="003D49EB">
        <w:rPr>
          <w:rFonts w:cs="Arial"/>
          <w:szCs w:val="20"/>
        </w:rPr>
        <w:t>la Corte no puede sino hacer presente que la ausencia de una política general que se hubiera iniciado por lo menos en 1998 –cuando la CNDH advirtió del patrón de violencia contra la mujer en Ciudad Juárez-, es una falta del Estado en el cumplimiento general de su obligación de prevención.</w:t>
      </w:r>
    </w:p>
    <w:p w14:paraId="24C17F7E" w14:textId="77777777" w:rsidR="005243C0" w:rsidRPr="003D49EB" w:rsidRDefault="005243C0" w:rsidP="009A4683">
      <w:pPr>
        <w:widowControl w:val="0"/>
        <w:autoSpaceDE w:val="0"/>
        <w:autoSpaceDN w:val="0"/>
        <w:adjustRightInd w:val="0"/>
        <w:spacing w:before="120" w:after="100" w:afterAutospacing="1"/>
        <w:rPr>
          <w:b/>
          <w:szCs w:val="20"/>
          <w:lang w:val="es-EC"/>
        </w:rPr>
      </w:pPr>
      <w:r w:rsidRPr="003D49EB">
        <w:rPr>
          <w:szCs w:val="20"/>
          <w:lang w:val="es-EC"/>
        </w:rPr>
        <w:t>283.</w:t>
      </w:r>
      <w:r w:rsidRPr="003D49EB">
        <w:rPr>
          <w:szCs w:val="20"/>
          <w:lang w:val="es-EC"/>
        </w:rPr>
        <w:tab/>
        <w:t xml:space="preserve">En cuanto al segundo momento –antes del hallazgo de los cuerpos- el Estado, dado el contexto del caso, tuvo conocimiento de que existía un riesgo real e inmediato de que las víctimas fueran agredidas sexualmente, sometidas a vejámenes y asesinadas. La Corte considera que </w:t>
      </w:r>
      <w:r w:rsidRPr="003D49EB">
        <w:rPr>
          <w:rFonts w:cs="Tahoma"/>
          <w:szCs w:val="20"/>
          <w:lang w:val="es-EC"/>
        </w:rPr>
        <w:t xml:space="preserve">ante tal contexto surge un deber de debida diligencia estricta frente a denuncias de desaparición de mujeres, respecto a su búsqueda durante las primeras horas y los primeros días. Esta obligación de medio, al ser más estricta, exige la realización exhaustiva de actividades de búsqueda. En particular, </w:t>
      </w:r>
      <w:r w:rsidRPr="003D49EB">
        <w:rPr>
          <w:szCs w:val="20"/>
          <w:lang w:val="es-EC"/>
        </w:rPr>
        <w:t>es imprescindible la actuación pronta e inmediata de las autoridades policiales, fiscales y judiciales ordenando medidas oportunas y necesarias dirigidas a la determinación del paradero de las víctimas o el lugar donde puedan encontrarse privadas de libertad. Deben existir procedimientos adecuados para las denuncias y que éstas conlleven una investigación efectiva desde las primeras horas. Las autoridades deben presumir que la persona desaparecida está privada de libertad y sigue con vida hasta que se ponga fin a la incertidumbre sobre la suerte que ha corrido.</w:t>
      </w:r>
    </w:p>
    <w:p w14:paraId="2E44B913" w14:textId="77777777" w:rsidR="005243C0" w:rsidRPr="003D49EB" w:rsidRDefault="005243C0" w:rsidP="009A4683">
      <w:pPr>
        <w:widowControl w:val="0"/>
        <w:autoSpaceDE w:val="0"/>
        <w:autoSpaceDN w:val="0"/>
        <w:adjustRightInd w:val="0"/>
        <w:spacing w:before="120" w:after="100" w:afterAutospacing="1"/>
        <w:rPr>
          <w:b/>
          <w:szCs w:val="20"/>
          <w:lang w:val="es-EC"/>
        </w:rPr>
      </w:pPr>
      <w:r w:rsidRPr="003D49EB">
        <w:rPr>
          <w:szCs w:val="20"/>
          <w:lang w:val="es-EC"/>
        </w:rPr>
        <w:t>284.</w:t>
      </w:r>
      <w:r w:rsidRPr="003D49EB">
        <w:rPr>
          <w:szCs w:val="20"/>
          <w:lang w:val="es-EC"/>
        </w:rPr>
        <w:tab/>
        <w:t>México no demostró haber adoptado las medidas razonables, conforme a las circunstancias que rodeaban a los casos, para encontrar a las víctimas con vida. El Estado no actuó con prontitud dentro de las primeras horas y días luego de las denuncias de desaparición, dejando perder horas valiosas. En el período entre las denuncias y el hallazgo de los cuerpos de las víctimas, el Estado se limitó a realizar formalidades y a tomar declaraciones que, aunque importantes, perdieron su valor una vez éstas no repercutieron en acciones de búsqueda específicas. Además, las actitudes y declaraciones de los funcionarios hacia los familiares de las víctimas que daban a entender que las denuncias de desaparición no debían ser tratadas con urgencia e inmediatez llevan al Tribunal razonablemente a concluir que hubo demoras injustificadas luego de las presentaciones de las denuncias de desaparición. Todo esto demuestra que el Estado no actuó con la debida diligencia requerida para prevenir adecuadamente las muertes y agresiones sufridas por las víctimas y que no actuó como razonablemente era de esperarse de acuerdo a las circunstancias del caso para poner fin a su privación de libertad. Este incumplimiento del deber de garantía es particularmente serio debido al contexto conocido por el Estado -el cual ponía a las mujeres en una situación especial de vulnerabilidad- y a las obligaciones reforzadas impuestas en casos de violencia contra la mujer por el artículo 7.b de la Convención Belém do Pará.</w:t>
      </w:r>
    </w:p>
    <w:p w14:paraId="1D7CDF80" w14:textId="77777777" w:rsidR="005243C0" w:rsidRPr="003D49EB" w:rsidRDefault="005243C0" w:rsidP="009A4683">
      <w:pPr>
        <w:widowControl w:val="0"/>
        <w:autoSpaceDE w:val="0"/>
        <w:autoSpaceDN w:val="0"/>
        <w:adjustRightInd w:val="0"/>
        <w:spacing w:before="120" w:after="100" w:afterAutospacing="1"/>
        <w:rPr>
          <w:b/>
          <w:szCs w:val="20"/>
          <w:lang w:val="es-EC"/>
        </w:rPr>
      </w:pPr>
      <w:r w:rsidRPr="003D49EB">
        <w:rPr>
          <w:szCs w:val="20"/>
          <w:lang w:val="es-EC"/>
        </w:rPr>
        <w:t>285.</w:t>
      </w:r>
      <w:r w:rsidRPr="003D49EB">
        <w:rPr>
          <w:szCs w:val="20"/>
          <w:lang w:val="es-EC"/>
        </w:rPr>
        <w:tab/>
        <w:t xml:space="preserve">Además, la Corte considera que el Estado no demostró haber adoptado normas o implementado las medidas necesarias, conforme al artículo 2 de la Convención Americana y al artículo 7.c de la Convención Belém do Pará, que permitieran a las autoridades ofrecer una respuesta inmediata y eficaz ante las denuncias de desaparición y prevenir adecuadamente la violencia contra la mujer. Tampoco demostró haber adoptado normas o tomado medidas para que los funcionarios responsables de recibir las denuncias tuvieran la capacidad y la sensibilidad para entender la gravedad del fenómeno de la violencia contra la mujer </w:t>
      </w:r>
      <w:r w:rsidRPr="003D49EB">
        <w:rPr>
          <w:szCs w:val="20"/>
          <w:lang w:val="es-EC"/>
        </w:rPr>
        <w:lastRenderedPageBreak/>
        <w:t>y la voluntad para actuar de inmediato.</w:t>
      </w:r>
    </w:p>
    <w:p w14:paraId="5A9703EB" w14:textId="2D0B90F5" w:rsidR="000361F1" w:rsidRPr="003D49EB" w:rsidRDefault="00667E3D" w:rsidP="009A4683">
      <w:pPr>
        <w:spacing w:after="100" w:afterAutospacing="1"/>
        <w:rPr>
          <w:szCs w:val="20"/>
          <w:lang w:val="es-ES_tradnl"/>
        </w:rPr>
      </w:pPr>
      <w:r w:rsidRPr="003D49EB">
        <w:rPr>
          <w:b/>
          <w:szCs w:val="20"/>
        </w:rPr>
        <w:t>Corte IDH. Caso Familia Barrios Vs. Venezuela. Fondo, Reparaciones y Costas. Sentencia de 24 de noviembre de 2011. Serie C No. 237.</w:t>
      </w:r>
      <w:r w:rsidR="000361F1" w:rsidRPr="003D49EB">
        <w:rPr>
          <w:b/>
          <w:szCs w:val="20"/>
        </w:rPr>
        <w:t xml:space="preserve"> </w:t>
      </w:r>
    </w:p>
    <w:p w14:paraId="6E7E4714" w14:textId="2FC4CF76" w:rsidR="00304500" w:rsidRPr="003D49EB" w:rsidRDefault="000361F1" w:rsidP="009A4683">
      <w:r w:rsidRPr="003D49EB">
        <w:t>124.</w:t>
      </w:r>
      <w:r w:rsidRPr="003D49EB">
        <w:tab/>
        <w:t xml:space="preserve">En este caso, el Estado tenía pleno conocimiento del riesgo que corrían los referidos miembros de la familia Barrios, tanto por efecto de las denuncias y medidas de protección solicitadas y ordenadas a nivel interno, como en virtud de las medidas cautelares y provisionales ordenadas por los órganos del Sistema Interamericano. Como beneficiarios de medidas cautelares y provisionales dispuestas por la Comisión y por la Corte, y del consecuente riesgo a su vida resultante de las amenazas y hechos de violencia ocurridos en contra de ellos mismos y de sus familiares, el deber de diligencia estatal para prevenir la vulneración de sus derechos adquirió un carácter especial y más estricto respecto de los señores Luis Alberto Barrios, Oscar José Barrios, Wilmer José Flores Barios, Néstor </w:t>
      </w:r>
      <w:proofErr w:type="spellStart"/>
      <w:r w:rsidRPr="003D49EB">
        <w:t>Caudi</w:t>
      </w:r>
      <w:proofErr w:type="spellEnd"/>
      <w:r w:rsidRPr="003D49EB">
        <w:t xml:space="preserve"> Barrios y Juan José Barrios. </w:t>
      </w:r>
      <w:r w:rsidRPr="003D49EB">
        <w:rPr>
          <w:rFonts w:cs="Tahoma"/>
        </w:rPr>
        <w:t xml:space="preserve">Esta obligación de medio, al ser más estricta, exigía </w:t>
      </w:r>
      <w:r w:rsidRPr="003D49EB">
        <w:t>la actuación pronta e inmediata de los órganos estatales ordenando medidas oportunas y necesarias dirigidas a la determinación de los responsables de las amenazas y de los crímenes acontecidos en el mismo contexto</w:t>
      </w:r>
      <w:r w:rsidR="000C47B9" w:rsidRPr="003D49EB">
        <w:t>.</w:t>
      </w:r>
    </w:p>
    <w:p w14:paraId="2C57AE25" w14:textId="77777777" w:rsidR="00667E3D" w:rsidRPr="003D49EB" w:rsidRDefault="00667E3D" w:rsidP="009A4683"/>
    <w:p w14:paraId="7D79BC01" w14:textId="4C763AC7" w:rsidR="00304500" w:rsidRPr="003D49EB" w:rsidRDefault="003104C3" w:rsidP="009A4683">
      <w:pPr>
        <w:spacing w:after="100" w:afterAutospacing="1"/>
        <w:rPr>
          <w:b/>
          <w:bCs/>
          <w:szCs w:val="20"/>
          <w:shd w:val="clear" w:color="auto" w:fill="FFFFFF"/>
        </w:rPr>
      </w:pPr>
      <w:r w:rsidRPr="003104C3">
        <w:rPr>
          <w:b/>
          <w:bCs/>
          <w:szCs w:val="20"/>
          <w:shd w:val="clear" w:color="auto" w:fill="FFFFFF"/>
        </w:rPr>
        <w:t xml:space="preserve">Corte IDH. Caso </w:t>
      </w:r>
      <w:proofErr w:type="spellStart"/>
      <w:r w:rsidRPr="003104C3">
        <w:rPr>
          <w:b/>
          <w:bCs/>
          <w:szCs w:val="20"/>
          <w:shd w:val="clear" w:color="auto" w:fill="FFFFFF"/>
        </w:rPr>
        <w:t>Uzcátegui</w:t>
      </w:r>
      <w:proofErr w:type="spellEnd"/>
      <w:r w:rsidRPr="003104C3">
        <w:rPr>
          <w:b/>
          <w:bCs/>
          <w:szCs w:val="20"/>
          <w:shd w:val="clear" w:color="auto" w:fill="FFFFFF"/>
        </w:rPr>
        <w:t xml:space="preserve"> y otros Vs. Venezuela. Fondo y Reparaciones. Sentencia de 3 de septiembre de 2012. Serie C No. 249.</w:t>
      </w:r>
      <w:r>
        <w:rPr>
          <w:rStyle w:val="Refdenotaalpie"/>
          <w:b/>
          <w:bCs/>
          <w:szCs w:val="20"/>
          <w:shd w:val="clear" w:color="auto" w:fill="FFFFFF"/>
        </w:rPr>
        <w:footnoteReference w:id="81"/>
      </w:r>
    </w:p>
    <w:p w14:paraId="422E6860" w14:textId="77777777" w:rsidR="00304500" w:rsidRPr="003D49EB" w:rsidRDefault="00304500" w:rsidP="009A4683">
      <w:r w:rsidRPr="003D49EB">
        <w:t>186.</w:t>
      </w:r>
      <w:r w:rsidRPr="003D49EB">
        <w:tab/>
        <w:t xml:space="preserve">Por otro lado, según fue señalado, entre finales de 2002 y comienzos de 2003, Luís </w:t>
      </w:r>
      <w:proofErr w:type="spellStart"/>
      <w:r w:rsidRPr="003D49EB">
        <w:t>Uzcátegui</w:t>
      </w:r>
      <w:proofErr w:type="spellEnd"/>
      <w:r w:rsidRPr="003D49EB">
        <w:t xml:space="preserve"> tuvo que cambiar a menudo de domicilio y trasladarse fuera del estado Falcón, en razón de las amenazas y actos de hostigamiento recibidos […]. </w:t>
      </w:r>
    </w:p>
    <w:p w14:paraId="6AE0A1C3" w14:textId="77777777" w:rsidR="003104C3" w:rsidRDefault="003104C3" w:rsidP="009A4683"/>
    <w:p w14:paraId="09670804" w14:textId="4381EFFD" w:rsidR="00304500" w:rsidRPr="003D49EB" w:rsidRDefault="00304500" w:rsidP="009A4683">
      <w:r w:rsidRPr="003D49EB">
        <w:t>189.</w:t>
      </w:r>
      <w:r w:rsidRPr="003D49EB">
        <w:tab/>
        <w:t xml:space="preserve">En este caso, el señor </w:t>
      </w:r>
      <w:proofErr w:type="spellStart"/>
      <w:r w:rsidRPr="003D49EB">
        <w:t>Uzcátegui</w:t>
      </w:r>
      <w:proofErr w:type="spellEnd"/>
      <w:r w:rsidRPr="003D49EB">
        <w:t xml:space="preserve"> fue mantenido en una situación de incertidumbre, inseguridad e intimidación por la existencia de un proceso penal en su contra, en atención al alto cargo que ocupaba quien presentó la querella, señalado a su vez en dichas expresiones como uno de los presuntos responsables de los hechos, en el referido contexto y ante los actos de amenaza, hostigamiento y detenciones ilegales. Así, el </w:t>
      </w:r>
      <w:r w:rsidRPr="003D49EB">
        <w:rPr>
          <w:lang w:val="es-CR"/>
        </w:rPr>
        <w:t xml:space="preserve">proceso penal pudo haber generado un efecto intimidador o inhibidor en el ejercicio de su libertad de expresión, </w:t>
      </w:r>
      <w:r w:rsidRPr="003D49EB">
        <w:t xml:space="preserve">contrario a la obligación estatal de garantizar el libre y pleno ejercicio de este derecho en una sociedad democrática. </w:t>
      </w:r>
    </w:p>
    <w:p w14:paraId="1B2577A1" w14:textId="77777777" w:rsidR="003104C3" w:rsidRDefault="003104C3" w:rsidP="009A4683"/>
    <w:p w14:paraId="32F8B695" w14:textId="1B88EF13" w:rsidR="003104C3" w:rsidRDefault="00304500" w:rsidP="003104C3">
      <w:r w:rsidRPr="003D49EB">
        <w:t>191.</w:t>
      </w:r>
      <w:r w:rsidRPr="003D49EB">
        <w:tab/>
        <w:t>En consecuencia, la Corte considera</w:t>
      </w:r>
      <w:r w:rsidRPr="003D49EB">
        <w:rPr>
          <w:b/>
        </w:rPr>
        <w:t xml:space="preserve"> </w:t>
      </w:r>
      <w:r w:rsidRPr="003D49EB">
        <w:t xml:space="preserve">que el Estado no ha demostrado haber realizado acciones suficientes y efectivas para prevenir los actos de amenazas y hostigamiento contra Luis Enrique </w:t>
      </w:r>
      <w:proofErr w:type="spellStart"/>
      <w:r w:rsidRPr="003D49EB">
        <w:t>Uzcátegui</w:t>
      </w:r>
      <w:proofErr w:type="spellEnd"/>
      <w:r w:rsidRPr="003D49EB">
        <w:t>, en el contexto particular del estado Falcón de aquel entonces.</w:t>
      </w:r>
      <w:r w:rsidRPr="003D49EB">
        <w:rPr>
          <w:b/>
        </w:rPr>
        <w:t xml:space="preserve"> </w:t>
      </w:r>
      <w:r w:rsidRPr="003D49EB">
        <w:t xml:space="preserve">Por tanto, la Corte considera que el Estado no cumplió con su deber de adoptar las medidas necesarias y razonables para garantizar efectivamente los derechos a la integridad personal y a la libertad de pensamiento y expresión del señor Luis Enrique </w:t>
      </w:r>
      <w:proofErr w:type="spellStart"/>
      <w:r w:rsidRPr="003D49EB">
        <w:t>Uzcátegui</w:t>
      </w:r>
      <w:proofErr w:type="spellEnd"/>
      <w:r w:rsidRPr="003D49EB">
        <w:t>, incumpliendo así la obligación consagrada los artículos 5.1 y 13.1 de la Convención, en relación con el art</w:t>
      </w:r>
      <w:r w:rsidR="00361EDC" w:rsidRPr="003D49EB">
        <w:t>ículo 1.1 de dicho instrumento.</w:t>
      </w:r>
    </w:p>
    <w:p w14:paraId="6F4859C2" w14:textId="77777777" w:rsidR="003104C3" w:rsidRPr="003104C3" w:rsidRDefault="003104C3" w:rsidP="003104C3"/>
    <w:p w14:paraId="7E59CD55" w14:textId="6FB8FFBE" w:rsidR="00AE0978" w:rsidRPr="003D49EB" w:rsidRDefault="003104C3" w:rsidP="009A4683">
      <w:pPr>
        <w:spacing w:after="100" w:afterAutospacing="1"/>
        <w:rPr>
          <w:b/>
          <w:bCs/>
          <w:szCs w:val="20"/>
        </w:rPr>
      </w:pPr>
      <w:r w:rsidRPr="003104C3">
        <w:rPr>
          <w:b/>
          <w:bCs/>
          <w:szCs w:val="20"/>
        </w:rPr>
        <w:lastRenderedPageBreak/>
        <w:t>Corte IDH. Caso Véliz Franco y otros Vs. Guatemala. Excepciones Preliminares, Fondo, Reparaciones y Costas. Sentencia de 19 de mayo de 2014. Serie C No. 277</w:t>
      </w:r>
      <w:r>
        <w:rPr>
          <w:b/>
          <w:bCs/>
          <w:szCs w:val="20"/>
        </w:rPr>
        <w:t>.</w:t>
      </w:r>
      <w:r w:rsidRPr="003104C3">
        <w:rPr>
          <w:b/>
          <w:bCs/>
          <w:szCs w:val="20"/>
          <w:vertAlign w:val="superscript"/>
        </w:rPr>
        <w:footnoteReference w:id="82"/>
      </w:r>
      <w:r w:rsidR="00AE0978" w:rsidRPr="003D49EB">
        <w:rPr>
          <w:b/>
          <w:bCs/>
          <w:szCs w:val="20"/>
        </w:rPr>
        <w:t xml:space="preserve"> </w:t>
      </w:r>
    </w:p>
    <w:p w14:paraId="7B0F81C6" w14:textId="4EE2FCDD" w:rsidR="00C257FF" w:rsidRPr="003D49EB" w:rsidRDefault="00AE0978" w:rsidP="009A4683">
      <w:pPr>
        <w:spacing w:after="100" w:afterAutospacing="1"/>
        <w:rPr>
          <w:bCs/>
          <w:szCs w:val="20"/>
          <w:lang w:val="es-CR"/>
        </w:rPr>
      </w:pPr>
      <w:r w:rsidRPr="003D49EB">
        <w:rPr>
          <w:bCs/>
          <w:szCs w:val="20"/>
          <w:lang w:val="es-CR"/>
        </w:rPr>
        <w:t>147.</w:t>
      </w:r>
      <w:r w:rsidRPr="003D49EB">
        <w:rPr>
          <w:bCs/>
          <w:szCs w:val="20"/>
          <w:lang w:val="es-CR"/>
        </w:rPr>
        <w:tab/>
        <w:t>Teniendo en cuenta lo narrado en la denuncia presentada por la señora Franco Sandoval, considerando también que María Isabel era una niña y que, como fue señalado […], el momento de los hechos se insertaba en un lapso en que la evolución de la violencia homicida por año crecía en Guatemala en forma superior al crecimiento poblacional, la Corte colige que las autoridades estatales debieron tener lo denunciado por Rosa Elvira Franco como una indicación de la probable vulneración de los derechos de la niña. Si bien la citada denuncia no indicó explícitamente que María Isabel había sido víctima de un acto ilícito, resultaba razonable desprender que se encontraba en riesgo. Este Tribunal entiende que, en el marco de la debida diligencia estricta que debe observar el Estado en la garantía de los derechos a la vida</w:t>
      </w:r>
      <w:r w:rsidRPr="003D49EB">
        <w:rPr>
          <w:b/>
          <w:bCs/>
          <w:szCs w:val="20"/>
          <w:lang w:val="es-CR"/>
        </w:rPr>
        <w:t xml:space="preserve"> </w:t>
      </w:r>
      <w:r w:rsidRPr="003D49EB">
        <w:rPr>
          <w:bCs/>
          <w:szCs w:val="20"/>
          <w:lang w:val="es-CR"/>
        </w:rPr>
        <w:t>e integridad personal</w:t>
      </w:r>
      <w:r w:rsidRPr="003D49EB">
        <w:rPr>
          <w:b/>
          <w:bCs/>
          <w:szCs w:val="20"/>
          <w:lang w:val="es-CR"/>
        </w:rPr>
        <w:t xml:space="preserve"> </w:t>
      </w:r>
      <w:r w:rsidRPr="003D49EB">
        <w:rPr>
          <w:bCs/>
          <w:szCs w:val="20"/>
          <w:lang w:val="es-CR"/>
        </w:rPr>
        <w:t xml:space="preserve">de las niñas […], en las circunstancias del caso, los señalamientos efectuados por Rosa Elvira Franco debían tomarse en cuenta, a efectos de la realización de acciones de prevención, como una noticia de la posibilidad cierta de que María Isabel sufriera atentados en su contra. </w:t>
      </w:r>
    </w:p>
    <w:p w14:paraId="1CF27667" w14:textId="0F7427F2" w:rsidR="005E0916" w:rsidRDefault="005E0916" w:rsidP="009A4683">
      <w:pPr>
        <w:pStyle w:val="Ttulo2"/>
      </w:pPr>
      <w:bookmarkStart w:id="71" w:name="_Toc530497999"/>
      <w:bookmarkStart w:id="72" w:name="_Toc88914999"/>
      <w:r w:rsidRPr="003D49EB">
        <w:t>Obligación especial de protección</w:t>
      </w:r>
      <w:bookmarkEnd w:id="71"/>
      <w:bookmarkEnd w:id="72"/>
    </w:p>
    <w:p w14:paraId="762D15F3" w14:textId="77777777" w:rsidR="00D653CC" w:rsidRPr="00D653CC" w:rsidRDefault="00D653CC" w:rsidP="00D653CC">
      <w:pPr>
        <w:rPr>
          <w:lang w:val="es-CR"/>
        </w:rPr>
      </w:pPr>
    </w:p>
    <w:p w14:paraId="1CB50F6F" w14:textId="3AAFFD78" w:rsidR="005E0916" w:rsidRDefault="00AE6F5A" w:rsidP="00D653CC">
      <w:pPr>
        <w:pStyle w:val="Caso"/>
      </w:pPr>
      <w:r w:rsidRPr="003D49EB">
        <w:t xml:space="preserve">Corte IDH. Caso </w:t>
      </w:r>
      <w:proofErr w:type="spellStart"/>
      <w:r w:rsidRPr="003D49EB">
        <w:t>Ximenes</w:t>
      </w:r>
      <w:proofErr w:type="spellEnd"/>
      <w:r w:rsidRPr="003D49EB">
        <w:t xml:space="preserve"> </w:t>
      </w:r>
      <w:proofErr w:type="spellStart"/>
      <w:r w:rsidRPr="003D49EB">
        <w:t>Lopes</w:t>
      </w:r>
      <w:proofErr w:type="spellEnd"/>
      <w:r w:rsidRPr="003D49EB">
        <w:t xml:space="preserve"> Vs. Brasil. Sentencia de 4 de julio de 2006. Serie C No. 149.</w:t>
      </w:r>
      <w:r w:rsidR="005E0916" w:rsidRPr="003D49EB">
        <w:t xml:space="preserve"> </w:t>
      </w:r>
    </w:p>
    <w:p w14:paraId="0C9BB78B" w14:textId="77777777" w:rsidR="00D653CC" w:rsidRPr="003D49EB" w:rsidRDefault="00D653CC" w:rsidP="00D653CC">
      <w:pPr>
        <w:pStyle w:val="Caso"/>
      </w:pPr>
    </w:p>
    <w:p w14:paraId="691DC9C6" w14:textId="77777777" w:rsidR="005E0916" w:rsidRPr="003D49EB" w:rsidRDefault="005E0916" w:rsidP="009A4683">
      <w:pPr>
        <w:spacing w:after="100" w:afterAutospacing="1"/>
        <w:rPr>
          <w:szCs w:val="20"/>
          <w:lang w:val="es-ES_tradnl"/>
        </w:rPr>
      </w:pPr>
      <w:r w:rsidRPr="003D49EB">
        <w:rPr>
          <w:szCs w:val="20"/>
          <w:lang w:val="es-ES_tradnl"/>
        </w:rPr>
        <w:t>137.</w:t>
      </w:r>
      <w:r w:rsidRPr="003D49EB">
        <w:rPr>
          <w:szCs w:val="20"/>
          <w:lang w:val="es-ES_tradnl"/>
        </w:rPr>
        <w:tab/>
        <w:t>La Corte ya señaló que de la obligación general de garantía de los derechos a la vida y a la integridad física, nacen deberes especiales de protección y prevención, los cuales, en el presente caso, se traducen en deberes de cuidar y de regular.</w:t>
      </w:r>
    </w:p>
    <w:p w14:paraId="36D29077" w14:textId="77777777" w:rsidR="005E0916" w:rsidRPr="003D49EB" w:rsidRDefault="005E0916" w:rsidP="009A4683">
      <w:pPr>
        <w:pStyle w:val="Textoindependiente2"/>
        <w:widowControl w:val="0"/>
        <w:spacing w:after="100" w:afterAutospacing="1" w:line="240" w:lineRule="auto"/>
        <w:rPr>
          <w:szCs w:val="20"/>
          <w:lang w:val="es-ES_tradnl"/>
        </w:rPr>
      </w:pPr>
      <w:r w:rsidRPr="003D49EB">
        <w:rPr>
          <w:szCs w:val="20"/>
          <w:lang w:val="es-ES_tradnl"/>
        </w:rPr>
        <w:t>138.</w:t>
      </w:r>
      <w:r w:rsidRPr="003D49EB">
        <w:rPr>
          <w:szCs w:val="20"/>
          <w:lang w:val="es-ES_tradnl"/>
        </w:rPr>
        <w:tab/>
        <w:t>Con la finalidad de determinar las obligaciones del Estado en relación con las personas que padecen de una discapacidad mental, la Corte estima necesario tomar en cuenta, en primer lugar, la posición especial de garante que asume el Estado con respecto a personas que se encuentran bajo su custodia o cuidado, a quienes el Estado tiene la obligación positiva de proveer las condiciones necesarias para desarrollar una v</w:t>
      </w:r>
      <w:r w:rsidR="00BF2C46" w:rsidRPr="003D49EB">
        <w:rPr>
          <w:szCs w:val="20"/>
          <w:lang w:val="es-ES_tradnl"/>
        </w:rPr>
        <w:t>ida digna.</w:t>
      </w:r>
      <w:r w:rsidR="008B18CE" w:rsidRPr="003D49EB">
        <w:rPr>
          <w:szCs w:val="20"/>
          <w:lang w:val="es-ES_tradnl"/>
        </w:rPr>
        <w:t xml:space="preserve"> </w:t>
      </w:r>
    </w:p>
    <w:p w14:paraId="46FCEF69" w14:textId="77777777" w:rsidR="005E0916" w:rsidRPr="003D49EB" w:rsidRDefault="005E0916" w:rsidP="009A4683">
      <w:pPr>
        <w:pStyle w:val="Textoindependiente2"/>
        <w:widowControl w:val="0"/>
        <w:spacing w:after="100" w:afterAutospacing="1" w:line="240" w:lineRule="auto"/>
        <w:rPr>
          <w:szCs w:val="20"/>
          <w:lang w:val="es-ES_tradnl"/>
        </w:rPr>
      </w:pPr>
      <w:r w:rsidRPr="003D49EB">
        <w:rPr>
          <w:szCs w:val="20"/>
          <w:lang w:val="es-ES_tradnl"/>
        </w:rPr>
        <w:t>139.</w:t>
      </w:r>
      <w:r w:rsidRPr="003D49EB">
        <w:rPr>
          <w:szCs w:val="20"/>
          <w:lang w:val="es-ES_tradnl"/>
        </w:rPr>
        <w:tab/>
        <w:t xml:space="preserve">En segundo lugar, el Tribunal considera que lo anterior se aplica de forma especial a las personas que se encuentran recibiendo atención médica, ya que la finalidad última de la prestación de servicios de salud es la mejoría de la condición de salud física o mental del paciente, lo que incrementa significativamente las obligaciones del Estado, y le exige la adopción de las medidas disponibles y </w:t>
      </w:r>
      <w:r w:rsidRPr="003D49EB">
        <w:rPr>
          <w:szCs w:val="20"/>
          <w:lang w:val="es-ES_tradnl"/>
        </w:rPr>
        <w:lastRenderedPageBreak/>
        <w:t>necesarias para impedir el deterioro de la condición del</w:t>
      </w:r>
      <w:r w:rsidR="00BF2C46" w:rsidRPr="003D49EB">
        <w:rPr>
          <w:szCs w:val="20"/>
          <w:lang w:val="es-ES_tradnl"/>
        </w:rPr>
        <w:t xml:space="preserve"> paciente y optimizar su salud.</w:t>
      </w:r>
    </w:p>
    <w:p w14:paraId="7079623D" w14:textId="77777777" w:rsidR="005E0916" w:rsidRPr="003D49EB" w:rsidRDefault="005E0916" w:rsidP="009A4683">
      <w:pPr>
        <w:pStyle w:val="Textoindependiente2"/>
        <w:widowControl w:val="0"/>
        <w:spacing w:after="100" w:afterAutospacing="1" w:line="240" w:lineRule="auto"/>
        <w:rPr>
          <w:szCs w:val="20"/>
          <w:lang w:val="es-ES_tradnl"/>
        </w:rPr>
      </w:pPr>
      <w:r w:rsidRPr="003D49EB">
        <w:rPr>
          <w:szCs w:val="20"/>
          <w:lang w:val="es-ES_tradnl"/>
        </w:rPr>
        <w:t>140.</w:t>
      </w:r>
      <w:r w:rsidRPr="003D49EB">
        <w:rPr>
          <w:szCs w:val="20"/>
          <w:lang w:val="es-ES_tradnl"/>
        </w:rPr>
        <w:tab/>
        <w:t>Finalmente, los cuidados de que son titulares todas las personas que se encuentran recibiendo atención médica, alcanzan su máxima exigencia cuando se refieren a pacientes con discapacidad mental, dada su particular vulnerabilidad cuando se encuentran en ins</w:t>
      </w:r>
      <w:r w:rsidR="00BF2C46" w:rsidRPr="003D49EB">
        <w:rPr>
          <w:szCs w:val="20"/>
          <w:lang w:val="es-ES_tradnl"/>
        </w:rPr>
        <w:t>tituciones psiquiátricas.</w:t>
      </w:r>
    </w:p>
    <w:p w14:paraId="7BBAA8DB" w14:textId="77777777" w:rsidR="000361F1" w:rsidRPr="003D49EB" w:rsidRDefault="005E0916" w:rsidP="009A4683">
      <w:pPr>
        <w:spacing w:after="100" w:afterAutospacing="1"/>
        <w:rPr>
          <w:szCs w:val="20"/>
          <w:lang w:val="es-ES_tradnl"/>
        </w:rPr>
      </w:pPr>
      <w:r w:rsidRPr="003D49EB">
        <w:rPr>
          <w:szCs w:val="20"/>
          <w:lang w:val="es-ES_tradnl"/>
        </w:rPr>
        <w:t>146.</w:t>
      </w:r>
      <w:r w:rsidRPr="003D49EB">
        <w:rPr>
          <w:szCs w:val="20"/>
          <w:lang w:val="es-ES_tradnl"/>
        </w:rPr>
        <w:tab/>
        <w:t>El Estado tiene responsabilidad internacional por incumplir, en el presente caso, su deber de cuidar y de prevenir la vulneración de la vida y de la integridad personal, así como su deber de regular y fiscalizar la atención médica de salud, los que constituyen deberes especiales derivados de la obligación de garantizar los derechos consagrados en los artículos 4 y 5 de la Convención Americana.</w:t>
      </w:r>
    </w:p>
    <w:p w14:paraId="42ECCC93" w14:textId="3763003D" w:rsidR="005E0916" w:rsidRPr="008624B8" w:rsidRDefault="00667E3D" w:rsidP="009A4683">
      <w:pPr>
        <w:spacing w:after="100" w:afterAutospacing="1"/>
        <w:rPr>
          <w:sz w:val="18"/>
          <w:szCs w:val="18"/>
          <w:lang w:val="es-ES_tradnl"/>
        </w:rPr>
      </w:pPr>
      <w:r w:rsidRPr="008624B8">
        <w:rPr>
          <w:b/>
          <w:sz w:val="22"/>
          <w:szCs w:val="18"/>
        </w:rPr>
        <w:t>Corte IDH. Caso Familia Barrios Vs. Venezuela. Fondo, Reparaciones y Costas. Sentencia de 24 de noviembre de 2011. Serie C No. 237.</w:t>
      </w:r>
      <w:r w:rsidR="005E0916" w:rsidRPr="008624B8">
        <w:rPr>
          <w:b/>
          <w:sz w:val="18"/>
          <w:szCs w:val="18"/>
        </w:rPr>
        <w:t xml:space="preserve"> </w:t>
      </w:r>
    </w:p>
    <w:p w14:paraId="1170F65A" w14:textId="6C0CF66E" w:rsidR="005E0916" w:rsidRPr="008624B8" w:rsidRDefault="005E0916" w:rsidP="008624B8">
      <w:pPr>
        <w:rPr>
          <w:szCs w:val="20"/>
        </w:rPr>
      </w:pPr>
      <w:r w:rsidRPr="008624B8">
        <w:rPr>
          <w:szCs w:val="20"/>
        </w:rPr>
        <w:t>85.</w:t>
      </w:r>
      <w:r w:rsidRPr="008624B8">
        <w:rPr>
          <w:szCs w:val="20"/>
        </w:rPr>
        <w:tab/>
        <w:t xml:space="preserve">Asimismo, la obligación del Estado de respetar los derechos a la libertad y a la integridad de toda persona bajo su jurisdicción presenta modalidades especiales en el caso de niños, como se desprende de las normas sobre protección a los niños establecidas en la Convención Americana y en la Convención sobre los Derechos del Niño; y se transforma en una obligación de “prevenir situaciones que pudieran conducir, por acción u omisión, a la afectación de aquél”. </w:t>
      </w:r>
      <w:r w:rsidRPr="008624B8">
        <w:rPr>
          <w:rFonts w:cs="TimesNewRomanPSMT"/>
          <w:szCs w:val="18"/>
        </w:rPr>
        <w:t>En ese sentido, la Corte ha señalado que conforme a su jurisprudencia y otros instrumentos internacionales, la detención de niños “debe ser excepcional y por el período más breve posible”</w:t>
      </w:r>
      <w:r w:rsidR="000361F1" w:rsidRPr="008624B8">
        <w:rPr>
          <w:szCs w:val="20"/>
        </w:rPr>
        <w:t xml:space="preserve"> […]. </w:t>
      </w:r>
      <w:r w:rsidRPr="008624B8">
        <w:rPr>
          <w:rFonts w:cs="TimesNewRomanPSMT"/>
          <w:szCs w:val="18"/>
        </w:rPr>
        <w:t xml:space="preserve">Al respecto, </w:t>
      </w:r>
      <w:r w:rsidRPr="008624B8">
        <w:rPr>
          <w:szCs w:val="20"/>
        </w:rPr>
        <w:t>el Tribunal observa que Rigoberto Barrios, Oscar José Barrios y Jorge Antonio Barrios Ortuño eran niños al momento de los hechos, de modo que las detenciones, agresiones y amenazas de las cuales fueron víctimas revistieron de mayor gravedad y se manifestaron incluso en su forma más extrema, al ser éstas amenazas de muerte.</w:t>
      </w:r>
      <w:r w:rsidRPr="008624B8">
        <w:rPr>
          <w:rFonts w:cs="TimesNewRomanPSMT"/>
          <w:szCs w:val="18"/>
        </w:rPr>
        <w:t xml:space="preserve"> </w:t>
      </w:r>
      <w:r w:rsidRPr="008624B8">
        <w:rPr>
          <w:szCs w:val="20"/>
        </w:rPr>
        <w:t>En consecuencia, la Corte considera que el Estado violó el derecho a la protección especial por su condición de niños, de Rigoberto Barrios, Oscar José Barrios y Jorge Antonio Barrios Ortuño, consagrado en el artículo 19 de la Convención Americana, en relación con el artículo 1.1 del mismo instrumento.</w:t>
      </w:r>
    </w:p>
    <w:p w14:paraId="4856C4BC" w14:textId="77777777" w:rsidR="00667E3D" w:rsidRPr="003D49EB" w:rsidRDefault="00667E3D" w:rsidP="009A4683"/>
    <w:p w14:paraId="35A79118" w14:textId="39CFACAC" w:rsidR="005E0916" w:rsidRPr="003D49EB" w:rsidRDefault="008624B8" w:rsidP="009A4683">
      <w:pPr>
        <w:spacing w:after="100" w:afterAutospacing="1"/>
        <w:rPr>
          <w:b/>
          <w:bCs/>
          <w:szCs w:val="20"/>
          <w:shd w:val="clear" w:color="auto" w:fill="FFFFFF"/>
        </w:rPr>
      </w:pPr>
      <w:r w:rsidRPr="008624B8">
        <w:rPr>
          <w:b/>
          <w:bCs/>
          <w:szCs w:val="20"/>
          <w:shd w:val="clear" w:color="auto" w:fill="FFFFFF"/>
        </w:rPr>
        <w:t>Corte IDH. Caso Díaz Peña Vs. Venezuela. Excepción Preliminar, Fondo, Reparaciones y Costas. Sentencia de 26 de junio de 2012. Serie C No. 244.</w:t>
      </w:r>
      <w:r w:rsidR="005E0916" w:rsidRPr="003D49EB">
        <w:rPr>
          <w:b/>
          <w:bCs/>
          <w:szCs w:val="20"/>
          <w:shd w:val="clear" w:color="auto" w:fill="FFFFFF"/>
        </w:rPr>
        <w:t xml:space="preserve"> </w:t>
      </w:r>
    </w:p>
    <w:p w14:paraId="78761A9C" w14:textId="450E3584" w:rsidR="005E0916" w:rsidRPr="003D49EB" w:rsidRDefault="005E0916" w:rsidP="009A4683">
      <w:pPr>
        <w:autoSpaceDE w:val="0"/>
        <w:autoSpaceDN w:val="0"/>
        <w:adjustRightInd w:val="0"/>
        <w:spacing w:after="100" w:afterAutospacing="1"/>
        <w:rPr>
          <w:bCs/>
          <w:szCs w:val="20"/>
        </w:rPr>
      </w:pPr>
      <w:r w:rsidRPr="003D49EB">
        <w:rPr>
          <w:szCs w:val="20"/>
        </w:rPr>
        <w:t>137.</w:t>
      </w:r>
      <w:r w:rsidRPr="003D49EB">
        <w:rPr>
          <w:szCs w:val="20"/>
        </w:rPr>
        <w:tab/>
        <w:t>Asimismo</w:t>
      </w:r>
      <w:r w:rsidRPr="003D49EB">
        <w:rPr>
          <w:bCs/>
          <w:szCs w:val="20"/>
        </w:rPr>
        <w:t xml:space="preserve">, la Corte ha señalado que, de las obligaciones generales de respetar y garantizar los derechos que establece el artículo 1.1 de la Convención Americana, derivan deberes especiales determinables en función de las particulares necesidades de protección del sujeto de derecho, ya sea por su condición personal o por la situación específica en que se encuentre. Así, </w:t>
      </w:r>
      <w:r w:rsidRPr="003D49EB">
        <w:rPr>
          <w:rFonts w:cs="Verdana"/>
          <w:szCs w:val="20"/>
        </w:rPr>
        <w:t xml:space="preserve">el Estado tiene el deber de proporcionar a los detenidos revisión médica regular y atención y tratamiento adecuados cuando así se requiera. El </w:t>
      </w:r>
      <w:r w:rsidRPr="003D49EB">
        <w:rPr>
          <w:szCs w:val="20"/>
        </w:rPr>
        <w:t xml:space="preserve">Principio 24 del Conjunto de Principios para la Protección de Todas las Personas Sometidas a Cualquier Forma de Detención o Prisión determina que “[s]e ofrecerá a toda persona detenida o presa un examen médico apropiado con la menor dilación posible después de su ingreso en el lugar de detención o prisión y, posteriormente, esas personas recibirán atención y tratamiento médico cada vez que sea necesario. Esa atención y ese tratamiento serán gratuitos”. </w:t>
      </w:r>
      <w:r w:rsidRPr="003D49EB">
        <w:rPr>
          <w:rFonts w:cs="Verdana"/>
          <w:szCs w:val="20"/>
        </w:rPr>
        <w:t xml:space="preserve">La atención por parte de un médico que no tenga vínculos con las autoridades penitenciarias o de detención es una importante salvaguardia en contra de la tortura y malos tratos, físicos o mentales, de las personas privadas de libertad. </w:t>
      </w:r>
      <w:r w:rsidRPr="003D49EB">
        <w:rPr>
          <w:bCs/>
          <w:szCs w:val="20"/>
        </w:rPr>
        <w:t xml:space="preserve">En este sentido, </w:t>
      </w:r>
      <w:r w:rsidRPr="003D49EB">
        <w:rPr>
          <w:szCs w:val="20"/>
        </w:rPr>
        <w:t xml:space="preserve">la falta de atención médica adecuada a una persona que se encuentra privada de la libertad y bajo custodia del Estado podría considerarse violatoria del artículo 5.1 y 5.2 de la Convención dependiendo de las circunstancias concretas de la persona en particular, tales como su estado de salud o el tipo de dolencia que padece, el lapso transcurrido </w:t>
      </w:r>
      <w:r w:rsidRPr="003D49EB">
        <w:rPr>
          <w:szCs w:val="20"/>
        </w:rPr>
        <w:lastRenderedPageBreak/>
        <w:t>sin atención, sus efectos físicos y mentales acumulativos y, en algunos casos, el sexo y la edad de la misma, entre otros.</w:t>
      </w:r>
    </w:p>
    <w:p w14:paraId="65E7CB28" w14:textId="5D1A30F3" w:rsidR="00361EDC" w:rsidRPr="003D49EB" w:rsidRDefault="003C064C" w:rsidP="009A4683">
      <w:pPr>
        <w:spacing w:after="100" w:afterAutospacing="1"/>
        <w:rPr>
          <w:rFonts w:cstheme="minorHAnsi"/>
          <w:szCs w:val="20"/>
        </w:rPr>
      </w:pPr>
      <w:r w:rsidRPr="003C064C">
        <w:rPr>
          <w:rFonts w:cstheme="minorHAnsi"/>
          <w:b/>
          <w:szCs w:val="20"/>
        </w:rPr>
        <w:t xml:space="preserve">Corte IDH. Caso </w:t>
      </w:r>
      <w:proofErr w:type="spellStart"/>
      <w:r w:rsidRPr="003C064C">
        <w:rPr>
          <w:rFonts w:cstheme="minorHAnsi"/>
          <w:b/>
          <w:szCs w:val="20"/>
        </w:rPr>
        <w:t>Furlan</w:t>
      </w:r>
      <w:proofErr w:type="spellEnd"/>
      <w:r w:rsidRPr="003C064C">
        <w:rPr>
          <w:rFonts w:cstheme="minorHAnsi"/>
          <w:b/>
          <w:szCs w:val="20"/>
        </w:rPr>
        <w:t xml:space="preserve"> y familiares Vs. Argentina. Excepciones Preliminares, Fondo, Reparaciones y Costas. Sentencia de 31 de agosto de 2012. Serie C No. 246</w:t>
      </w:r>
      <w:r w:rsidR="00361EDC" w:rsidRPr="003D49EB">
        <w:rPr>
          <w:rFonts w:cstheme="minorHAnsi"/>
          <w:b/>
          <w:szCs w:val="20"/>
        </w:rPr>
        <w:t>.</w:t>
      </w:r>
    </w:p>
    <w:p w14:paraId="08699A5F" w14:textId="77777777" w:rsidR="005E0916" w:rsidRPr="003D49EB" w:rsidRDefault="005E0916" w:rsidP="009A4683">
      <w:pPr>
        <w:pStyle w:val="Textonotaalfinal"/>
        <w:widowControl w:val="0"/>
        <w:tabs>
          <w:tab w:val="left" w:pos="810"/>
          <w:tab w:val="left" w:pos="1440"/>
          <w:tab w:val="left" w:pos="2160"/>
          <w:tab w:val="left" w:pos="2880"/>
          <w:tab w:val="left" w:pos="3600"/>
          <w:tab w:val="left" w:pos="4320"/>
          <w:tab w:val="left" w:pos="5760"/>
          <w:tab w:val="left" w:pos="6480"/>
          <w:tab w:val="left" w:pos="7200"/>
          <w:tab w:val="left" w:pos="7920"/>
        </w:tabs>
        <w:spacing w:after="100" w:afterAutospacing="1"/>
      </w:pPr>
      <w:r w:rsidRPr="003D49EB">
        <w:t>269.</w:t>
      </w:r>
      <w:r w:rsidRPr="003D49EB">
        <w:tab/>
        <w:t xml:space="preserve">El Tribunal ha hecho referencia a la situación agravada de vulnerabilidad de Sebastián </w:t>
      </w:r>
      <w:proofErr w:type="spellStart"/>
      <w:r w:rsidRPr="003D49EB">
        <w:t>Furlan</w:t>
      </w:r>
      <w:proofErr w:type="spellEnd"/>
      <w:r w:rsidRPr="003D49EB">
        <w:t xml:space="preserve">, por ser menor de edad con discapacidad viviendo en una familia de bajos recursos económicos, razón por la cual correspondía al Estado el deber de adoptar todas las medidas adecuadas y necesarias para enfrentar dicha situación. En efecto, ha sido precisado el deber de celeridad en los procesos civiles analizados, de los cuales dependía una mayor oportunidad de rehabilitación. Además, la Corte concluyó que era necesaria la debida intervención del asesor de menores e incapaces o una aplicación diferenciada de la ley que reguló las condiciones de ejecución de la sentencia, como medidas que permitieran remediar de algún modo las situaciones de desventaja en las que se encontraba Sebastián </w:t>
      </w:r>
      <w:proofErr w:type="spellStart"/>
      <w:r w:rsidRPr="003D49EB">
        <w:t>Furlan</w:t>
      </w:r>
      <w:proofErr w:type="spellEnd"/>
      <w:r w:rsidRPr="003D49EB">
        <w:t>. Estos elementos demuestran que existió una discriminación de hecho asociada a las violaciones de garantías judiciales, protección judicial y derecho a la propiedad ya declaradas. Además</w:t>
      </w:r>
      <w:r w:rsidRPr="003D49EB">
        <w:rPr>
          <w:lang w:val="es-CR"/>
        </w:rPr>
        <w:t xml:space="preserve">, teniendo en cuenta los hechos reseñados en el capítulo sobre la afectación jurídica producida a Sebastián </w:t>
      </w:r>
      <w:proofErr w:type="spellStart"/>
      <w:r w:rsidRPr="003D49EB">
        <w:rPr>
          <w:lang w:val="es-CR"/>
        </w:rPr>
        <w:t>Furlan</w:t>
      </w:r>
      <w:proofErr w:type="spellEnd"/>
      <w:r w:rsidR="000C47B9" w:rsidRPr="003D49EB">
        <w:rPr>
          <w:lang w:val="es-CR"/>
        </w:rPr>
        <w:t xml:space="preserve"> en el marco del proceso civil […]</w:t>
      </w:r>
      <w:r w:rsidRPr="003D49EB">
        <w:rPr>
          <w:lang w:val="es-CR"/>
        </w:rPr>
        <w:t>, así como el impacto que la denegación al acceso a la justicia tuvo en la posibilidad de acceder a una adecuada reha</w:t>
      </w:r>
      <w:r w:rsidR="000C47B9" w:rsidRPr="003D49EB">
        <w:rPr>
          <w:lang w:val="es-CR"/>
        </w:rPr>
        <w:t>bilitación y atención en salud […]</w:t>
      </w:r>
      <w:r w:rsidRPr="003D49EB">
        <w:rPr>
          <w:lang w:val="es-CR"/>
        </w:rPr>
        <w:t xml:space="preserve">, la Corte considera que se encuentra probada, a su vez, la vulneración del derecho a la integridad personal. En consecuencia, </w:t>
      </w:r>
      <w:r w:rsidRPr="003D49EB">
        <w:t>la Corte declara que el Estado incumplió su obligación de garantizar, sin discriminación, el derecho de acceso a la justicia y el derecho a la integridad personal en los términos de los artículos 5.1, 8.1, 21, 25.1 y 25.2.c, en relación con los artículos 1.1 y 19 de la Convención Americana en perjui</w:t>
      </w:r>
      <w:r w:rsidR="000C47B9" w:rsidRPr="003D49EB">
        <w:t xml:space="preserve">cio de Sebastián Claus </w:t>
      </w:r>
      <w:proofErr w:type="spellStart"/>
      <w:r w:rsidR="000C47B9" w:rsidRPr="003D49EB">
        <w:t>Furlan</w:t>
      </w:r>
      <w:proofErr w:type="spellEnd"/>
      <w:r w:rsidR="000C47B9" w:rsidRPr="003D49EB">
        <w:t xml:space="preserve">. </w:t>
      </w:r>
    </w:p>
    <w:p w14:paraId="0A176C70" w14:textId="77777777" w:rsidR="00781ACD" w:rsidRPr="003D49EB" w:rsidRDefault="00781ACD" w:rsidP="009A4683">
      <w:pPr>
        <w:pStyle w:val="Prrafodelista2"/>
        <w:tabs>
          <w:tab w:val="left" w:pos="720"/>
          <w:tab w:val="num" w:pos="1427"/>
        </w:tabs>
        <w:spacing w:after="100" w:afterAutospacing="1"/>
        <w:ind w:left="0"/>
        <w:contextualSpacing/>
        <w:rPr>
          <w:rFonts w:eastAsiaTheme="minorHAnsi" w:cstheme="minorBidi"/>
          <w:b/>
          <w:bCs/>
          <w:shd w:val="clear" w:color="auto" w:fill="FFFFFF"/>
          <w:lang w:val="es-CL"/>
        </w:rPr>
      </w:pPr>
      <w:r w:rsidRPr="003D49EB">
        <w:rPr>
          <w:rFonts w:eastAsiaTheme="minorHAnsi" w:cstheme="minorBidi"/>
          <w:b/>
          <w:bCs/>
          <w:shd w:val="clear" w:color="auto" w:fill="FFFFFF"/>
          <w:lang w:val="es-CL"/>
        </w:rPr>
        <w:t xml:space="preserve">Corte IDH. Caso Vélez Restrepo y familiares Vs. Colombia. Excepción Preliminar, Fondo, Reparaciones y Costas. Sentencia de 3 de septiembre de 2012. Serie C No. 248. </w:t>
      </w:r>
    </w:p>
    <w:p w14:paraId="20E7DE24" w14:textId="77777777" w:rsidR="00781ACD" w:rsidRPr="003D49EB" w:rsidRDefault="00781ACD" w:rsidP="009A4683">
      <w:pPr>
        <w:pStyle w:val="Prrafodelista2"/>
        <w:tabs>
          <w:tab w:val="left" w:pos="720"/>
          <w:tab w:val="num" w:pos="1427"/>
        </w:tabs>
        <w:spacing w:after="100" w:afterAutospacing="1"/>
        <w:ind w:left="0"/>
        <w:contextualSpacing/>
        <w:rPr>
          <w:rFonts w:eastAsiaTheme="minorHAnsi" w:cstheme="minorBidi"/>
          <w:b/>
          <w:bCs/>
          <w:shd w:val="clear" w:color="auto" w:fill="FFFFFF"/>
          <w:lang w:val="es-CL"/>
        </w:rPr>
      </w:pPr>
    </w:p>
    <w:p w14:paraId="6B5F1516" w14:textId="3FA7BC19" w:rsidR="005E0916" w:rsidRPr="003D49EB" w:rsidRDefault="005E0916" w:rsidP="009A4683">
      <w:pPr>
        <w:pStyle w:val="Prrafodelista2"/>
        <w:tabs>
          <w:tab w:val="left" w:pos="720"/>
          <w:tab w:val="num" w:pos="1427"/>
        </w:tabs>
        <w:spacing w:after="100" w:afterAutospacing="1"/>
        <w:ind w:left="0"/>
        <w:contextualSpacing/>
        <w:rPr>
          <w:lang w:val="es-CR"/>
        </w:rPr>
      </w:pPr>
      <w:r w:rsidRPr="003D49EB">
        <w:rPr>
          <w:lang w:val="es-CR"/>
        </w:rPr>
        <w:t>194.</w:t>
      </w:r>
      <w:r w:rsidRPr="003D49EB">
        <w:rPr>
          <w:lang w:val="es-CR"/>
        </w:rPr>
        <w:tab/>
        <w:t xml:space="preserve">Al respecto, la Corte considera importante indicar que los Estados tienen la obligación de adoptar </w:t>
      </w:r>
      <w:r w:rsidRPr="003D49EB">
        <w:t>medidas especiales de prevención y protección de los periodistas sometidos a un riesgo especial por el ejercicio de su profesión.</w:t>
      </w:r>
      <w:r w:rsidR="008B18CE" w:rsidRPr="003D49EB">
        <w:t xml:space="preserve"> </w:t>
      </w:r>
      <w:r w:rsidRPr="003D49EB">
        <w:t>Con respecto a las medidas de protección, la Corte destaca que los Estados tienen el deber de brindar medidas de protección a la vida y la integridad de los periodistas que estén sometidos a ese riesgo especial por factores tales como el tipo de hechos que cubren, el interés público de la información que difunden o la zona a la cual deben acceder para cumplir con su labor, así como también a aquellos que son objeto de amenazas en relación con la difusión de esa información o por denunciar o impulsar la investigación de violaciones que sufrieron o de las que se enteraron en el ejercicio de su profesión. Los Estados deben adoptar las medidas de protección necesarias para evitar los atentados la vida e integridad de los periodistas bajo tales condiciones.</w:t>
      </w:r>
    </w:p>
    <w:p w14:paraId="39B8F091" w14:textId="77777777" w:rsidR="005E0916" w:rsidRPr="003D49EB" w:rsidRDefault="005E0916" w:rsidP="009A4683">
      <w:pPr>
        <w:pStyle w:val="Prrafodelista2"/>
        <w:tabs>
          <w:tab w:val="left" w:pos="720"/>
        </w:tabs>
        <w:spacing w:after="100" w:afterAutospacing="1"/>
        <w:ind w:left="0"/>
        <w:contextualSpacing/>
        <w:rPr>
          <w:lang w:val="es-CR"/>
        </w:rPr>
      </w:pPr>
    </w:p>
    <w:p w14:paraId="06F1C305" w14:textId="77777777" w:rsidR="00394425" w:rsidRPr="003D49EB" w:rsidRDefault="005E0916" w:rsidP="009A4683">
      <w:pPr>
        <w:pStyle w:val="Prrafodelista2"/>
        <w:tabs>
          <w:tab w:val="left" w:pos="720"/>
          <w:tab w:val="num" w:pos="1427"/>
        </w:tabs>
        <w:spacing w:after="100" w:afterAutospacing="1"/>
        <w:ind w:left="0"/>
        <w:contextualSpacing/>
        <w:rPr>
          <w:rFonts w:eastAsia="Calibri" w:cs="Arial"/>
          <w:lang w:val="es-CR"/>
        </w:rPr>
      </w:pPr>
      <w:r w:rsidRPr="003D49EB">
        <w:rPr>
          <w:lang w:val="es-CR"/>
        </w:rPr>
        <w:t>195.</w:t>
      </w:r>
      <w:r w:rsidRPr="003D49EB">
        <w:rPr>
          <w:lang w:val="es-CR"/>
        </w:rPr>
        <w:tab/>
        <w:t xml:space="preserve">Tomando en cuenta el contexto descrito y la situación particular del señor Vélez Restrepo, la Corte considera que con anterioridad al 6 de octubre de 1997 aquel claramente se encontraba en una situación de </w:t>
      </w:r>
      <w:r w:rsidRPr="003D49EB">
        <w:rPr>
          <w:lang w:val="es-EC"/>
        </w:rPr>
        <w:t xml:space="preserve">riesgo real e inmediato a su integridad personal, así como también los miembros de su familia. </w:t>
      </w:r>
      <w:r w:rsidRPr="003D49EB">
        <w:rPr>
          <w:lang w:val="es-CR"/>
        </w:rPr>
        <w:t>La Corte valora primordialmente que se trataba de un periodista que buscó y difundió información d</w:t>
      </w:r>
      <w:r w:rsidR="000C47B9" w:rsidRPr="003D49EB">
        <w:rPr>
          <w:lang w:val="es-CR"/>
        </w:rPr>
        <w:t>e interés público […]</w:t>
      </w:r>
      <w:r w:rsidRPr="003D49EB">
        <w:rPr>
          <w:lang w:val="es-CR"/>
        </w:rPr>
        <w:t xml:space="preserve">, que fue agredido por militares cuando estaba obteniendo tal información y que, con posterioridad a ello, estaba siendo objeto de amenazas y hostigamientos. La Corte ha expuesto que existían motivos razonables para presumir </w:t>
      </w:r>
      <w:r w:rsidRPr="003D49EB">
        <w:rPr>
          <w:lang w:val="es-CR"/>
        </w:rPr>
        <w:lastRenderedPageBreak/>
        <w:t xml:space="preserve">que estos últimos hechos podían estar vinculados con sus acciones en la búsqueda de que se investigara y sancionara a los responsables de tal agresión. Además, las declaraciones públicas de dos ministros afirmando que la agresión contra el señor Vélez Restrepo era un hecho que no </w:t>
      </w:r>
      <w:r w:rsidRPr="003D49EB">
        <w:rPr>
          <w:rFonts w:eastAsia="Calibri" w:cs="Arial"/>
          <w:lang w:val="es-CR"/>
        </w:rPr>
        <w:t>sería tolerado por el gobie</w:t>
      </w:r>
      <w:r w:rsidR="000C47B9" w:rsidRPr="003D49EB">
        <w:rPr>
          <w:rFonts w:eastAsia="Calibri" w:cs="Arial"/>
          <w:lang w:val="es-CR"/>
        </w:rPr>
        <w:t>rno y que debía ser sancionado […]</w:t>
      </w:r>
      <w:r w:rsidRPr="003D49EB">
        <w:rPr>
          <w:rFonts w:eastAsia="Calibri" w:cs="Arial"/>
          <w:lang w:val="es-CR"/>
        </w:rPr>
        <w:t xml:space="preserve"> podrían haber incidido en los perpetradores de las amenazas por temer que podrían </w:t>
      </w:r>
      <w:r w:rsidR="000C47B9" w:rsidRPr="003D49EB">
        <w:rPr>
          <w:rFonts w:eastAsia="Calibri" w:cs="Arial"/>
          <w:lang w:val="es-CR"/>
        </w:rPr>
        <w:t>ser investigados y sancionados.</w:t>
      </w:r>
    </w:p>
    <w:p w14:paraId="7F82C380" w14:textId="4CDD05E5" w:rsidR="00AA0A16" w:rsidRPr="00AA0A16" w:rsidRDefault="00AA0A16" w:rsidP="00AA0A16">
      <w:pPr>
        <w:pStyle w:val="Caso"/>
        <w:rPr>
          <w:shd w:val="clear" w:color="auto" w:fill="FFFFFF"/>
        </w:rPr>
      </w:pPr>
      <w:r w:rsidRPr="00AA0A16">
        <w:rPr>
          <w:shd w:val="clear" w:color="auto" w:fill="FFFFFF"/>
        </w:rPr>
        <w:t>Corte IDH. Caso de las Comunidades Afrodescendientes desplazadas de la Cuenca del Río Cacarica (Operación Génesis) Vs. Colombia. Excepciones Preliminares, Fondo, Reparaciones y Costas. Sentencia de 20 de noviembre de 2013. Serie C No. 270</w:t>
      </w:r>
      <w:r w:rsidR="00D653CC">
        <w:rPr>
          <w:shd w:val="clear" w:color="auto" w:fill="FFFFFF"/>
        </w:rPr>
        <w:t>.</w:t>
      </w:r>
    </w:p>
    <w:p w14:paraId="5CB906B3" w14:textId="07FFE863" w:rsidR="00394425" w:rsidRPr="003D49EB" w:rsidRDefault="00394425" w:rsidP="009A4683">
      <w:pPr>
        <w:pStyle w:val="Prrafodelista"/>
        <w:autoSpaceDE w:val="0"/>
        <w:autoSpaceDN w:val="0"/>
        <w:adjustRightInd w:val="0"/>
        <w:spacing w:before="120" w:after="100" w:afterAutospacing="1"/>
        <w:ind w:left="0"/>
        <w:rPr>
          <w:szCs w:val="20"/>
        </w:rPr>
      </w:pPr>
      <w:r w:rsidRPr="003D49EB">
        <w:rPr>
          <w:rFonts w:cs="Verdana"/>
          <w:szCs w:val="20"/>
        </w:rPr>
        <w:t>323.</w:t>
      </w:r>
      <w:r w:rsidRPr="003D49EB">
        <w:rPr>
          <w:rFonts w:cs="Verdana"/>
          <w:szCs w:val="20"/>
        </w:rPr>
        <w:tab/>
        <w:t>Las medidas de asistencia básicas proporcionadas por el Estado durante el período del desplazamiento fueron insuficientes, toda vez que las condiciones físicas y psíquicas que debieron enfrentar durante casi cuatro años no son acordes con estándares mínimos exigibles en este tipo de casos. El hacinamiento, la alimentación,</w:t>
      </w:r>
      <w:r w:rsidRPr="003D49EB">
        <w:rPr>
          <w:rFonts w:cs="Verdana"/>
          <w:i/>
          <w:szCs w:val="20"/>
        </w:rPr>
        <w:t xml:space="preserve"> </w:t>
      </w:r>
      <w:r w:rsidRPr="003D49EB">
        <w:rPr>
          <w:rFonts w:cs="Verdana"/>
          <w:szCs w:val="20"/>
        </w:rPr>
        <w:t>el</w:t>
      </w:r>
      <w:r w:rsidRPr="003D49EB">
        <w:rPr>
          <w:rFonts w:cs="Verdana"/>
          <w:i/>
          <w:szCs w:val="20"/>
        </w:rPr>
        <w:t xml:space="preserve"> </w:t>
      </w:r>
      <w:r w:rsidRPr="003D49EB">
        <w:rPr>
          <w:rFonts w:cs="Verdana"/>
          <w:szCs w:val="20"/>
        </w:rPr>
        <w:t xml:space="preserve">suministro y manejo del agua, así como la falta de adopción de medidas en materia de salud evidencian incumplimiento de las obligaciones estatales de protección con posterioridad al desplazamiento, con la consecuencia directa de la vulneración del derecho a la integridad personal de quienes sufrieron el desplazamiento forzado. </w:t>
      </w:r>
    </w:p>
    <w:p w14:paraId="0D8F0ED2" w14:textId="77777777" w:rsidR="00890B82" w:rsidRPr="003D49EB" w:rsidRDefault="00890B82" w:rsidP="009A4683">
      <w:pPr>
        <w:pStyle w:val="Prrafodelista"/>
        <w:autoSpaceDE w:val="0"/>
        <w:autoSpaceDN w:val="0"/>
        <w:adjustRightInd w:val="0"/>
        <w:spacing w:before="120" w:after="100" w:afterAutospacing="1"/>
        <w:ind w:left="0"/>
        <w:rPr>
          <w:rFonts w:cs="Verdana"/>
          <w:szCs w:val="20"/>
        </w:rPr>
      </w:pPr>
    </w:p>
    <w:p w14:paraId="4142EE20" w14:textId="4D27DE7C" w:rsidR="007C2049" w:rsidRPr="003D49EB" w:rsidRDefault="00394425" w:rsidP="009A4683">
      <w:pPr>
        <w:pStyle w:val="Prrafodelista"/>
        <w:autoSpaceDE w:val="0"/>
        <w:autoSpaceDN w:val="0"/>
        <w:adjustRightInd w:val="0"/>
        <w:spacing w:before="120" w:after="100" w:afterAutospacing="1"/>
        <w:ind w:left="0"/>
        <w:rPr>
          <w:rFonts w:cs="Verdana"/>
          <w:szCs w:val="20"/>
        </w:rPr>
      </w:pPr>
      <w:r w:rsidRPr="003D49EB">
        <w:rPr>
          <w:rFonts w:cs="Verdana"/>
          <w:szCs w:val="20"/>
        </w:rPr>
        <w:t>324.</w:t>
      </w:r>
      <w:r w:rsidRPr="003D49EB">
        <w:rPr>
          <w:rFonts w:cs="Verdana"/>
          <w:szCs w:val="20"/>
        </w:rPr>
        <w:tab/>
        <w:t xml:space="preserve">Por ende, el Estado ha incumplido sus obligaciones de </w:t>
      </w:r>
      <w:r w:rsidRPr="003D49EB">
        <w:rPr>
          <w:szCs w:val="20"/>
        </w:rPr>
        <w:t>garantizar la asistencia humanitaria</w:t>
      </w:r>
      <w:r w:rsidRPr="003D49EB">
        <w:rPr>
          <w:rFonts w:cs="Verdana"/>
          <w:szCs w:val="20"/>
        </w:rPr>
        <w:t xml:space="preserve"> y un retorno seguro, en el marco del derecho de circulación y residencia, y la protección del derecho a la integridad personal, reconocidos en los artículos 22.1 y 5.1 de la Convención Americana, en relación con el artículo 1.1 del mismo instrumento, en perjuicio de las comunidades del Cacarica que estuvieron en situación de desplazamiento forzado durante un período de tres a cuatro años. </w:t>
      </w:r>
    </w:p>
    <w:p w14:paraId="6690497B" w14:textId="5637F716" w:rsidR="00483901" w:rsidRDefault="00483901" w:rsidP="00D653CC">
      <w:pPr>
        <w:pStyle w:val="Caso"/>
        <w:rPr>
          <w:lang w:val="es-CR"/>
        </w:rPr>
      </w:pPr>
      <w:r w:rsidRPr="003D49EB">
        <w:rPr>
          <w:lang w:val="es-CR"/>
        </w:rPr>
        <w:t xml:space="preserve">Corte IDH. Caso </w:t>
      </w:r>
      <w:proofErr w:type="spellStart"/>
      <w:r w:rsidRPr="003D49EB">
        <w:rPr>
          <w:lang w:val="es-CR"/>
        </w:rPr>
        <w:t>Quispialaya</w:t>
      </w:r>
      <w:proofErr w:type="spellEnd"/>
      <w:r w:rsidRPr="003D49EB">
        <w:rPr>
          <w:lang w:val="es-CR"/>
        </w:rPr>
        <w:t xml:space="preserve"> </w:t>
      </w:r>
      <w:proofErr w:type="spellStart"/>
      <w:r w:rsidRPr="003D49EB">
        <w:rPr>
          <w:lang w:val="es-CR"/>
        </w:rPr>
        <w:t>Vilcapoma</w:t>
      </w:r>
      <w:proofErr w:type="spellEnd"/>
      <w:r w:rsidRPr="003D49EB">
        <w:rPr>
          <w:lang w:val="es-CR"/>
        </w:rPr>
        <w:t xml:space="preserve"> Vs. Perú. Excepciones Preliminares, Fondo, Reparaciones y Costas. Sentencia de 23 de noviembre de 2015. Serie C No. 308. </w:t>
      </w:r>
    </w:p>
    <w:p w14:paraId="3C0ED91D" w14:textId="77777777" w:rsidR="00D653CC" w:rsidRPr="003D49EB" w:rsidRDefault="00D653CC" w:rsidP="00D653CC">
      <w:pPr>
        <w:pStyle w:val="Caso"/>
        <w:rPr>
          <w:lang w:val="es-CR"/>
        </w:rPr>
      </w:pPr>
    </w:p>
    <w:p w14:paraId="453A9914" w14:textId="7EA04BFE" w:rsidR="00CF352B" w:rsidRPr="003D49EB" w:rsidRDefault="00CF352B" w:rsidP="009A4683">
      <w:pPr>
        <w:spacing w:after="100" w:afterAutospacing="1"/>
        <w:rPr>
          <w:bCs/>
          <w:szCs w:val="20"/>
          <w:lang w:val="es-CR"/>
        </w:rPr>
      </w:pPr>
      <w:r w:rsidRPr="003D49EB">
        <w:rPr>
          <w:bCs/>
          <w:szCs w:val="20"/>
          <w:lang w:val="es-CR"/>
        </w:rPr>
        <w:t>114.</w:t>
      </w:r>
      <w:r w:rsidRPr="003D49EB">
        <w:rPr>
          <w:bCs/>
          <w:szCs w:val="20"/>
          <w:lang w:val="es-CR"/>
        </w:rPr>
        <w:tab/>
        <w:t xml:space="preserve">Previamente se determinó […] que los hechos del presente caso se enmarcan en un contexto de casos de maltratos físicos y psicológicos en el ámbito del servicio militar provenientes de una arraigada cultura de violencia y abusos en aplicación de la disciplina y la autoridad militar. A su vez, las partes argumentan —y en ese aspecto no existe controversia— que el Estado ostenta un deber especial de garante de los derechos de las personas que prestan servicio militar, ya que éstos se encuentran bajo su “custodia”. Por otra parte, existe controversia entre las partes en cuanto a si el señor </w:t>
      </w:r>
      <w:proofErr w:type="spellStart"/>
      <w:r w:rsidRPr="003D49EB">
        <w:rPr>
          <w:bCs/>
          <w:szCs w:val="20"/>
          <w:lang w:val="es-CR"/>
        </w:rPr>
        <w:t>Valdemir</w:t>
      </w:r>
      <w:proofErr w:type="spellEnd"/>
      <w:r w:rsidRPr="003D49EB">
        <w:rPr>
          <w:bCs/>
          <w:szCs w:val="20"/>
          <w:lang w:val="es-CR"/>
        </w:rPr>
        <w:t xml:space="preserve"> </w:t>
      </w:r>
      <w:proofErr w:type="spellStart"/>
      <w:r w:rsidRPr="003D49EB">
        <w:rPr>
          <w:bCs/>
          <w:szCs w:val="20"/>
          <w:lang w:val="es-CR"/>
        </w:rPr>
        <w:t>Quispialaya</w:t>
      </w:r>
      <w:proofErr w:type="spellEnd"/>
      <w:r w:rsidRPr="003D49EB">
        <w:rPr>
          <w:bCs/>
          <w:szCs w:val="20"/>
          <w:lang w:val="es-CR"/>
        </w:rPr>
        <w:t xml:space="preserve"> fue sometido a un acto que podría ser definido como tortura durante su servicio militar, particularmente, durante una práctica de tiro, en la cual fue agredido por el Suboficial </w:t>
      </w:r>
      <w:proofErr w:type="spellStart"/>
      <w:r w:rsidRPr="003D49EB">
        <w:rPr>
          <w:bCs/>
          <w:szCs w:val="20"/>
          <w:lang w:val="es-CR"/>
        </w:rPr>
        <w:t>Hilaquita</w:t>
      </w:r>
      <w:proofErr w:type="spellEnd"/>
      <w:r w:rsidRPr="003D49EB">
        <w:rPr>
          <w:bCs/>
          <w:szCs w:val="20"/>
          <w:lang w:val="es-CR"/>
        </w:rPr>
        <w:t xml:space="preserve"> Quispe con la culata de un arma reglamentaria (FAL) en el ojo derecho, lo que contribuyó a que el señor </w:t>
      </w:r>
      <w:proofErr w:type="spellStart"/>
      <w:r w:rsidRPr="003D49EB">
        <w:rPr>
          <w:bCs/>
          <w:szCs w:val="20"/>
          <w:lang w:val="es-CR"/>
        </w:rPr>
        <w:t>Quispialaya</w:t>
      </w:r>
      <w:proofErr w:type="spellEnd"/>
      <w:r w:rsidRPr="003D49EB">
        <w:rPr>
          <w:bCs/>
          <w:szCs w:val="20"/>
          <w:lang w:val="es-CR"/>
        </w:rPr>
        <w:t xml:space="preserve"> perdiera la visión del mismo. </w:t>
      </w:r>
    </w:p>
    <w:p w14:paraId="740F760B" w14:textId="77777777" w:rsidR="00CF352B" w:rsidRPr="003D49EB" w:rsidRDefault="00CF352B" w:rsidP="009A4683">
      <w:pPr>
        <w:spacing w:after="100" w:afterAutospacing="1"/>
        <w:rPr>
          <w:bCs/>
          <w:szCs w:val="20"/>
          <w:lang w:val="es-CR"/>
        </w:rPr>
      </w:pPr>
      <w:r w:rsidRPr="003D49EB">
        <w:rPr>
          <w:bCs/>
          <w:szCs w:val="20"/>
          <w:lang w:val="es-CR"/>
        </w:rPr>
        <w:t>119.</w:t>
      </w:r>
      <w:r w:rsidRPr="003D49EB">
        <w:rPr>
          <w:bCs/>
          <w:szCs w:val="20"/>
          <w:lang w:val="es-CR"/>
        </w:rPr>
        <w:tab/>
        <w:t xml:space="preserve">La situación diferenciada bajo la cual se presta el servicio militar conlleva una restricción o limitación a los derechos y libertades de los reclutas, generando con ello no propiamente una privación de libertad, pero una situación en la que el Estado es el garante y custodio de los individuos sometidos a ese régimen. En ese sentido se pronunció el Comité contra la Tortura de las Naciones Unidas: </w:t>
      </w:r>
    </w:p>
    <w:p w14:paraId="103085C6" w14:textId="6B439B38" w:rsidR="00CF352B" w:rsidRPr="003D49EB" w:rsidRDefault="00CF352B" w:rsidP="009A4683">
      <w:pPr>
        <w:pStyle w:val="NormalNumbered"/>
        <w:spacing w:line="240" w:lineRule="auto"/>
        <w:rPr>
          <w:lang w:val="es-CR"/>
        </w:rPr>
      </w:pPr>
      <w:r w:rsidRPr="003D49EB">
        <w:rPr>
          <w:lang w:val="es-CR"/>
        </w:rPr>
        <w:t xml:space="preserve">los Estados Partes deben prohibir, impedir y castigar los actos de tortura y los malos tratos en todas las situaciones de privación o de limitación de libertad, por ejemplo, en las cárceles, los hospitales, las escuelas, las instituciones que atienden a niños, personas de edad, enfermos mentales o personas con discapacidades, así como durante el servicio militar y en otras instituciones y </w:t>
      </w:r>
      <w:r w:rsidRPr="003D49EB">
        <w:rPr>
          <w:lang w:val="es-CR"/>
        </w:rPr>
        <w:lastRenderedPageBreak/>
        <w:t>situaciones en que la pasividad del Estado propicia y aumenta el riesgo de daños causados por particulares</w:t>
      </w:r>
      <w:r w:rsidR="006A660B" w:rsidRPr="003D49EB">
        <w:rPr>
          <w:lang w:val="es-CR"/>
        </w:rPr>
        <w:t>.</w:t>
      </w:r>
    </w:p>
    <w:p w14:paraId="3088C77C" w14:textId="77777777" w:rsidR="00CF352B" w:rsidRPr="003D49EB" w:rsidRDefault="00CF352B" w:rsidP="009A4683">
      <w:pPr>
        <w:spacing w:after="100" w:afterAutospacing="1"/>
        <w:rPr>
          <w:bCs/>
          <w:szCs w:val="20"/>
          <w:lang w:val="es-CR"/>
        </w:rPr>
      </w:pPr>
      <w:r w:rsidRPr="003D49EB">
        <w:rPr>
          <w:bCs/>
          <w:szCs w:val="20"/>
          <w:lang w:val="es-CR"/>
        </w:rPr>
        <w:t>120.</w:t>
      </w:r>
      <w:r w:rsidRPr="003D49EB">
        <w:rPr>
          <w:bCs/>
          <w:szCs w:val="20"/>
          <w:lang w:val="es-CR"/>
        </w:rPr>
        <w:tab/>
        <w:t xml:space="preserve">Respecto de la situación específica de los militares y la necesidad de contar con medidas para prevenir la ocurrencia de tortura y tratos crueles, inhumanos o degradantes el Tribunal Europeo ha afirmado que: </w:t>
      </w:r>
    </w:p>
    <w:p w14:paraId="0A59AFA0" w14:textId="61A25D4D" w:rsidR="00CF352B" w:rsidRPr="003D49EB" w:rsidRDefault="00CF352B" w:rsidP="009A4683">
      <w:pPr>
        <w:pStyle w:val="NormalNumbered"/>
        <w:spacing w:line="240" w:lineRule="auto"/>
        <w:rPr>
          <w:lang w:val="es-CR"/>
        </w:rPr>
      </w:pPr>
      <w:r w:rsidRPr="003D49EB">
        <w:rPr>
          <w:lang w:val="es-CR"/>
        </w:rPr>
        <w:t>el Estado tiene el deber de garantizar que una persona realice el servicio militar en condiciones compatibles con el respeto por su dignidad humana, que los procedimientos y métodos de entrenamiento militar no sujeten el individuo a angustia o sufrimiento de una intensidad que exceda el nivel inevitable de rigor inherente a la disciplina militar y que, dadas las demandas prácticas de ese servicio, su salud y bienestar estén adecuadamente protegidos, entre otros, a través de la provisión de asistencia médica requerida</w:t>
      </w:r>
      <w:r w:rsidR="006A660B" w:rsidRPr="003D49EB">
        <w:rPr>
          <w:lang w:val="es-CR"/>
        </w:rPr>
        <w:t>.</w:t>
      </w:r>
    </w:p>
    <w:p w14:paraId="2DB33CDB" w14:textId="4438449D" w:rsidR="00CF352B" w:rsidRPr="003D49EB" w:rsidRDefault="00CF352B" w:rsidP="009A4683">
      <w:pPr>
        <w:spacing w:after="100" w:afterAutospacing="1"/>
        <w:rPr>
          <w:bCs/>
          <w:szCs w:val="20"/>
          <w:lang w:val="es-CR"/>
        </w:rPr>
      </w:pPr>
      <w:r w:rsidRPr="003D49EB">
        <w:rPr>
          <w:bCs/>
          <w:szCs w:val="20"/>
          <w:lang w:val="es-CR"/>
        </w:rPr>
        <w:t>121.</w:t>
      </w:r>
      <w:r w:rsidRPr="003D49EB">
        <w:rPr>
          <w:bCs/>
          <w:szCs w:val="20"/>
          <w:lang w:val="es-CR"/>
        </w:rPr>
        <w:tab/>
        <w:t>Por otra parte, la Corte tiene presente lo señalado por el Tribunal Europeo de Derechos Humanos sobre la naturaleza, las características y las necesidades particulares del servicio militar y sus efectos en la situación personal de sus miembros. En este sentido, reconoció que algunos de sus derechos humanos pueden ser objeto de limitaciones mayores que en el caso de los civiles. Además, “al incorporarse al Ejército, los miembros de las fuerzas armadas se ciñen voluntariamente a un sistema de disciplina militar y a las limitaciones a los derechos y libertades que implica este sistema”. Por otra parte, el servicio militar acuartelado no representa, en sí mismo, una privación de libertad. Para la Corte, de ello también surge que algunas limitaciones a la libertad de movimiento al interior de las fuerzas armadas son justificadas en las demandas específicas del servicio, lo que no significa una privación de libertad. El acuartelamiento, por ejemplo, no puede ser caracterizado como una privación de libertad o una situación de custodia pues se trata de un medio de control propio de las fuerzas armadas. El Comité de Derechos Humanos de Naciones Unidas se pronunció en ese sentido recientemente, en su Observación General No. 35:</w:t>
      </w:r>
    </w:p>
    <w:p w14:paraId="50326C15" w14:textId="77777777" w:rsidR="00CF352B" w:rsidRPr="003D49EB" w:rsidRDefault="00CF352B" w:rsidP="009A4683">
      <w:pPr>
        <w:pStyle w:val="NormalNumbered"/>
        <w:spacing w:line="240" w:lineRule="auto"/>
        <w:rPr>
          <w:lang w:val="es-CR"/>
        </w:rPr>
      </w:pPr>
      <w:r w:rsidRPr="003D49EB">
        <w:rPr>
          <w:lang w:val="es-CR"/>
        </w:rPr>
        <w:t xml:space="preserve"> […] Durante un período de servicio militar, restricciones que equivaldrían a una privación de libertad en el caso de un civil pueden no constituir tal privación si no van más allá de las exigencias del servicio militar normal ni se apartan de las condiciones de vida normales de las fuerzas armadas del Estado parte en cuestión. </w:t>
      </w:r>
    </w:p>
    <w:p w14:paraId="39694941" w14:textId="77777777" w:rsidR="00CF352B" w:rsidRPr="003D49EB" w:rsidRDefault="00CF352B" w:rsidP="009A4683">
      <w:pPr>
        <w:pStyle w:val="NormalNumbered"/>
        <w:spacing w:line="240" w:lineRule="auto"/>
        <w:rPr>
          <w:lang w:val="es-CR"/>
        </w:rPr>
      </w:pPr>
      <w:r w:rsidRPr="003D49EB">
        <w:rPr>
          <w:lang w:val="es-CR"/>
        </w:rPr>
        <w:t>La privación de la libertad personal se hace sin el libre consentimiento. No son objeto de privación de libertad las personas que acuden voluntariamente a una comisaría para participar en una investigación y que saben que pueden irse en cualquier momento.</w:t>
      </w:r>
    </w:p>
    <w:p w14:paraId="172C2479" w14:textId="6B17D3BC" w:rsidR="00CF352B" w:rsidRPr="003D49EB" w:rsidRDefault="00CF352B" w:rsidP="009A4683">
      <w:pPr>
        <w:spacing w:after="100" w:afterAutospacing="1"/>
        <w:rPr>
          <w:bCs/>
          <w:szCs w:val="20"/>
          <w:lang w:val="es-CR"/>
        </w:rPr>
      </w:pPr>
      <w:r w:rsidRPr="003D49EB">
        <w:rPr>
          <w:bCs/>
          <w:szCs w:val="20"/>
          <w:lang w:val="es-CR"/>
        </w:rPr>
        <w:t>122.</w:t>
      </w:r>
      <w:r w:rsidRPr="003D49EB">
        <w:rPr>
          <w:bCs/>
          <w:szCs w:val="20"/>
          <w:lang w:val="es-CR"/>
        </w:rPr>
        <w:tab/>
        <w:t xml:space="preserve">Sin perjuicio de lo anterior, como indicó el Tribunal Europeo de Derechos Humanos, “de manera similar a personas bajo custodia, los conscriptos se encuentran enteramente en las manos del Estado y cualquier evento ocurrido en el Ejército yace totalmente, o en gran parte, dentro del conocimiento exclusivo de las autoridades. Así entonces, el Estado se encuentra bajo la obligación de dar cuenta por cualquier lesión o muerte que ocurra en el Ejército”. Asimismo, “el Estado tiene el deber de asegurar que una persona que realice el servicio militar lo haga en condiciones compatibles con el respeto de la dignidad humana, que los procedimientos y métodos del entrenamiento militar no la sometan a angustia o sufrimiento que excedan el nivel inevitable de firmeza inherente de la disciplina militar”. Esto significa que no se debe confundir la imposición de la disciplina militar con la comisión de maltratos físicos y psicológicos o mismo de tortura. La garantía de la integridad personal de los miembros de las fuerzas armadas es absolutamente compatible con el mantenimiento de la disciplina, orden y jerarquía militares, y la </w:t>
      </w:r>
      <w:r w:rsidRPr="003D49EB">
        <w:rPr>
          <w:bCs/>
          <w:szCs w:val="20"/>
          <w:lang w:val="es-CR"/>
        </w:rPr>
        <w:lastRenderedPageBreak/>
        <w:t xml:space="preserve">primera no debe apartarse de las exigencias del servicio militar y de las condiciones normales de vida en las fuerzas armadas. </w:t>
      </w:r>
    </w:p>
    <w:p w14:paraId="137FF1FA" w14:textId="77777777" w:rsidR="00CF352B" w:rsidRPr="003D49EB" w:rsidRDefault="00CF352B" w:rsidP="009A4683">
      <w:pPr>
        <w:spacing w:after="100" w:afterAutospacing="1"/>
        <w:rPr>
          <w:bCs/>
          <w:szCs w:val="20"/>
          <w:lang w:val="es-CR"/>
        </w:rPr>
      </w:pPr>
      <w:r w:rsidRPr="003D49EB">
        <w:rPr>
          <w:bCs/>
          <w:szCs w:val="20"/>
          <w:lang w:val="es-CR"/>
        </w:rPr>
        <w:t>123.</w:t>
      </w:r>
      <w:r w:rsidRPr="003D49EB">
        <w:rPr>
          <w:bCs/>
          <w:szCs w:val="20"/>
          <w:lang w:val="es-CR"/>
        </w:rPr>
        <w:tab/>
        <w:t xml:space="preserve">De las consideraciones anteriores la Corte concluye que se encuentra frente a una especial situación de sujeción, que a su vez impone al Estado una posición de garante. Desde esa perspectiva, se encuentra en una situación similar a las personas privadas de libertad, y por lo tanto resultan aplicables los estándares establecidos en su jurisprudencia en relación a estas personas. </w:t>
      </w:r>
    </w:p>
    <w:p w14:paraId="2E72CA41" w14:textId="77777777" w:rsidR="00CF352B" w:rsidRPr="003D49EB" w:rsidRDefault="00CF352B" w:rsidP="009A4683">
      <w:pPr>
        <w:spacing w:after="100" w:afterAutospacing="1"/>
        <w:rPr>
          <w:bCs/>
          <w:szCs w:val="20"/>
          <w:lang w:val="es-CR"/>
        </w:rPr>
      </w:pPr>
      <w:r w:rsidRPr="003D49EB">
        <w:rPr>
          <w:bCs/>
          <w:szCs w:val="20"/>
          <w:lang w:val="es-CR"/>
        </w:rPr>
        <w:t>124.</w:t>
      </w:r>
      <w:r w:rsidRPr="003D49EB">
        <w:rPr>
          <w:bCs/>
          <w:szCs w:val="20"/>
          <w:lang w:val="es-CR"/>
        </w:rPr>
        <w:tab/>
        <w:t>Por todo lo anterior, la posición y el deber de garante del Estado respecto de las personas privadas de libertad se aplica a los miembros de las fuerzas armadas en servicio activo acuartelado. Así, en relación con esas personas en especial situación de sujeción, el Estado tiene el deber de i) salvaguardar la salud y el bienestar de los militares en servicio activo; ii) garantizar que la manera y el método de entrenamiento no excedan el nivel inevitable de sufrimiento inherente a esa condición; iii) proveer una explicación satisfactoria y convincente sobre las afectaciones a la salud que presenten las personas que se encuentran prestando servicio militar. En consecuencia procede la presunción de considerar responsable al Estado por las afectaciones a la integridad personal que sufre una persona que ha estado bajo autoridad y control de funcionarios estatales, como ocurre en el servicio militar.</w:t>
      </w:r>
    </w:p>
    <w:p w14:paraId="04C5EF91" w14:textId="164E0DA5" w:rsidR="00806926" w:rsidRPr="003D49EB" w:rsidRDefault="00890B82" w:rsidP="009A4683">
      <w:pPr>
        <w:pStyle w:val="Prrafodelista"/>
        <w:autoSpaceDE w:val="0"/>
        <w:autoSpaceDN w:val="0"/>
        <w:adjustRightInd w:val="0"/>
        <w:spacing w:before="120" w:after="100" w:afterAutospacing="1"/>
        <w:ind w:left="0"/>
        <w:rPr>
          <w:rFonts w:cs="Verdana"/>
          <w:b/>
          <w:bCs/>
          <w:sz w:val="18"/>
          <w:szCs w:val="18"/>
        </w:rPr>
      </w:pPr>
      <w:r w:rsidRPr="003D49EB">
        <w:rPr>
          <w:rFonts w:cs="Verdana"/>
          <w:b/>
          <w:bCs/>
          <w:sz w:val="18"/>
          <w:szCs w:val="18"/>
        </w:rPr>
        <w:t xml:space="preserve">N. del E.: </w:t>
      </w:r>
      <w:r w:rsidR="001E7BFA" w:rsidRPr="003D49EB">
        <w:rPr>
          <w:rFonts w:cs="Verdana"/>
          <w:b/>
          <w:bCs/>
          <w:sz w:val="18"/>
          <w:szCs w:val="18"/>
        </w:rPr>
        <w:t>Para ver con mayor detalle los estándares establecidos por el Tribunal en materia de</w:t>
      </w:r>
      <w:r w:rsidR="007326AE" w:rsidRPr="003D49EB">
        <w:rPr>
          <w:rFonts w:cs="Verdana"/>
          <w:b/>
          <w:bCs/>
          <w:sz w:val="18"/>
          <w:szCs w:val="18"/>
        </w:rPr>
        <w:t>l</w:t>
      </w:r>
      <w:r w:rsidR="001E7BFA" w:rsidRPr="003D49EB">
        <w:rPr>
          <w:rFonts w:cs="Verdana"/>
          <w:b/>
          <w:bCs/>
          <w:sz w:val="18"/>
          <w:szCs w:val="18"/>
        </w:rPr>
        <w:t xml:space="preserve"> </w:t>
      </w:r>
      <w:r w:rsidR="007326AE" w:rsidRPr="003D49EB">
        <w:rPr>
          <w:rFonts w:cs="Verdana"/>
          <w:b/>
          <w:bCs/>
          <w:sz w:val="18"/>
          <w:szCs w:val="18"/>
        </w:rPr>
        <w:t xml:space="preserve">deber especial de garante que tiene el Estado frente a </w:t>
      </w:r>
      <w:r w:rsidR="001E7BFA" w:rsidRPr="003D49EB">
        <w:rPr>
          <w:rFonts w:cs="Verdana"/>
          <w:b/>
          <w:bCs/>
          <w:sz w:val="18"/>
          <w:szCs w:val="18"/>
        </w:rPr>
        <w:t>personas privadas de libe</w:t>
      </w:r>
      <w:r w:rsidR="007326AE" w:rsidRPr="003D49EB">
        <w:rPr>
          <w:rFonts w:cs="Verdana"/>
          <w:b/>
          <w:bCs/>
          <w:sz w:val="18"/>
          <w:szCs w:val="18"/>
        </w:rPr>
        <w:t>rtad, puede remitirse al punto 1.1</w:t>
      </w:r>
      <w:r w:rsidR="001E7BFA" w:rsidRPr="003D49EB">
        <w:rPr>
          <w:rFonts w:cs="Verdana"/>
          <w:b/>
          <w:bCs/>
          <w:sz w:val="18"/>
          <w:szCs w:val="18"/>
        </w:rPr>
        <w:t xml:space="preserve">. del </w:t>
      </w:r>
      <w:hyperlink r:id="rId11" w:history="1">
        <w:r w:rsidR="001E7BFA" w:rsidRPr="003D49EB">
          <w:rPr>
            <w:rStyle w:val="Hipervnculo"/>
            <w:rFonts w:cs="Verdana"/>
            <w:b/>
            <w:bCs/>
            <w:color w:val="auto"/>
            <w:sz w:val="18"/>
            <w:szCs w:val="18"/>
            <w:u w:val="none"/>
          </w:rPr>
          <w:t>Cuadernillo de Jurisprudencia N°9 de la Corte IDH</w:t>
        </w:r>
      </w:hyperlink>
      <w:r w:rsidR="001E7BFA" w:rsidRPr="003D49EB">
        <w:rPr>
          <w:rFonts w:cs="Verdana"/>
          <w:b/>
          <w:bCs/>
          <w:sz w:val="18"/>
          <w:szCs w:val="18"/>
        </w:rPr>
        <w:t xml:space="preserve">, sobre </w:t>
      </w:r>
      <w:r w:rsidR="007326AE" w:rsidRPr="003D49EB">
        <w:rPr>
          <w:rFonts w:cs="Verdana"/>
          <w:b/>
          <w:bCs/>
          <w:sz w:val="18"/>
          <w:szCs w:val="18"/>
        </w:rPr>
        <w:t>Estado como garante de los derechos de las personas privadas de libertad.</w:t>
      </w:r>
    </w:p>
    <w:p w14:paraId="388439E2" w14:textId="77777777" w:rsidR="002D2ADC" w:rsidRPr="003D49EB" w:rsidRDefault="002D2ADC" w:rsidP="009A4683">
      <w:pPr>
        <w:pStyle w:val="Prrafodelista"/>
        <w:autoSpaceDE w:val="0"/>
        <w:autoSpaceDN w:val="0"/>
        <w:adjustRightInd w:val="0"/>
        <w:spacing w:before="120" w:after="100" w:afterAutospacing="1"/>
        <w:ind w:left="0"/>
        <w:rPr>
          <w:rFonts w:cs="Verdana"/>
          <w:szCs w:val="20"/>
        </w:rPr>
      </w:pPr>
    </w:p>
    <w:p w14:paraId="70306019" w14:textId="20AC0A60" w:rsidR="0044532E" w:rsidRDefault="0044532E" w:rsidP="009A4683">
      <w:pPr>
        <w:pStyle w:val="Ttulo2"/>
      </w:pPr>
      <w:bookmarkStart w:id="73" w:name="_Toc530498000"/>
      <w:bookmarkStart w:id="74" w:name="_Toc88915000"/>
      <w:r w:rsidRPr="003D49EB">
        <w:t>Obligación de no deportar ante presunción de que persona sea sometida a tortura, tratos crueles, inhumanos o degradantes</w:t>
      </w:r>
      <w:bookmarkEnd w:id="73"/>
      <w:bookmarkEnd w:id="74"/>
    </w:p>
    <w:p w14:paraId="0316BA61" w14:textId="77777777" w:rsidR="00D653CC" w:rsidRPr="00D653CC" w:rsidRDefault="00D653CC" w:rsidP="00D653CC">
      <w:pPr>
        <w:rPr>
          <w:lang w:val="es-CR"/>
        </w:rPr>
      </w:pPr>
    </w:p>
    <w:p w14:paraId="5F89A0C0" w14:textId="77777777" w:rsidR="00D653CC" w:rsidRPr="00D653CC" w:rsidRDefault="00D653CC" w:rsidP="00D653CC">
      <w:pPr>
        <w:spacing w:after="100" w:afterAutospacing="1"/>
        <w:rPr>
          <w:b/>
          <w:bCs/>
          <w:lang w:val="es-CR"/>
        </w:rPr>
      </w:pPr>
      <w:r w:rsidRPr="00D653CC">
        <w:rPr>
          <w:b/>
          <w:bCs/>
          <w:lang w:val="es-CR"/>
        </w:rPr>
        <w:t>Corte IDH. Derechos y garantías de niñas y niños en el contexto de la migración y/o en necesidad de protección internacional. Opinión Consultiva OC-21/14 de 19 de agosto de 2014. Serie A No. 21.</w:t>
      </w:r>
      <w:r w:rsidRPr="00D653CC">
        <w:rPr>
          <w:b/>
          <w:bCs/>
          <w:vertAlign w:val="superscript"/>
          <w:lang w:val="es-CR"/>
        </w:rPr>
        <w:footnoteReference w:id="83"/>
      </w:r>
    </w:p>
    <w:p w14:paraId="57F295D2" w14:textId="77777777" w:rsidR="00610E2F" w:rsidRPr="003D49EB" w:rsidRDefault="00610E2F" w:rsidP="009A4683">
      <w:pPr>
        <w:spacing w:after="100" w:afterAutospacing="1"/>
        <w:rPr>
          <w:szCs w:val="20"/>
          <w:lang w:val="es-CR"/>
        </w:rPr>
      </w:pPr>
      <w:r w:rsidRPr="003D49EB">
        <w:rPr>
          <w:szCs w:val="20"/>
        </w:rPr>
        <w:t>224.</w:t>
      </w:r>
      <w:r w:rsidRPr="003D49EB">
        <w:rPr>
          <w:szCs w:val="20"/>
        </w:rPr>
        <w:tab/>
        <w:t xml:space="preserve">La </w:t>
      </w:r>
      <w:r w:rsidRPr="003D49EB">
        <w:rPr>
          <w:szCs w:val="20"/>
          <w:lang w:val="es-CR"/>
        </w:rPr>
        <w:t>Convención</w:t>
      </w:r>
      <w:r w:rsidRPr="003D49EB">
        <w:rPr>
          <w:szCs w:val="20"/>
        </w:rPr>
        <w:t xml:space="preserve"> Americana reconoce expresamente el derecho a la integridad personal en su artículo 5, bien jurídico cuya protección encierra la finalidad principal de la prohibición absoluta e imperativa de derecho internacional consuetudinario de la tortura y penas o tratos crueles, inhumanos o degradantes. Este Tribunal ha considerado de forma constante en su jurisprudencia que dicha prohibición pertenece hoy día al dominio del </w:t>
      </w:r>
      <w:r w:rsidRPr="003D49EB">
        <w:rPr>
          <w:i/>
          <w:iCs/>
          <w:szCs w:val="20"/>
        </w:rPr>
        <w:t>ius cogens</w:t>
      </w:r>
      <w:r w:rsidRPr="003D49EB">
        <w:rPr>
          <w:szCs w:val="20"/>
        </w:rPr>
        <w:t xml:space="preserve">. </w:t>
      </w:r>
      <w:r w:rsidRPr="003D49EB">
        <w:rPr>
          <w:szCs w:val="20"/>
          <w:lang w:val="es-CR"/>
        </w:rPr>
        <w:t xml:space="preserve">De esta forma, se ha conformado un régimen jurídico internacional de prohibición absoluta de todas las formas de tortura, tanto física como psicológica, y respecto a esta última, se ha reconocido que las amenazas y el peligro real de someter a una persona a graves lesiones físicas produce, en </w:t>
      </w:r>
      <w:r w:rsidRPr="003D49EB">
        <w:rPr>
          <w:szCs w:val="20"/>
          <w:lang w:val="es-CR"/>
        </w:rPr>
        <w:lastRenderedPageBreak/>
        <w:t>determinadas circunstancias, una angustia moral de tal grado que puede ser considerada “tortura psicológica”.</w:t>
      </w:r>
    </w:p>
    <w:p w14:paraId="106A700F" w14:textId="77777777" w:rsidR="00610E2F" w:rsidRPr="003D49EB" w:rsidRDefault="00610E2F" w:rsidP="009A4683">
      <w:pPr>
        <w:spacing w:after="100" w:afterAutospacing="1"/>
        <w:rPr>
          <w:szCs w:val="20"/>
          <w:lang w:val="es-CR"/>
        </w:rPr>
      </w:pPr>
      <w:r w:rsidRPr="003D49EB">
        <w:rPr>
          <w:szCs w:val="20"/>
          <w:lang w:val="es-ES_tradnl"/>
        </w:rPr>
        <w:t>225.</w:t>
      </w:r>
      <w:r w:rsidRPr="003D49EB">
        <w:rPr>
          <w:szCs w:val="20"/>
          <w:lang w:val="es-ES_tradnl"/>
        </w:rPr>
        <w:tab/>
        <w:t>Desde sus primeras sentencias, la Corte se ha pronunciado acerca de la intrínseca conexión existente entre</w:t>
      </w:r>
      <w:r w:rsidRPr="003D49EB">
        <w:rPr>
          <w:szCs w:val="20"/>
          <w:lang w:val="es-CR"/>
        </w:rPr>
        <w:t xml:space="preserve"> las obligaciones generales de respeto y garantía </w:t>
      </w:r>
      <w:r w:rsidRPr="003D49EB">
        <w:rPr>
          <w:szCs w:val="20"/>
          <w:lang w:val="es-ES_tradnl"/>
        </w:rPr>
        <w:t>señaladas en el artículo 1.1 de la Convención y los derechos específicos protegidos por este instrumento</w:t>
      </w:r>
      <w:r w:rsidRPr="003D49EB">
        <w:rPr>
          <w:szCs w:val="20"/>
          <w:lang w:val="es-CR"/>
        </w:rPr>
        <w:t xml:space="preserve"> que impone, respecto de cada uno de los derechos y libertades reconocidos, deberes concretos que deben ser determinados caso por caso y según el derecho o libertad de que se trate</w:t>
      </w:r>
      <w:r w:rsidRPr="003D49EB">
        <w:rPr>
          <w:szCs w:val="20"/>
          <w:lang w:val="es-ES_tradnl"/>
        </w:rPr>
        <w:t xml:space="preserve">. </w:t>
      </w:r>
      <w:r w:rsidRPr="003D49EB">
        <w:rPr>
          <w:szCs w:val="20"/>
          <w:lang w:val="es-CR"/>
        </w:rPr>
        <w:t xml:space="preserve">Una de las obligaciones internacionales asociadas con la prohibición de la tortura es el principio de no devolución o </w:t>
      </w:r>
      <w:r w:rsidRPr="003D49EB">
        <w:rPr>
          <w:i/>
          <w:szCs w:val="20"/>
          <w:lang w:val="es-CR"/>
        </w:rPr>
        <w:t>non-</w:t>
      </w:r>
      <w:proofErr w:type="spellStart"/>
      <w:r w:rsidRPr="003D49EB">
        <w:rPr>
          <w:i/>
          <w:szCs w:val="20"/>
          <w:lang w:val="es-CR"/>
        </w:rPr>
        <w:t>refoulement</w:t>
      </w:r>
      <w:proofErr w:type="spellEnd"/>
      <w:r w:rsidRPr="003D49EB">
        <w:rPr>
          <w:szCs w:val="20"/>
          <w:lang w:val="es-CR"/>
        </w:rPr>
        <w:t xml:space="preserve">. Dicho principio busca, de manera primordial, </w:t>
      </w:r>
      <w:r w:rsidRPr="003D49EB">
        <w:rPr>
          <w:szCs w:val="20"/>
          <w:lang w:val="es-ES_tradnl"/>
        </w:rPr>
        <w:t xml:space="preserve">asegurar la efectividad de la prohibición de la tortura en toda circunstancia y respecto de toda persona, sin discriminación alguna. </w:t>
      </w:r>
      <w:r w:rsidRPr="003D49EB">
        <w:rPr>
          <w:szCs w:val="20"/>
          <w:lang w:val="es-CR"/>
        </w:rPr>
        <w:t xml:space="preserve">Siendo una obligación derivada de la prohibición de tortura, el principio de no devolución en este ámbito es absoluto y adquiere también el carácter de norma imperativa de derecho internacional consuetudinario, es decir, de </w:t>
      </w:r>
      <w:r w:rsidRPr="003D49EB">
        <w:rPr>
          <w:i/>
          <w:szCs w:val="20"/>
          <w:lang w:val="es-CR"/>
        </w:rPr>
        <w:t>ius cogens</w:t>
      </w:r>
      <w:r w:rsidRPr="003D49EB">
        <w:rPr>
          <w:szCs w:val="20"/>
          <w:lang w:val="es-CR"/>
        </w:rPr>
        <w:t>.</w:t>
      </w:r>
    </w:p>
    <w:p w14:paraId="5E59AFF6" w14:textId="77777777" w:rsidR="00610E2F" w:rsidRPr="003D49EB" w:rsidRDefault="00610E2F" w:rsidP="009A4683">
      <w:pPr>
        <w:spacing w:after="100" w:afterAutospacing="1"/>
        <w:rPr>
          <w:szCs w:val="20"/>
          <w:lang w:val="es-CR"/>
        </w:rPr>
      </w:pPr>
      <w:r w:rsidRPr="003D49EB">
        <w:rPr>
          <w:szCs w:val="20"/>
          <w:lang w:val="es-CR"/>
        </w:rPr>
        <w:t>226.</w:t>
      </w:r>
      <w:r w:rsidRPr="003D49EB">
        <w:rPr>
          <w:szCs w:val="20"/>
          <w:lang w:val="es-CR"/>
        </w:rPr>
        <w:tab/>
        <w:t xml:space="preserve">Es </w:t>
      </w:r>
      <w:r w:rsidRPr="003D49EB">
        <w:rPr>
          <w:szCs w:val="20"/>
          <w:lang w:val="es-ES_tradnl"/>
        </w:rPr>
        <w:t>así</w:t>
      </w:r>
      <w:r w:rsidRPr="003D49EB">
        <w:rPr>
          <w:szCs w:val="20"/>
          <w:lang w:val="es-CR"/>
        </w:rPr>
        <w:t xml:space="preserve"> que a partir del artículo 5 de la Convención Americana, leído en conjunto con las </w:t>
      </w:r>
      <w:r w:rsidRPr="003D49EB">
        <w:rPr>
          <w:szCs w:val="20"/>
          <w:lang w:val="es-ES_tradnl"/>
        </w:rPr>
        <w:t xml:space="preserve">obligaciones </w:t>
      </w:r>
      <w:r w:rsidRPr="003D49EB">
        <w:rPr>
          <w:i/>
          <w:szCs w:val="20"/>
          <w:lang w:val="es-ES_tradnl"/>
        </w:rPr>
        <w:t>erga omnes</w:t>
      </w:r>
      <w:r w:rsidRPr="003D49EB">
        <w:rPr>
          <w:szCs w:val="20"/>
          <w:lang w:val="es-ES_tradnl"/>
        </w:rPr>
        <w:t xml:space="preserve"> de respetar y hacer respetar las normas de protección de los derechos humanos</w:t>
      </w:r>
      <w:r w:rsidRPr="003D49EB">
        <w:rPr>
          <w:szCs w:val="20"/>
          <w:lang w:val="es-CR"/>
        </w:rPr>
        <w:t xml:space="preserve">, se desprende el deber del Estado de </w:t>
      </w:r>
      <w:r w:rsidRPr="003D49EB">
        <w:rPr>
          <w:szCs w:val="20"/>
        </w:rPr>
        <w:t xml:space="preserve">no deportar, devolver, expulsar, extraditar o remover de otro modo </w:t>
      </w:r>
      <w:r w:rsidRPr="003D49EB">
        <w:rPr>
          <w:szCs w:val="20"/>
          <w:lang w:val="es-CR"/>
        </w:rPr>
        <w:t>a una persona que esté sujeta a su jurisdicción a otro Estado, o a un tercer Estado que no sea seguro, cuando exista presunción fundada para creer que estaría en peligro de ser sometida a tortura, tratos crueles, inhumanos o degradantes.</w:t>
      </w:r>
    </w:p>
    <w:p w14:paraId="31C05945" w14:textId="4B6E3A1F" w:rsidR="00610E2F" w:rsidRPr="003D49EB" w:rsidRDefault="00610E2F" w:rsidP="009A4683">
      <w:pPr>
        <w:spacing w:after="100" w:afterAutospacing="1"/>
        <w:rPr>
          <w:szCs w:val="20"/>
          <w:lang w:val="es-CR"/>
        </w:rPr>
      </w:pPr>
      <w:r w:rsidRPr="003D49EB">
        <w:rPr>
          <w:szCs w:val="20"/>
          <w:lang w:val="es-CR"/>
        </w:rPr>
        <w:t>227.</w:t>
      </w:r>
      <w:r w:rsidRPr="003D49EB">
        <w:rPr>
          <w:szCs w:val="20"/>
          <w:lang w:val="es-CR"/>
        </w:rPr>
        <w:tab/>
        <w:t xml:space="preserve">A su vez, los Estados han acordado, tanto a nivel universal como interamericano, tratados internacionales específicos sobre la temática, que desarrollan las obligaciones que surgen de las normas sobre prohibición de la tortura, al precisar determinadas medidas que los Estados deben implementar a nivel interno, toda vez que se consideran eficaces para atender el objetivo y fin último de dichos convenios cual es la prevención y sanción de la tortura y asegurar su no repetición. El sistema interamericano cuenta con un tratado específico, la Convención Interamericana para Prevenir y Sancionar la Tortura, que </w:t>
      </w:r>
      <w:r w:rsidRPr="003D49EB">
        <w:rPr>
          <w:szCs w:val="20"/>
        </w:rPr>
        <w:t xml:space="preserve">obliga a los Estados Parte a adoptar medidas efectivas para prevenir y sancionar la tortura y otros tratos crueles, inhumanos o degradantes en el ámbito de su jurisdicción. Una de las medidas identificadas es justamente </w:t>
      </w:r>
      <w:r w:rsidRPr="003D49EB">
        <w:rPr>
          <w:szCs w:val="20"/>
          <w:lang w:val="es-CR"/>
        </w:rPr>
        <w:t>el principio de no devolución, recogido en el cuarto párrafo de su artículo 13, relacionado con las personas requeridas por casos de tortura, de la siguiente forma: “[n]o se concederá la extradición ni se procederá a la devolución de la persona requerida cuando haya presunción fundada de que corre peligro su vida, de que será sometido a tortura, tratos crueles, inhumanos o degradantes o de que será juzgada por tribunales de excepción o ad hoc en el Estado requirente”. Por otra parte, el principio, tal como se encuentra regulado, está asociado también a la protección del derecho a la vida y de determinadas garantías judiciales, de modo tal que no se limita únicamente a la protección contra la tortura.</w:t>
      </w:r>
    </w:p>
    <w:p w14:paraId="3B2D6AEF" w14:textId="1DC4129E" w:rsidR="005E0916" w:rsidRPr="003D49EB" w:rsidRDefault="00521531" w:rsidP="009A4683">
      <w:pPr>
        <w:spacing w:after="100" w:afterAutospacing="1"/>
        <w:rPr>
          <w:b/>
          <w:bCs/>
          <w:szCs w:val="20"/>
          <w:shd w:val="clear" w:color="auto" w:fill="FFFFFF"/>
        </w:rPr>
      </w:pPr>
      <w:r w:rsidRPr="00521531">
        <w:rPr>
          <w:b/>
          <w:bCs/>
          <w:szCs w:val="20"/>
          <w:shd w:val="clear" w:color="auto" w:fill="FFFFFF"/>
          <w:lang w:val="en-US"/>
        </w:rPr>
        <w:t xml:space="preserve">Corte IDH. Caso Wong Ho Wing Vs. </w:t>
      </w:r>
      <w:r w:rsidRPr="00521531">
        <w:rPr>
          <w:b/>
          <w:bCs/>
          <w:szCs w:val="20"/>
          <w:shd w:val="clear" w:color="auto" w:fill="FFFFFF"/>
        </w:rPr>
        <w:t xml:space="preserve">Perú. Excepción Preliminar, Fondo, Reparaciones y Costas. </w:t>
      </w:r>
      <w:r w:rsidRPr="00C62A4E">
        <w:rPr>
          <w:b/>
          <w:bCs/>
          <w:szCs w:val="20"/>
          <w:shd w:val="clear" w:color="auto" w:fill="FFFFFF"/>
        </w:rPr>
        <w:t>Sentencia de 30 de junio de 2015. Serie C No. 297.</w:t>
      </w:r>
      <w:r>
        <w:rPr>
          <w:rStyle w:val="Refdenotaalpie"/>
          <w:b/>
          <w:bCs/>
          <w:szCs w:val="20"/>
          <w:shd w:val="clear" w:color="auto" w:fill="FFFFFF"/>
          <w:lang w:val="en-US"/>
        </w:rPr>
        <w:footnoteReference w:id="84"/>
      </w:r>
      <w:r w:rsidR="005E0916" w:rsidRPr="003D49EB">
        <w:rPr>
          <w:b/>
          <w:bCs/>
          <w:szCs w:val="20"/>
          <w:shd w:val="clear" w:color="auto" w:fill="FFFFFF"/>
        </w:rPr>
        <w:t xml:space="preserve"> </w:t>
      </w:r>
    </w:p>
    <w:p w14:paraId="586C1582" w14:textId="7985FFF5" w:rsidR="005E0916" w:rsidRDefault="005E0916" w:rsidP="009A4683">
      <w:r w:rsidRPr="003D49EB">
        <w:lastRenderedPageBreak/>
        <w:t>127.</w:t>
      </w:r>
      <w:r w:rsidRPr="003D49EB">
        <w:tab/>
        <w:t xml:space="preserve">Por otra parte, respecto al derecho a la integridad personal, esta Corte ya ha señalado que a partir del artículo 5 de la Convención Americana, leído en conjunto con las obligaciones </w:t>
      </w:r>
      <w:r w:rsidRPr="003D49EB">
        <w:rPr>
          <w:i/>
          <w:iCs/>
        </w:rPr>
        <w:t>erga omnes</w:t>
      </w:r>
      <w:r w:rsidRPr="003D49EB">
        <w:t xml:space="preserve"> de respetar y hacer respetar las normas de protección de los derechos humanos, se desprende el deber del Estado de no deportar, devolver, expulsar, extraditar o remover de otro modo a una persona que esté sujeta a su jurisdicción a otro Estado, o a un tercer Estado que no sea seguro, cuando exista presunción fundada para creer que estaría en peligro de ser sometida a tortura, tratos crueles, inhumanos o degradantes. </w:t>
      </w:r>
    </w:p>
    <w:p w14:paraId="24B943E1" w14:textId="77777777" w:rsidR="00971822" w:rsidRPr="003D49EB" w:rsidRDefault="00971822" w:rsidP="009A4683">
      <w:pPr>
        <w:rPr>
          <w:b/>
        </w:rPr>
      </w:pPr>
    </w:p>
    <w:p w14:paraId="45820F64" w14:textId="726DDB89" w:rsidR="005E0916" w:rsidRDefault="005E0916" w:rsidP="009A4683">
      <w:r w:rsidRPr="003D49EB">
        <w:t>128.</w:t>
      </w:r>
      <w:r w:rsidRPr="003D49EB">
        <w:tab/>
        <w:t xml:space="preserve">Adicionalmente, el sistema interamericano cuenta con un tratado específico, la Convención Interamericana para Prevenir y Sancionar la Tortura, la cual recoge el principio de no devolución, de la siguiente forma: “No se concederá la extradición ni se procederá a la devolución de la persona requerida cuando haya presunción fundada de que corre peligro su vida, de que será sometido a tortura, tratos crueles, inhumanos o degradantes o de que será juzgada por tribunales de excepción o ad hoc en el Estado requirente”. Por otra parte, el principio, tal como se encuentra regulado, está asociado también a la protección del derecho a la vida y de determinadas garantías judiciales, de modo tal que no se limita únicamente a la protección contra la tortura. Aunado a ello, no basta con que los Estados se abstengan de incurrir en una violación de dicho principio, sino que es imperativa la adopción de medidas positivas. En situaciones en las cuales la persona se encuentra frente a un riesgo de tortura el principio de no devolución es absoluto. </w:t>
      </w:r>
    </w:p>
    <w:p w14:paraId="7B8C1DF0" w14:textId="77777777" w:rsidR="00971822" w:rsidRPr="003D49EB" w:rsidRDefault="00971822" w:rsidP="009A4683">
      <w:pPr>
        <w:rPr>
          <w:b/>
        </w:rPr>
      </w:pPr>
    </w:p>
    <w:p w14:paraId="29955023" w14:textId="4965741A" w:rsidR="005E0916" w:rsidRDefault="005E0916" w:rsidP="009A4683">
      <w:r w:rsidRPr="003D49EB">
        <w:t>129.</w:t>
      </w:r>
      <w:r w:rsidRPr="003D49EB">
        <w:tab/>
        <w:t>En consecuencia, cuando una persona alegue ante un Estado un riesgo en caso de devolución, las autoridades competentes de ese Estado deberán, al menos, entrevistar a la persona y realizar una evaluación previa o preliminar, a efectos de determinar si existe o no ese riesgo en caso de expulsión. Esto implica respetar las garantías mínimas referidas, como parte de la debida oportunidad de exponer las razones que lo asistan en contra de su expulsión y, si se constata ese riesgo, no debería ser devuelto a</w:t>
      </w:r>
      <w:r w:rsidR="00BF2C46" w:rsidRPr="003D49EB">
        <w:t xml:space="preserve">l país donde exista el riesgo. </w:t>
      </w:r>
    </w:p>
    <w:p w14:paraId="5423E349" w14:textId="77777777" w:rsidR="00971822" w:rsidRPr="003D49EB" w:rsidRDefault="00971822" w:rsidP="009A4683"/>
    <w:p w14:paraId="60301C44" w14:textId="7FD33930" w:rsidR="005E0916" w:rsidRDefault="005E0916" w:rsidP="009A4683">
      <w:r w:rsidRPr="003D49EB">
        <w:t>130.</w:t>
      </w:r>
      <w:r w:rsidRPr="003D49EB">
        <w:tab/>
        <w:t>Este caso constituye la primera oportunidad en la que la Corte Interamericana se pronuncia sobre las obligaciones de los Estados Parte de la Convención en el marco de procesos de extradición. Al respecto, el Estado objetó la aplicación de precedentes en supuestos de deportación, refugio o expulsión. La Corte advierte que la obligación de garantizar los derechos a la vida y a la integridad personal, así como el principio de no devolución ante el riesgo de tortura y otras formas de trato cruel, inhumano o degradante o riesgo al derecho a la vida “se aplica a todas las modalidades de devolución de una persona a otro Estado, incluso por extradición”</w:t>
      </w:r>
      <w:r w:rsidR="00BF2C46" w:rsidRPr="003D49EB">
        <w:t xml:space="preserve">. </w:t>
      </w:r>
    </w:p>
    <w:p w14:paraId="6545E630" w14:textId="77777777" w:rsidR="00971822" w:rsidRPr="003D49EB" w:rsidRDefault="00971822" w:rsidP="009A4683"/>
    <w:p w14:paraId="30B93678" w14:textId="459CB41A" w:rsidR="005E0916" w:rsidRDefault="005E0916" w:rsidP="009A4683">
      <w:r w:rsidRPr="003D49EB">
        <w:t>131.</w:t>
      </w:r>
      <w:r w:rsidRPr="003D49EB">
        <w:tab/>
        <w:t xml:space="preserve">Teniendo en cuenta lo anterior, esta Corte estima pertinente tomar nota de la extensa jurisprudencia en la materia del Tribunal Europeo, así como de las opiniones y decisiones del Comité de Derechos Humanos del Pacto Internacional de Derechos Civiles y Políticos (en adelante “el Comité de Derechos Humanos” o “el Comité”) y del Comité contra la Tortura de la Convención contra la Tortura y Otros Tratos o Penas Crueles, Inhumanos o Degradantes y su Protocolo Facultativo (en adelante “el Comité contra la Tortura”). </w:t>
      </w:r>
    </w:p>
    <w:p w14:paraId="27B61C2B" w14:textId="77777777" w:rsidR="00971822" w:rsidRPr="003D49EB" w:rsidRDefault="00971822" w:rsidP="009A4683">
      <w:pPr>
        <w:rPr>
          <w:b/>
        </w:rPr>
      </w:pPr>
    </w:p>
    <w:p w14:paraId="4C6B644C" w14:textId="1063657B" w:rsidR="005E0916" w:rsidRDefault="005E0916" w:rsidP="009A4683">
      <w:r w:rsidRPr="003D49EB">
        <w:rPr>
          <w:lang w:val="es-ES_tradnl"/>
        </w:rPr>
        <w:t>132.</w:t>
      </w:r>
      <w:r w:rsidRPr="003D49EB">
        <w:rPr>
          <w:lang w:val="es-ES_tradnl"/>
        </w:rPr>
        <w:tab/>
        <w:t xml:space="preserve">De manera general, el Comité de Derechos Humanos ha indicado que </w:t>
      </w:r>
      <w:r w:rsidRPr="003D49EB">
        <w:t xml:space="preserve">los Estados están obligados a no extraditar, deportar, expulsar o hacer salir de algún modo de su territorio a una persona cuando haya razones de peso para creer que existe un riesgo real de daño irreparable, tal como el daño previsto en los artículos 6 (derecho a la vida) y 7 (prohibición de tortura o penas o tratos crueles, inhumanos o </w:t>
      </w:r>
      <w:r w:rsidRPr="003D49EB">
        <w:lastRenderedPageBreak/>
        <w:t xml:space="preserve">degradantes) del Pacto Internacional de Derechos Civiles y Políticos, en el país hacia el que se va a efectuar esa salida forzada o en cualquier país al que la persona sea expulsada posteriormente. </w:t>
      </w:r>
      <w:r w:rsidRPr="003D49EB">
        <w:rPr>
          <w:lang w:val="es-ES_tradnl"/>
        </w:rPr>
        <w:t xml:space="preserve">Particularmente, respecto de la pena de muerte, el Comité ha indicado que “para los países que han abolido la pena de muerte existe la obligación de no exponer a una persona al riesgo real de la aplicación de la misma. Así, no pueden expulsar, por deportación o extradición, a las personas de su jurisdicción si se puede prever razonablemente que serán condenadas a muerte, sin exigir garantías de que la pena no se ejecutará”. </w:t>
      </w:r>
      <w:r w:rsidRPr="003D49EB">
        <w:rPr>
          <w:rStyle w:val="sb8d990e2"/>
          <w:spacing w:val="-2"/>
          <w:szCs w:val="20"/>
        </w:rPr>
        <w:t xml:space="preserve">Respecto de la prohibición de tortura, el Comité contra la Tortura ha afirmado que </w:t>
      </w:r>
      <w:r w:rsidRPr="003D49EB">
        <w:t xml:space="preserve">en virtud del artículo 3, párrafo 1, de la Convención </w:t>
      </w:r>
      <w:r w:rsidRPr="003D49EB">
        <w:rPr>
          <w:lang w:val="es-ES_tradnl"/>
        </w:rPr>
        <w:t>c</w:t>
      </w:r>
      <w:r w:rsidRPr="003D49EB">
        <w:rPr>
          <w:bCs/>
          <w:lang w:val="es-ES_tradnl"/>
        </w:rPr>
        <w:t>ontra la Tortura</w:t>
      </w:r>
      <w:r w:rsidRPr="003D49EB">
        <w:rPr>
          <w:lang w:val="es-ES_tradnl"/>
        </w:rPr>
        <w:t> y Otros Tratos o Penas Crueles, Inhumanos o Degradantes</w:t>
      </w:r>
      <w:r w:rsidRPr="003D49EB">
        <w:t>, el Estado Parte tiene la obligación de no proceder a la expulsión de una persona a otro Estado cuando haya razones fundadas para creer que estaría en peligro de ser sometida a tortura.</w:t>
      </w:r>
    </w:p>
    <w:p w14:paraId="5038DA94" w14:textId="77777777" w:rsidR="00971822" w:rsidRPr="003D49EB" w:rsidRDefault="00971822" w:rsidP="009A4683">
      <w:pPr>
        <w:rPr>
          <w:b/>
          <w:lang w:val="es-ES_tradnl"/>
        </w:rPr>
      </w:pPr>
    </w:p>
    <w:p w14:paraId="4EF3951F" w14:textId="302630C4" w:rsidR="005E0916" w:rsidRDefault="005E0916" w:rsidP="009A4683">
      <w:pPr>
        <w:rPr>
          <w:rStyle w:val="sb8d990e2"/>
          <w:spacing w:val="-2"/>
          <w:szCs w:val="20"/>
        </w:rPr>
      </w:pPr>
      <w:r w:rsidRPr="003D49EB">
        <w:t>133.</w:t>
      </w:r>
      <w:r w:rsidRPr="003D49EB">
        <w:tab/>
        <w:t xml:space="preserve">Por su parte, el Tribunal Europeo ha establecido de manera reiterada que </w:t>
      </w:r>
      <w:r w:rsidRPr="003D49EB">
        <w:rPr>
          <w:rStyle w:val="sb8d990e2"/>
          <w:spacing w:val="-2"/>
          <w:szCs w:val="20"/>
        </w:rPr>
        <w:t xml:space="preserve">la expulsión o extradición de una persona bajo la jurisdicción de un Estado Parte puede generar su responsabilidad internacional, cuando existan bases suficientes para creer que el individuo en cuestión, de ser expulsado, sería expuesto a un riesgo real de ser sometido a tratos contrarios a la prohibición de tortura u otras formas de tratos crueles, inhumanos o degradantes. Asimismo, respecto a la pena de muerte, dicho Tribunal ha indicado que el artículo 2 del Convenio Europeo </w:t>
      </w:r>
      <w:r w:rsidRPr="003D49EB">
        <w:t xml:space="preserve">para la Protección de los Derechos Humanos y de las Libertades Fundamentales </w:t>
      </w:r>
      <w:r w:rsidRPr="003D49EB">
        <w:rPr>
          <w:rStyle w:val="sb8d990e2"/>
          <w:spacing w:val="-2"/>
          <w:szCs w:val="20"/>
        </w:rPr>
        <w:t xml:space="preserve">que consagra el derecho a la vida, y el artículo 1 de su Protocolo No. 13 relativo a la abolición de la pena de muerte </w:t>
      </w:r>
      <w:r w:rsidRPr="003D49EB">
        <w:t>en cualquier circunstancia, prohíben la extradición o deportación de un individuo a otro Estado cuando existan bases suficientes para creer que podría ser sometido a pena de muerte.</w:t>
      </w:r>
      <w:r w:rsidR="008B18CE" w:rsidRPr="003D49EB">
        <w:t xml:space="preserve"> </w:t>
      </w:r>
      <w:r w:rsidR="008B18CE" w:rsidRPr="003D49EB">
        <w:rPr>
          <w:rStyle w:val="sb8d990e2"/>
          <w:spacing w:val="-2"/>
          <w:szCs w:val="20"/>
        </w:rPr>
        <w:t xml:space="preserve"> </w:t>
      </w:r>
    </w:p>
    <w:p w14:paraId="4429903E" w14:textId="77777777" w:rsidR="00971822" w:rsidRPr="003D49EB" w:rsidRDefault="00971822" w:rsidP="009A4683">
      <w:pPr>
        <w:rPr>
          <w:b/>
          <w:lang w:val="es-ES_tradnl"/>
        </w:rPr>
      </w:pPr>
    </w:p>
    <w:p w14:paraId="71AC941C" w14:textId="098F677A" w:rsidR="0044532E" w:rsidRDefault="005E0916" w:rsidP="009A4683">
      <w:r w:rsidRPr="003D49EB">
        <w:t>134.</w:t>
      </w:r>
      <w:r w:rsidRPr="003D49EB">
        <w:tab/>
        <w:t xml:space="preserve">Teniendo en cuenta todas las consideraciones anteriores y en atención a los hechos del presente caso, la Corte establece que, conforme a la obligación de garantizar el derecho a la vida, los Estados que han abolido la pena de muerte no pueden exponer a una persona bajo su jurisdicción al riesgo real y previsible de su aplicación, por lo cual no pueden expulsar, por deportación o extradición, a las personas bajo su jurisdicción si se puede prever razonablemente que pueden ser condenadas a muerte, sin exigir garantías de que dicha pena no les será aplicada. Asimismo, los Estados Parte de la Convención que no han abolido la pena de muerte no pueden exponer, mediante deportación o extradición, a ninguna persona bajo su jurisdicción que se encuentre bajo el riesgo real y previsible de ser condenado a pena de muerte, salvo por los delitos más graves y sobre los cuales se aplique actualmente la pena de muerte en el Estado Parte requerido. En consecuencia, los Estados que no han abolido la pena de muerte, no podrán expulsar a ninguna persona bajo su jurisdicción, por deportación o extradición, que pueda enfrentar el riesgo real y previsible de aplicación de pena de muerte por delitos que no están penados con igual sanción en su jurisdicción, sin exigir las garantías necesarias y suficientes de que dicha pena no será aplicada. </w:t>
      </w:r>
    </w:p>
    <w:p w14:paraId="5D817BB3" w14:textId="77777777" w:rsidR="00971822" w:rsidRPr="003D49EB" w:rsidRDefault="00971822" w:rsidP="009A4683"/>
    <w:p w14:paraId="04BAEBD0" w14:textId="4B736DB3" w:rsidR="005E0916" w:rsidRDefault="005E0916" w:rsidP="009A4683">
      <w:r w:rsidRPr="003D49EB">
        <w:t>135.</w:t>
      </w:r>
      <w:r w:rsidRPr="003D49EB">
        <w:tab/>
        <w:t xml:space="preserve">Adicionalmente, la obligación de garantizar el derecho a la integridad personal, conjuntamente con el principio de no devolución consagrado en el artículo 13 (párrafo 4) de la CIPST impone a los Estados la obligación de no expulsar, por vía de extradición, a ninguna persona bajo su jurisdicción cuando existan razones fundadas para creer que enfrentaría un riesgo real, previsible y personal de sufrir tratos contrarios a la prohibición de tortura o tratos crueles, inhumanos o degradantes. </w:t>
      </w:r>
    </w:p>
    <w:p w14:paraId="2644468B" w14:textId="77777777" w:rsidR="00971822" w:rsidRPr="003D49EB" w:rsidRDefault="00971822" w:rsidP="009A4683"/>
    <w:p w14:paraId="11F544EF" w14:textId="24530629" w:rsidR="005E0916" w:rsidRDefault="005E0916" w:rsidP="009A4683">
      <w:pPr>
        <w:rPr>
          <w:rFonts w:cstheme="minorBidi"/>
        </w:rPr>
      </w:pPr>
      <w:r w:rsidRPr="003D49EB">
        <w:t>137.</w:t>
      </w:r>
      <w:r w:rsidRPr="003D49EB">
        <w:tab/>
        <w:t xml:space="preserve">De manera adicional, este Tribunal resalta que, a efectos del presente caso, algunas de las referidas obligaciones derivadas de la Convención también están establecidas en normas internas del Estado peruano. Específicamente, el artículo 517 del Código Procesal Penal del Perú establece que </w:t>
      </w:r>
      <w:r w:rsidRPr="003D49EB">
        <w:rPr>
          <w:lang w:val="es-AR"/>
        </w:rPr>
        <w:t xml:space="preserve">no se dispondrá la extradición </w:t>
      </w:r>
      <w:r w:rsidRPr="003D49EB">
        <w:rPr>
          <w:lang w:val="es-AR"/>
        </w:rPr>
        <w:lastRenderedPageBreak/>
        <w:t>cuando “[e]l delito por el que se solicita la extradición tuviere pena de muerte en el Estado requirente y éste no diere seguridades de que no será aplicada”</w:t>
      </w:r>
      <w:r w:rsidRPr="003D49EB">
        <w:rPr>
          <w:rFonts w:cstheme="minorBidi"/>
        </w:rPr>
        <w:t>.</w:t>
      </w:r>
    </w:p>
    <w:p w14:paraId="20200732" w14:textId="77777777" w:rsidR="00971822" w:rsidRPr="003D49EB" w:rsidRDefault="00971822" w:rsidP="009A4683"/>
    <w:p w14:paraId="09624B69" w14:textId="07C0DAC4" w:rsidR="0044532E" w:rsidRDefault="005E0916" w:rsidP="009A4683">
      <w:pPr>
        <w:rPr>
          <w:lang w:bidi="en-US"/>
        </w:rPr>
      </w:pPr>
      <w:r w:rsidRPr="003D49EB">
        <w:t>138.</w:t>
      </w:r>
      <w:r w:rsidRPr="003D49EB">
        <w:tab/>
        <w:t>Asimismo, en el artículo 516 de dicho Código se condiciona la concesión de la extradición “a la existencia de garantías de una recta impartición de justicia en el Estado requirente”. Por su parte, el Tratado de Extradición entre China y el Perú, si bien no establece normas específicas respecto a delitos con pena de muerte o sobre posibles riesgos de tratos contrarios a la integridad personal, establece, como condición para extraditar en su artículo 5 que: “L</w:t>
      </w:r>
      <w:r w:rsidRPr="003D49EB">
        <w:rPr>
          <w:lang w:bidi="en-US"/>
        </w:rPr>
        <w:t>a extradición sólo se llevará a efecto si no es contraria al sistema legal de la Parte Requerida”.</w:t>
      </w:r>
    </w:p>
    <w:p w14:paraId="0C953D44" w14:textId="77777777" w:rsidR="00971822" w:rsidRPr="003D49EB" w:rsidRDefault="00971822" w:rsidP="009A4683">
      <w:pPr>
        <w:rPr>
          <w:lang w:bidi="en-US"/>
        </w:rPr>
      </w:pPr>
    </w:p>
    <w:p w14:paraId="1AF3B2AB" w14:textId="545C05AF" w:rsidR="005E0916" w:rsidRDefault="005E0916" w:rsidP="009A4683">
      <w:r w:rsidRPr="003D49EB">
        <w:rPr>
          <w:lang w:val="es-ES_tradnl"/>
        </w:rPr>
        <w:t>162.</w:t>
      </w:r>
      <w:r w:rsidRPr="003D49EB">
        <w:rPr>
          <w:lang w:val="es-ES_tradnl"/>
        </w:rPr>
        <w:tab/>
        <w:t xml:space="preserve">Respecto de un posible riesgo de tortura en caso de devolución, el Comité contra la Tortura ha indicado que </w:t>
      </w:r>
      <w:r w:rsidRPr="003D49EB">
        <w:t>“el Estado Parte y el Comité están obligados a evaluar si hay razones fundadas para creer que el autor estaría en peligro de ser sometido a tortura si se procediese a su expulsión, devolución o extradición a otro Estado, [por lo cual] el riesgo de tortura debe fundarse en razones que vayan más allá de la pura teoría o sospecha[, aunque] no es necesario demostrar que el riesgo es muy probable”. Asimismo, ha indicado que el peticionario “debe probar que se encuentra en peligro de ser sometido a tortura, que la existencia de ese peligro es fundada […] y que el peligro es personal y presente”.</w:t>
      </w:r>
    </w:p>
    <w:p w14:paraId="6952FC50" w14:textId="77777777" w:rsidR="00971822" w:rsidRPr="003D49EB" w:rsidRDefault="00971822" w:rsidP="009A4683">
      <w:pPr>
        <w:rPr>
          <w:lang w:val="es-ES_tradnl"/>
        </w:rPr>
      </w:pPr>
    </w:p>
    <w:p w14:paraId="121A1474" w14:textId="2FA67EED" w:rsidR="005E0916" w:rsidRDefault="005E0916" w:rsidP="009A4683">
      <w:r w:rsidRPr="003D49EB">
        <w:t>163.</w:t>
      </w:r>
      <w:r w:rsidRPr="003D49EB">
        <w:tab/>
        <w:t xml:space="preserve">Si bien es cierto que el principal alegato de riesgo de la presunta víctima y su representante a lo largo del proceso de extradición ha sido la posibilidad de aplicación de la pena de muerte, la Corte constata que en distintos momentos durante el proceso de extradición, tanto la presunta víctima como su representante, han mencionado la posibilidad de la violación de su derecho a la integridad personal de ser extraditado a China y en una oportunidad inclusive hicieron referencia al artículo 13 (párrafo 4) de la CIPST. Adicionalmente, constan en el expediente del proceso de extradición noticias e informes de organizaciones internacionales y no gubernamentales que señalaban y recogían prácticas contrarias a la prohibición de tortura y otras formas de tratos crueles, inhumanos o degradantes en China. </w:t>
      </w:r>
    </w:p>
    <w:p w14:paraId="21601939" w14:textId="77777777" w:rsidR="00971822" w:rsidRPr="003D49EB" w:rsidRDefault="00971822" w:rsidP="009A4683"/>
    <w:p w14:paraId="0D8F60D0" w14:textId="7EB47259" w:rsidR="005E0916" w:rsidRDefault="005E0916" w:rsidP="009A4683">
      <w:r w:rsidRPr="003D49EB">
        <w:t>164.</w:t>
      </w:r>
      <w:r w:rsidRPr="003D49EB">
        <w:tab/>
        <w:t xml:space="preserve">Al respecto, la Corte toma nota de la jurisprudencia del Tribunal Europeo, según la cual si bien “en principio, corresponde al peticionario aportar las pruebas que demuestren que existen motivos fundados para creer que, [de ser extraditado] estaría expuesto a un riesgo real de ser sometido a un trato contrario al artículo 3”, corresponde al Estado requerido “disipar cualquier duda” cuando hubieren sido presentadas pruebas al respecto. Además, el Tribunal Europeo ha afirmado que “[p]ara determinar si se ha demostrado que el peticionario corre un riesgo real de sufrir tratamiento proscrito por el artículo 3, de ser extraditado, examinará la cuestión a la luz de toda la documentación que le fue presentada, y si es necesario, el material obtenido </w:t>
      </w:r>
      <w:r w:rsidRPr="003D49EB">
        <w:rPr>
          <w:i/>
        </w:rPr>
        <w:t>motu proprio</w:t>
      </w:r>
      <w:r w:rsidRPr="003D49EB">
        <w:t>”</w:t>
      </w:r>
      <w:r w:rsidR="00BF2C46" w:rsidRPr="003D49EB">
        <w:t>.</w:t>
      </w:r>
    </w:p>
    <w:p w14:paraId="6B93CDF2" w14:textId="77777777" w:rsidR="00971822" w:rsidRPr="003D49EB" w:rsidRDefault="00971822" w:rsidP="009A4683"/>
    <w:p w14:paraId="5081C7A8" w14:textId="77777777" w:rsidR="005E0916" w:rsidRPr="003D49EB" w:rsidRDefault="005E0916" w:rsidP="009A4683">
      <w:r w:rsidRPr="003D49EB">
        <w:t>165.</w:t>
      </w:r>
      <w:r w:rsidRPr="003D49EB">
        <w:tab/>
        <w:t>La Corte considera que, en virtud del carácter absoluto de la prohibición de la tortura, la obligación específica de no extraditar cuando haya riesgo de tratos contrarios a la integridad personal establecida en el artículo 13 (párrafo 4) de la CIPST y la obligación de todos los Estados Parte de la Convención Americana de adoptar todas las medidas que fueran necesarias para prevenir la tortura u otros tratos crueles, inhumanos o degradantes, los Estados Parte de la Convención deben evaluar efectivamente esa posibilidad en el marco de sus procesos de extradición, cuando dicho riesgo sea alegado por la persona sujeta a extradición. Las mismas razones exigen a esta Corte examinar los referidos alegatos en el presente caso, con referencia a las circunstancias existentes actual</w:t>
      </w:r>
      <w:r w:rsidR="0044532E" w:rsidRPr="003D49EB">
        <w:t xml:space="preserve">mente en el Estado requirente. </w:t>
      </w:r>
    </w:p>
    <w:p w14:paraId="1DD5456F" w14:textId="77777777" w:rsidR="00C257FF" w:rsidRPr="003D49EB" w:rsidRDefault="00C257FF" w:rsidP="009A4683">
      <w:pPr>
        <w:pStyle w:val="Enelmismo"/>
        <w:spacing w:line="240" w:lineRule="auto"/>
      </w:pPr>
    </w:p>
    <w:p w14:paraId="19D57F28" w14:textId="77777777" w:rsidR="00C257FF" w:rsidRPr="003D49EB" w:rsidRDefault="00C257FF" w:rsidP="009A4683">
      <w:pPr>
        <w:pStyle w:val="Enelmismo"/>
        <w:spacing w:line="240" w:lineRule="auto"/>
      </w:pPr>
    </w:p>
    <w:p w14:paraId="2E7BCE1D" w14:textId="77777777" w:rsidR="00C257FF" w:rsidRPr="003D49EB" w:rsidRDefault="00C257FF" w:rsidP="009A4683">
      <w:pPr>
        <w:pStyle w:val="Enelmismo"/>
        <w:spacing w:line="240" w:lineRule="auto"/>
      </w:pPr>
    </w:p>
    <w:p w14:paraId="10C1BE0B" w14:textId="77777777" w:rsidR="00B8119B" w:rsidRDefault="00B8119B" w:rsidP="006E5C73">
      <w:pPr>
        <w:pStyle w:val="Ttulo1"/>
      </w:pPr>
      <w:bookmarkStart w:id="75" w:name="_Toc530498001"/>
      <w:bookmarkStart w:id="76" w:name="_Toc88915001"/>
    </w:p>
    <w:p w14:paraId="763B21FB" w14:textId="27DAD247" w:rsidR="00C1126E" w:rsidRPr="003D49EB" w:rsidRDefault="0044532E" w:rsidP="006E5C73">
      <w:pPr>
        <w:pStyle w:val="Ttulo1"/>
      </w:pPr>
      <w:r w:rsidRPr="003D49EB">
        <w:t xml:space="preserve">6. </w:t>
      </w:r>
      <w:r w:rsidR="00025383" w:rsidRPr="003D49EB">
        <w:t>Reparacione</w:t>
      </w:r>
      <w:r w:rsidR="00C1126E" w:rsidRPr="003D49EB">
        <w:t>s</w:t>
      </w:r>
      <w:bookmarkEnd w:id="75"/>
      <w:bookmarkEnd w:id="76"/>
    </w:p>
    <w:p w14:paraId="07DF6290" w14:textId="77777777" w:rsidR="006E5C73" w:rsidRDefault="006E5C73" w:rsidP="009A4683">
      <w:pPr>
        <w:spacing w:after="100" w:afterAutospacing="1"/>
        <w:rPr>
          <w:b/>
          <w:bCs/>
          <w:sz w:val="18"/>
          <w:szCs w:val="18"/>
          <w:lang w:val="es-CR"/>
        </w:rPr>
      </w:pPr>
      <w:bookmarkStart w:id="77" w:name="_Toc530498002"/>
    </w:p>
    <w:p w14:paraId="7B6C170A" w14:textId="31438F5B" w:rsidR="009932C3" w:rsidRPr="003D49EB" w:rsidRDefault="009932C3" w:rsidP="009A4683">
      <w:pPr>
        <w:spacing w:after="100" w:afterAutospacing="1"/>
        <w:rPr>
          <w:b/>
          <w:bCs/>
          <w:sz w:val="18"/>
          <w:szCs w:val="18"/>
          <w:lang w:val="es-CR"/>
        </w:rPr>
      </w:pPr>
      <w:r w:rsidRPr="003D49EB">
        <w:rPr>
          <w:b/>
          <w:bCs/>
          <w:sz w:val="18"/>
          <w:szCs w:val="18"/>
          <w:lang w:val="es-CR"/>
        </w:rPr>
        <w:t>Las medidas de reparación pueden ser consultadas en detalle en: Cuadernillo de Jurisprudencia Nº 32.</w:t>
      </w:r>
    </w:p>
    <w:p w14:paraId="28788989" w14:textId="58527F2A" w:rsidR="00A50005" w:rsidRPr="003D49EB" w:rsidRDefault="00A50005" w:rsidP="009A4683">
      <w:pPr>
        <w:pStyle w:val="Ttulo2"/>
      </w:pPr>
      <w:bookmarkStart w:id="78" w:name="_Toc88915002"/>
      <w:r w:rsidRPr="003D49EB">
        <w:t>Obligación de reparar</w:t>
      </w:r>
      <w:bookmarkEnd w:id="77"/>
      <w:bookmarkEnd w:id="78"/>
    </w:p>
    <w:p w14:paraId="3341257C" w14:textId="77777777" w:rsidR="00A50005" w:rsidRPr="003D49EB" w:rsidRDefault="00A50005" w:rsidP="009A4683">
      <w:pPr>
        <w:pStyle w:val="Prrafodelista"/>
        <w:autoSpaceDE w:val="0"/>
        <w:autoSpaceDN w:val="0"/>
        <w:adjustRightInd w:val="0"/>
        <w:spacing w:after="100" w:afterAutospacing="1"/>
        <w:ind w:left="0"/>
        <w:rPr>
          <w:b/>
          <w:szCs w:val="20"/>
          <w:lang w:val="es-CR"/>
        </w:rPr>
      </w:pPr>
    </w:p>
    <w:p w14:paraId="6547E248" w14:textId="0DD1D22D" w:rsidR="00792130" w:rsidRPr="003D49EB" w:rsidRDefault="0031044B" w:rsidP="009A4683">
      <w:pPr>
        <w:pStyle w:val="Prrafodelista"/>
        <w:autoSpaceDE w:val="0"/>
        <w:autoSpaceDN w:val="0"/>
        <w:adjustRightInd w:val="0"/>
        <w:spacing w:after="100" w:afterAutospacing="1"/>
        <w:ind w:left="0"/>
        <w:rPr>
          <w:rFonts w:eastAsiaTheme="minorHAnsi" w:cstheme="minorBidi"/>
          <w:b/>
          <w:bCs/>
          <w:szCs w:val="20"/>
          <w:shd w:val="clear" w:color="auto" w:fill="FFFFFF"/>
        </w:rPr>
      </w:pPr>
      <w:r w:rsidRPr="0031044B">
        <w:rPr>
          <w:rFonts w:eastAsiaTheme="minorHAnsi" w:cstheme="minorBidi"/>
          <w:b/>
          <w:bCs/>
          <w:szCs w:val="20"/>
          <w:shd w:val="clear" w:color="auto" w:fill="FFFFFF"/>
        </w:rPr>
        <w:t>Corte IDH. Caso García Lucero y otras Vs. Chile. Excepción Preliminar, Fondo y Reparaciones. Sentencia de 28 de agosto de 2013. Serie C No. 267.</w:t>
      </w:r>
      <w:r>
        <w:rPr>
          <w:rStyle w:val="Refdenotaalpie"/>
          <w:rFonts w:eastAsiaTheme="minorHAnsi" w:cstheme="minorBidi"/>
          <w:b/>
          <w:bCs/>
          <w:szCs w:val="20"/>
          <w:shd w:val="clear" w:color="auto" w:fill="FFFFFF"/>
        </w:rPr>
        <w:footnoteReference w:id="85"/>
      </w:r>
      <w:r w:rsidR="00792130" w:rsidRPr="003D49EB">
        <w:rPr>
          <w:rFonts w:eastAsiaTheme="minorHAnsi" w:cstheme="minorBidi"/>
          <w:b/>
          <w:bCs/>
          <w:szCs w:val="20"/>
          <w:shd w:val="clear" w:color="auto" w:fill="FFFFFF"/>
        </w:rPr>
        <w:t xml:space="preserve"> </w:t>
      </w:r>
    </w:p>
    <w:p w14:paraId="11C0D500" w14:textId="77777777" w:rsidR="00792130" w:rsidRPr="003D49EB" w:rsidRDefault="00792130" w:rsidP="009A4683">
      <w:pPr>
        <w:pStyle w:val="Prrafodelista"/>
        <w:autoSpaceDE w:val="0"/>
        <w:autoSpaceDN w:val="0"/>
        <w:adjustRightInd w:val="0"/>
        <w:spacing w:after="100" w:afterAutospacing="1"/>
        <w:ind w:left="0"/>
        <w:rPr>
          <w:rFonts w:eastAsiaTheme="minorHAnsi" w:cstheme="minorBidi"/>
          <w:b/>
          <w:bCs/>
          <w:szCs w:val="20"/>
          <w:shd w:val="clear" w:color="auto" w:fill="FFFFFF"/>
        </w:rPr>
      </w:pPr>
    </w:p>
    <w:p w14:paraId="2DB8299B" w14:textId="1ADC507B" w:rsidR="00792130" w:rsidRPr="003D49EB" w:rsidRDefault="00792130" w:rsidP="009A4683">
      <w:pPr>
        <w:pStyle w:val="Prrafodelista"/>
        <w:spacing w:after="100" w:afterAutospacing="1"/>
        <w:ind w:left="0"/>
        <w:rPr>
          <w:szCs w:val="20"/>
        </w:rPr>
      </w:pPr>
      <w:r w:rsidRPr="003D49EB">
        <w:rPr>
          <w:szCs w:val="20"/>
        </w:rPr>
        <w:t>187.</w:t>
      </w:r>
      <w:r w:rsidRPr="003D49EB">
        <w:rPr>
          <w:szCs w:val="20"/>
        </w:rPr>
        <w:tab/>
        <w:t xml:space="preserve">En relación con la tortura, en el marco del Sistema Interamericano la protección contra tales actos previstos en la Convención Americana, “así como ‘el </w:t>
      </w:r>
      <w:r w:rsidRPr="003D49EB">
        <w:rPr>
          <w:i/>
          <w:szCs w:val="20"/>
        </w:rPr>
        <w:t>corpus juris</w:t>
      </w:r>
      <w:r w:rsidRPr="003D49EB">
        <w:rPr>
          <w:szCs w:val="20"/>
        </w:rPr>
        <w:t xml:space="preserve"> internacional en materia de protección de la integridad personal’”, se ve reforzada por la Convención Interamericana contra la Tortura. Este tratado, en materia específica de reparación, expresa en su artículo 9 el “</w:t>
      </w:r>
      <w:proofErr w:type="spellStart"/>
      <w:r w:rsidRPr="003D49EB">
        <w:rPr>
          <w:szCs w:val="20"/>
        </w:rPr>
        <w:t>comprom</w:t>
      </w:r>
      <w:proofErr w:type="spellEnd"/>
      <w:r w:rsidRPr="003D49EB">
        <w:rPr>
          <w:szCs w:val="20"/>
        </w:rPr>
        <w:t>[</w:t>
      </w:r>
      <w:proofErr w:type="spellStart"/>
      <w:r w:rsidRPr="003D49EB">
        <w:rPr>
          <w:szCs w:val="20"/>
        </w:rPr>
        <w:t>iso</w:t>
      </w:r>
      <w:proofErr w:type="spellEnd"/>
      <w:r w:rsidRPr="003D49EB">
        <w:rPr>
          <w:szCs w:val="20"/>
        </w:rPr>
        <w:t>]” d</w:t>
      </w:r>
      <w:r w:rsidR="00BF2C46" w:rsidRPr="003D49EB">
        <w:rPr>
          <w:szCs w:val="20"/>
        </w:rPr>
        <w:t>e los Estados Partes</w:t>
      </w:r>
      <w:r w:rsidRPr="003D49EB">
        <w:rPr>
          <w:szCs w:val="20"/>
        </w:rPr>
        <w:t xml:space="preserve"> de “incorporar en sus legislaciones nacionales normas que garanticen una compensación adecuada para las víctimas del delito de tortura”. Dicho mandato complementa, en lo pertinente, la obligación de adoptar las disposiciones necesarias para hacer efectivos los derechos convencionales, establecido en el artículo 2 de la Convención Americana.</w:t>
      </w:r>
    </w:p>
    <w:p w14:paraId="11084FC2" w14:textId="77777777" w:rsidR="00FB7147" w:rsidRPr="003D49EB" w:rsidRDefault="00FB7147" w:rsidP="009A4683">
      <w:pPr>
        <w:pStyle w:val="Prrafodelista"/>
        <w:spacing w:after="100" w:afterAutospacing="1"/>
        <w:ind w:left="0"/>
        <w:rPr>
          <w:szCs w:val="20"/>
        </w:rPr>
      </w:pPr>
    </w:p>
    <w:p w14:paraId="0D20F987" w14:textId="6D10FE7E" w:rsidR="00792130" w:rsidRPr="003D49EB" w:rsidRDefault="00792130" w:rsidP="009A4683">
      <w:pPr>
        <w:pStyle w:val="Prrafodelista"/>
        <w:spacing w:after="100" w:afterAutospacing="1"/>
        <w:ind w:left="0"/>
        <w:rPr>
          <w:szCs w:val="20"/>
        </w:rPr>
      </w:pPr>
      <w:r w:rsidRPr="003D49EB">
        <w:rPr>
          <w:szCs w:val="20"/>
        </w:rPr>
        <w:t>188.</w:t>
      </w:r>
      <w:r w:rsidRPr="003D49EB">
        <w:rPr>
          <w:szCs w:val="20"/>
        </w:rPr>
        <w:tab/>
        <w:t xml:space="preserve">A efectos de determinar el alcance de las obligaciones estatales en lo atinente a la reparación de actos de tortura, es pertinente tener en consideración la Convención contra la Tortura y Otros Tratos o Penas Crueles, Inhumanos o Degradantes, tratado del cual Chile es Parte. En relación con su artículo 14, que versa sobre el deber de garantizar medidas de reparación, el Comité contra la Tortura ha expresado que “el concepto amplio de reparación abarca la restitución, la indemnización, la rehabilitación, la satisfacción y las garantías de no repetición y se refiere a todas las medidas necesarias para obtener reparaciones”. Señaló también el Comité que </w:t>
      </w:r>
    </w:p>
    <w:p w14:paraId="451157D4" w14:textId="40000FED" w:rsidR="00792130" w:rsidRPr="003D49EB" w:rsidRDefault="00792130" w:rsidP="009A4683">
      <w:pPr>
        <w:pStyle w:val="NormalNumbered"/>
        <w:spacing w:line="240" w:lineRule="auto"/>
      </w:pPr>
      <w:r w:rsidRPr="003D49EB">
        <w:t>[l]a reparación debe ser suficiente, efectiva y completa[, y que los Estados], al determinar las medidas de reparación y resarcimiento que se ofrezcan o concedan a las víctimas de la tortura, deben tener […] en cuenta las características propias y las circunstancias de cada caso y que la reparación debe ajustarse a las necesidades particulares de la víctima y ser proporcional a la gravedad de las transgresiones cometidas contra ella.</w:t>
      </w:r>
    </w:p>
    <w:p w14:paraId="45634B2A" w14:textId="44FBA3E4" w:rsidR="00792130" w:rsidRPr="003D49EB" w:rsidRDefault="00792130" w:rsidP="009A4683">
      <w:pPr>
        <w:pStyle w:val="Prrafodelista"/>
        <w:spacing w:after="100" w:afterAutospacing="1"/>
        <w:ind w:left="0"/>
        <w:rPr>
          <w:szCs w:val="20"/>
        </w:rPr>
      </w:pPr>
      <w:r w:rsidRPr="003D49EB">
        <w:rPr>
          <w:szCs w:val="20"/>
        </w:rPr>
        <w:t>189.</w:t>
      </w:r>
      <w:r w:rsidRPr="003D49EB">
        <w:rPr>
          <w:szCs w:val="20"/>
        </w:rPr>
        <w:tab/>
        <w:t xml:space="preserve">Por otra parte, la Corte ha indicado que “de existir mecanismos nacionales para determinar formas de reparación, esos procedimientos y [sus] resultados deben </w:t>
      </w:r>
      <w:r w:rsidRPr="003D49EB">
        <w:rPr>
          <w:szCs w:val="20"/>
        </w:rPr>
        <w:lastRenderedPageBreak/>
        <w:t>ser valorados” y que, a tal efecto, debe considerarse si los mismos “satisfacen criterios de objetividad, razonabilidad y efectividad”. En relación con Chile, la Corte constató la existencia de diversas medidas y, apreciándolas, expresó que “valora positivamente la política de reparación de violaciones a derechos humanos adelantada por el Estado”. En el presente caso, el señor García Lucero recibió el 14 de junio de 2006, por su carácter de víctima de tortura y “prisión política” un bono único, de conformidad con la Ley No. 19.992 y de su Reglamento, al haber optado por recibir la pensión por “exonerado político” […]. Además, en su calidad de “exonerado político”, recibió: a) una pensión mensual en el año 2000, bajo la Ley No. 19.234 […], y b) un bono compensatorio extraordinario de conformidad con la Ley No. 20.134 […]</w:t>
      </w:r>
      <w:r w:rsidR="00BF2C46" w:rsidRPr="003D49EB">
        <w:rPr>
          <w:szCs w:val="20"/>
        </w:rPr>
        <w:t xml:space="preserve">. </w:t>
      </w:r>
    </w:p>
    <w:p w14:paraId="22B87B01" w14:textId="77777777" w:rsidR="00FB7147" w:rsidRPr="003D49EB" w:rsidRDefault="00FB7147" w:rsidP="009A4683">
      <w:pPr>
        <w:pStyle w:val="Prrafodelista"/>
        <w:spacing w:after="100" w:afterAutospacing="1"/>
        <w:ind w:left="0"/>
        <w:rPr>
          <w:szCs w:val="20"/>
        </w:rPr>
      </w:pPr>
    </w:p>
    <w:p w14:paraId="0D475A5C" w14:textId="1A53962E" w:rsidR="00792130" w:rsidRPr="003D49EB" w:rsidRDefault="00792130" w:rsidP="009A4683">
      <w:pPr>
        <w:pStyle w:val="Prrafodelista"/>
        <w:spacing w:after="100" w:afterAutospacing="1"/>
        <w:ind w:left="0"/>
        <w:rPr>
          <w:szCs w:val="20"/>
        </w:rPr>
      </w:pPr>
      <w:r w:rsidRPr="003D49EB">
        <w:rPr>
          <w:szCs w:val="20"/>
        </w:rPr>
        <w:t>190.</w:t>
      </w:r>
      <w:r w:rsidRPr="003D49EB">
        <w:rPr>
          <w:szCs w:val="20"/>
        </w:rPr>
        <w:tab/>
        <w:t xml:space="preserve">La Corte no puede analizar si las reparaciones referidas son “suficientes, efectivas y completas”, dado que tal examen debería partir de analizar los daños generados por los actos cuya ejecución comenzó a partir de la detención del señor García Lucero el 16 de septiembre de 1973 y, en todo caso, antes del 11 de marzo de 1990 […]. Sin perjuicio de ello, debe advertirse que la existencia de programas administrativos de reparación debe ser compatible con las obligaciones estatales bajo la Convención Americana y otras normas internacionales y, por ello, no puede derivar en un menoscabo al deber estatal de garantizar el “libre y pleno ejercicio” de los derechos a las garantías y protección judiciales, en los términos de los artículos 1.1, 25.1 y 8.1 de la Convención, respectivamente. En otros términos, los programas administrativos de reparación u otras medidas o acciones normativas o de otro carácter que coexistan con los mismos, no pueden generar una obstrucción a la posibilidad de que las víctimas, de conformidad a los derechos a las garantías y protección judiciales, interpongan acciones en reclamo de reparaciones. Dada esta relación entre programas administrativos de reparación y la posibilidad de interponer acciones en reclamo de reparaciones, es pertinente que la Corte examine los argumentos de las representantes al respecto, así como los </w:t>
      </w:r>
      <w:r w:rsidR="00BF2C46" w:rsidRPr="003D49EB">
        <w:rPr>
          <w:szCs w:val="20"/>
        </w:rPr>
        <w:t xml:space="preserve">del Estado. </w:t>
      </w:r>
    </w:p>
    <w:p w14:paraId="13B51AC3" w14:textId="77777777" w:rsidR="00FB7147" w:rsidRPr="003D49EB" w:rsidRDefault="00FB7147" w:rsidP="009A4683">
      <w:pPr>
        <w:pStyle w:val="Prrafodelista"/>
        <w:spacing w:after="100" w:afterAutospacing="1"/>
        <w:ind w:left="0"/>
        <w:rPr>
          <w:szCs w:val="20"/>
        </w:rPr>
      </w:pPr>
    </w:p>
    <w:p w14:paraId="05623592" w14:textId="77777777" w:rsidR="00792130" w:rsidRPr="003D49EB" w:rsidRDefault="00792130" w:rsidP="009A4683">
      <w:pPr>
        <w:pStyle w:val="Prrafodelista"/>
        <w:spacing w:after="100" w:afterAutospacing="1"/>
        <w:ind w:left="0"/>
        <w:rPr>
          <w:szCs w:val="20"/>
        </w:rPr>
      </w:pPr>
      <w:r w:rsidRPr="003D49EB">
        <w:rPr>
          <w:szCs w:val="20"/>
        </w:rPr>
        <w:t>191.</w:t>
      </w:r>
      <w:r w:rsidRPr="003D49EB">
        <w:rPr>
          <w:szCs w:val="20"/>
        </w:rPr>
        <w:tab/>
        <w:t xml:space="preserve">En esta línea, cabe tener en consideración lo dicho por el Comité contra la Tortura, que ha indicado que “[e]l Estado que de manera oportuna […] no permita que se incoe un procedimiento civil en relación con casos de denuncias de tortura puede estar negando de </w:t>
      </w:r>
      <w:r w:rsidRPr="003D49EB">
        <w:rPr>
          <w:i/>
          <w:szCs w:val="20"/>
        </w:rPr>
        <w:t>facto</w:t>
      </w:r>
      <w:r w:rsidR="00BF2C46" w:rsidRPr="003D49EB">
        <w:rPr>
          <w:szCs w:val="20"/>
        </w:rPr>
        <w:t xml:space="preserve"> la reparación”, y que </w:t>
      </w:r>
    </w:p>
    <w:p w14:paraId="23ADD3B8" w14:textId="04CB46E9" w:rsidR="00792130" w:rsidRPr="003D49EB" w:rsidRDefault="00792130" w:rsidP="009A4683">
      <w:pPr>
        <w:pStyle w:val="NormalNumbered"/>
        <w:spacing w:line="240" w:lineRule="auto"/>
      </w:pPr>
      <w:r w:rsidRPr="003D49EB">
        <w:t>los Estados partes han de promulgar leyes que ofrezcan expresamente a las víctimas de tortura un recurso efectivo y reconozcan su derecho a obtener una reparación apropiada, que incluya una indemnización y la rehabilitación más completa posible. Esa legislación debe permitir ejercer tal derecho a título individual y asegurar que se disponga de un recurso judicial. Si bien las reparaciones colectivas y los programas administrativos de reparación pueden ser una forma de resarcimiento aceptable, esos programas no pueden dejar sin efecto el derecho individual a un recurso efectivo y a obtener reparación.</w:t>
      </w:r>
    </w:p>
    <w:p w14:paraId="34060250" w14:textId="056C0D66" w:rsidR="00C257FF" w:rsidRPr="003D49EB" w:rsidRDefault="00792130" w:rsidP="009A4683">
      <w:pPr>
        <w:spacing w:after="100" w:afterAutospacing="1"/>
        <w:rPr>
          <w:szCs w:val="20"/>
        </w:rPr>
      </w:pPr>
      <w:r w:rsidRPr="003D49EB">
        <w:rPr>
          <w:szCs w:val="20"/>
        </w:rPr>
        <w:t>192.</w:t>
      </w:r>
      <w:r w:rsidRPr="003D49EB">
        <w:rPr>
          <w:szCs w:val="20"/>
        </w:rPr>
        <w:tab/>
        <w:t>La Corte constata lo indicado por las representantes sobre que, a diferencia de la regulación sobre beneficios a “exonerados políticos”, la Ley No. 19.992, que estableció reparaciones para víctimas de tortura y “prisión política”, no incorporó disposiciones que establecieran que, de accederse a las reparaciones respectivas, las personas beneficiarias renunciaban a la posibilidad de entablar otras acciones.</w:t>
      </w:r>
      <w:r w:rsidR="00BF2C46" w:rsidRPr="003D49EB">
        <w:rPr>
          <w:szCs w:val="20"/>
        </w:rPr>
        <w:t xml:space="preserve"> De acuerdo a lo que se indicó […]</w:t>
      </w:r>
      <w:r w:rsidRPr="003D49EB">
        <w:rPr>
          <w:szCs w:val="20"/>
        </w:rPr>
        <w:t>, resulta conforme a la observancia de derechos convencionales que el establecimiento de sistemas internos administrativos o colectivos de reparación no impida a las víctimas el ejercicio de acciones jurisdiccionales en reclamo de medidas de reparación. Debe entonces examinarse si el señor García Lucero o sus familiares pudieron acceder a recursos procedentes para realizar reclamos relativos a medidas de reparación.</w:t>
      </w:r>
    </w:p>
    <w:p w14:paraId="68394A73" w14:textId="16A65603" w:rsidR="0077425C" w:rsidRDefault="0077425C" w:rsidP="009A4683">
      <w:pPr>
        <w:pStyle w:val="Ttulo2"/>
      </w:pPr>
      <w:bookmarkStart w:id="79" w:name="_Toc530498003"/>
      <w:bookmarkStart w:id="80" w:name="_Toc88915003"/>
      <w:r w:rsidRPr="003D49EB">
        <w:lastRenderedPageBreak/>
        <w:t>Daño material</w:t>
      </w:r>
      <w:bookmarkEnd w:id="79"/>
      <w:bookmarkEnd w:id="80"/>
    </w:p>
    <w:p w14:paraId="063E7E32" w14:textId="77777777" w:rsidR="00034FC2" w:rsidRPr="00034FC2" w:rsidRDefault="00034FC2" w:rsidP="00034FC2">
      <w:pPr>
        <w:rPr>
          <w:lang w:val="es-CR"/>
        </w:rPr>
      </w:pPr>
    </w:p>
    <w:p w14:paraId="72906C86" w14:textId="043237F6" w:rsidR="00C72CC1" w:rsidRDefault="00C72CC1" w:rsidP="009A4683">
      <w:pPr>
        <w:spacing w:after="100" w:afterAutospacing="1"/>
        <w:rPr>
          <w:b/>
          <w:bCs/>
          <w:szCs w:val="20"/>
        </w:rPr>
      </w:pPr>
      <w:r w:rsidRPr="00C72CC1">
        <w:rPr>
          <w:b/>
          <w:bCs/>
          <w:szCs w:val="20"/>
        </w:rPr>
        <w:t>Corte IDH. Caso Gutiérrez Soler Vs. Colombia. Sentencia de 12 de septiembre de 2005. Serie C No. 132</w:t>
      </w:r>
      <w:r>
        <w:rPr>
          <w:b/>
          <w:bCs/>
          <w:szCs w:val="20"/>
        </w:rPr>
        <w:t>.</w:t>
      </w:r>
    </w:p>
    <w:p w14:paraId="489E3714" w14:textId="1C75E9A0" w:rsidR="00441109" w:rsidRPr="003D49EB" w:rsidRDefault="00441109" w:rsidP="009A4683">
      <w:pPr>
        <w:spacing w:after="100" w:afterAutospacing="1"/>
        <w:rPr>
          <w:szCs w:val="20"/>
          <w:lang w:val="es-ES_tradnl"/>
        </w:rPr>
      </w:pPr>
      <w:r w:rsidRPr="003D49EB">
        <w:rPr>
          <w:szCs w:val="20"/>
          <w:lang w:val="es-ES_tradnl"/>
        </w:rPr>
        <w:t>75.</w:t>
      </w:r>
      <w:r w:rsidRPr="003D49EB">
        <w:rPr>
          <w:szCs w:val="20"/>
          <w:lang w:val="es-ES_tradnl"/>
        </w:rPr>
        <w:tab/>
        <w:t xml:space="preserve">La Corte, en primer lugar, nota con satisfacción que el propio Estado ha demostrado voluntad para compensar el </w:t>
      </w:r>
      <w:r w:rsidRPr="003D49EB">
        <w:rPr>
          <w:bCs/>
          <w:szCs w:val="20"/>
          <w:lang w:val="es-ES_tradnl"/>
        </w:rPr>
        <w:t xml:space="preserve">detrimento de los ingresos del </w:t>
      </w:r>
      <w:r w:rsidRPr="003D49EB">
        <w:rPr>
          <w:szCs w:val="20"/>
          <w:lang w:val="es-ES_tradnl"/>
        </w:rPr>
        <w:t>señor Wilson Gutiérrez Soler debido a los hechos del presente caso.</w:t>
      </w:r>
      <w:r w:rsidR="008B18CE" w:rsidRPr="003D49EB">
        <w:rPr>
          <w:szCs w:val="20"/>
          <w:lang w:val="es-ES_tradnl"/>
        </w:rPr>
        <w:t xml:space="preserve"> </w:t>
      </w:r>
      <w:r w:rsidRPr="003D49EB">
        <w:rPr>
          <w:szCs w:val="20"/>
          <w:lang w:val="es-ES_tradnl"/>
        </w:rPr>
        <w:t>En este sentido, se ha probado que, al momento de su detención ilegal y tortura, el señor Wilson Gutiérrez Soler trabajaba en negocios propios y ganaba lo suficiente para mantener a su familia […].</w:t>
      </w:r>
      <w:r w:rsidR="008B18CE" w:rsidRPr="003D49EB">
        <w:rPr>
          <w:szCs w:val="20"/>
          <w:lang w:val="es-ES_tradnl"/>
        </w:rPr>
        <w:t xml:space="preserve"> </w:t>
      </w:r>
      <w:r w:rsidRPr="003D49EB">
        <w:rPr>
          <w:szCs w:val="20"/>
          <w:lang w:val="es-ES_tradnl"/>
        </w:rPr>
        <w:t>Asimismo, se encuentra demostrado que, como consecuencia de haber denunciado las torturas, los hostigamientos y persecuciones subsiguientes impidieron que el señor Wilson Gutiérrez Soler volviera a encontrar una situación laboral estable y, eventualmente, lo forzaron al exilio […].</w:t>
      </w:r>
    </w:p>
    <w:p w14:paraId="78B3E14A" w14:textId="77777777" w:rsidR="00441109" w:rsidRPr="003D49EB" w:rsidRDefault="00441109" w:rsidP="009A4683">
      <w:pPr>
        <w:spacing w:after="100" w:afterAutospacing="1"/>
        <w:rPr>
          <w:szCs w:val="20"/>
          <w:lang w:val="es-ES_tradnl"/>
        </w:rPr>
      </w:pPr>
      <w:r w:rsidRPr="003D49EB">
        <w:rPr>
          <w:szCs w:val="20"/>
          <w:lang w:val="es-ES_tradnl"/>
        </w:rPr>
        <w:t>76.</w:t>
      </w:r>
      <w:r w:rsidRPr="003D49EB">
        <w:rPr>
          <w:szCs w:val="20"/>
          <w:lang w:val="es-ES_tradnl"/>
        </w:rPr>
        <w:tab/>
        <w:t>Este Tribunal observa que en el expediente no constan comprobantes idóneos para determinar con exactitud el ingreso que percibía el señor Gutiérrez Soler al momento de los hechos.</w:t>
      </w:r>
      <w:r w:rsidR="008B18CE" w:rsidRPr="003D49EB">
        <w:rPr>
          <w:szCs w:val="20"/>
          <w:lang w:val="es-ES_tradnl"/>
        </w:rPr>
        <w:t xml:space="preserve"> </w:t>
      </w:r>
      <w:r w:rsidRPr="003D49EB">
        <w:rPr>
          <w:szCs w:val="20"/>
          <w:lang w:val="es-ES_tradnl"/>
        </w:rPr>
        <w:t>Al respecto, tomando en consideración las actividades que realizaba la víctima como medio de subsistencia, así como las circunstancias y particularidades del presente caso, la Corte fija en equidad la suma de US $60.000,00 (sesenta mil dólares de los Estados Unidos de América) a favor del señor Wilson Gutiérrez Soler, por concepto de pérdida de ingresos. Dicha cantidad deberá ser entregada al señor Wilson Gutiérrez Soler de conformidad con el párrafo 70 del presente fallo.</w:t>
      </w:r>
    </w:p>
    <w:p w14:paraId="27D6CAB9" w14:textId="77777777" w:rsidR="00441109" w:rsidRPr="003D49EB" w:rsidRDefault="00441109" w:rsidP="009A4683">
      <w:pPr>
        <w:spacing w:after="100" w:afterAutospacing="1"/>
        <w:rPr>
          <w:szCs w:val="20"/>
          <w:lang w:val="es-ES_tradnl"/>
        </w:rPr>
      </w:pPr>
      <w:r w:rsidRPr="003D49EB">
        <w:rPr>
          <w:szCs w:val="20"/>
          <w:lang w:val="es-ES_tradnl"/>
        </w:rPr>
        <w:t>77.</w:t>
      </w:r>
      <w:r w:rsidRPr="003D49EB">
        <w:rPr>
          <w:szCs w:val="20"/>
          <w:lang w:val="es-ES_tradnl"/>
        </w:rPr>
        <w:tab/>
        <w:t>Se tiene por probado […] que la campaña de amenazas, hostigamientos y agresiones no sólo obligó al señor Wilson Gutiérrez Soler a huir de Colombia, sino también afectó profundamente la situación de seguridad de sus demás familiares.</w:t>
      </w:r>
      <w:r w:rsidR="008B18CE" w:rsidRPr="003D49EB">
        <w:rPr>
          <w:szCs w:val="20"/>
          <w:lang w:val="es-ES_tradnl"/>
        </w:rPr>
        <w:t xml:space="preserve"> </w:t>
      </w:r>
      <w:r w:rsidRPr="003D49EB">
        <w:rPr>
          <w:szCs w:val="20"/>
          <w:lang w:val="es-ES_tradnl"/>
        </w:rPr>
        <w:t>Por ejemplo: a) sus padres sufrían amenazas y se colocó una bomba en su casa, por lo cual se tuvieron que ir de Bogotá; b) el hermano de Wilson, el señor Ricardo Gutiérrez Soler, recibió un libro bomba en su casa y fue víctima de varios allanamientos y hostigamientos en su lugar de trabajo; y c) personas desconocidas intentaron secuestrar a uno de los hijos del señor Ricardo Gutiérrez Soler.</w:t>
      </w:r>
      <w:r w:rsidR="008B18CE" w:rsidRPr="003D49EB">
        <w:rPr>
          <w:szCs w:val="20"/>
          <w:lang w:val="es-ES_tradnl"/>
        </w:rPr>
        <w:t xml:space="preserve"> </w:t>
      </w:r>
      <w:r w:rsidRPr="003D49EB">
        <w:rPr>
          <w:szCs w:val="20"/>
          <w:lang w:val="es-ES_tradnl"/>
        </w:rPr>
        <w:t>Estas circunstancias difíciles han obligado a la familia del señor Ricardo Gutiérrez Soler a cambiarse de casa varias veces y han imposibilitado que Ricardo trabaje de una forma seguida para mantener a su familia […].</w:t>
      </w:r>
      <w:r w:rsidR="008B18CE" w:rsidRPr="003D49EB">
        <w:rPr>
          <w:szCs w:val="20"/>
          <w:lang w:val="es-ES_tradnl"/>
        </w:rPr>
        <w:t xml:space="preserve"> </w:t>
      </w:r>
      <w:r w:rsidRPr="003D49EB">
        <w:rPr>
          <w:szCs w:val="20"/>
          <w:lang w:val="es-ES_tradnl"/>
        </w:rPr>
        <w:t>Debido a lo anterior, algunos hijos del señor Ricardo Gutiérrez Soler se han alejado de la familia y todos se encuentran en situaciones económicas difíciles, con pocas posibilidades de estudiar o seguir la carrera de su elección […].</w:t>
      </w:r>
    </w:p>
    <w:p w14:paraId="762BD1FA" w14:textId="26181884" w:rsidR="00441109" w:rsidRPr="003D49EB" w:rsidRDefault="00441109" w:rsidP="009A4683">
      <w:pPr>
        <w:spacing w:after="100" w:afterAutospacing="1"/>
        <w:rPr>
          <w:szCs w:val="20"/>
          <w:lang w:val="es-ES_tradnl"/>
        </w:rPr>
      </w:pPr>
      <w:r w:rsidRPr="003D49EB">
        <w:rPr>
          <w:szCs w:val="20"/>
          <w:lang w:val="es-ES_tradnl"/>
        </w:rPr>
        <w:t>78.</w:t>
      </w:r>
      <w:r w:rsidRPr="003D49EB">
        <w:rPr>
          <w:szCs w:val="20"/>
          <w:lang w:val="es-ES_tradnl"/>
        </w:rPr>
        <w:tab/>
        <w:t>La Corte observa que, si bien no se han aportado elementos probatorios para precisar los montos, es evidente que el exilio, los traslados de vivienda, los cambios de trabajo, así como las otras manifestaciones de la grave inestabilidad a la que la familia Gutiérrez Soler se ha visto sujeta desde 1994, han impactado seriamente el patrimonio familiar.</w:t>
      </w:r>
      <w:r w:rsidR="008B18CE" w:rsidRPr="003D49EB">
        <w:rPr>
          <w:szCs w:val="20"/>
          <w:lang w:val="es-ES_tradnl"/>
        </w:rPr>
        <w:t xml:space="preserve"> </w:t>
      </w:r>
      <w:r w:rsidRPr="003D49EB">
        <w:rPr>
          <w:szCs w:val="20"/>
          <w:lang w:val="es-ES_tradnl"/>
        </w:rPr>
        <w:t>Dado que dichas alteraciones fueron una consecuencia directa de los hechos del caso – es decir, ocurrieron debido a las denuncias de la tortura sufrida por el señor Wilson Gutiérrez Soler, y de los subsiguientes hostigamientos y agresiones sufridos por sus familiares – el Tribunal considera procedente, en equidad, ordenar al Estado el pago de una indemnización por concepto de daño patrimonial familiar de US $75.000,00 (setenta y cinco mil dólares de los Estados Unidos de América).</w:t>
      </w:r>
      <w:r w:rsidR="008B18CE" w:rsidRPr="003D49EB">
        <w:rPr>
          <w:szCs w:val="20"/>
          <w:lang w:val="es-ES_tradnl"/>
        </w:rPr>
        <w:t xml:space="preserve"> </w:t>
      </w:r>
      <w:r w:rsidRPr="003D49EB">
        <w:rPr>
          <w:szCs w:val="20"/>
          <w:lang w:val="es-ES_tradnl"/>
        </w:rPr>
        <w:t>Dicha cantidad deberá ser entregada de la siguiente manera: US $30.000,00 (treinta mil dólares de los Estados Unidos de América) al señor Wilson Gutiérrez Soler, US $30.000,00 (treinta mil dólares de los Estados Unidos de América) al señor Ricardo Gutiérrez Soler y US $15.000,00 (quince mil dólares de los Estados Unidos de América) a la señora María Elena Soler de Gutiérrez, de conformidad con el párrafo 70 de la presente Sentencia.</w:t>
      </w:r>
    </w:p>
    <w:p w14:paraId="0A235B8F" w14:textId="20B1512F" w:rsidR="00441109" w:rsidRPr="003D49EB" w:rsidRDefault="00441109" w:rsidP="009A4683">
      <w:pPr>
        <w:spacing w:after="100" w:afterAutospacing="1"/>
        <w:rPr>
          <w:b/>
          <w:bCs/>
          <w:szCs w:val="20"/>
        </w:rPr>
      </w:pPr>
      <w:r w:rsidRPr="003D49EB">
        <w:rPr>
          <w:b/>
          <w:bCs/>
          <w:szCs w:val="20"/>
        </w:rPr>
        <w:lastRenderedPageBreak/>
        <w:t xml:space="preserve">Caso de la Comunidad </w:t>
      </w:r>
      <w:proofErr w:type="spellStart"/>
      <w:r w:rsidRPr="003D49EB">
        <w:rPr>
          <w:b/>
          <w:bCs/>
          <w:szCs w:val="20"/>
        </w:rPr>
        <w:t>Moiwana</w:t>
      </w:r>
      <w:proofErr w:type="spellEnd"/>
      <w:r w:rsidRPr="003D49EB">
        <w:rPr>
          <w:b/>
          <w:bCs/>
          <w:szCs w:val="20"/>
        </w:rPr>
        <w:t xml:space="preserve"> Vs. Surinam. Interpretación de la Sentencia de Fondo, Reparaciones y Costas. Sentencia de 8 de febrero de 2006</w:t>
      </w:r>
      <w:r w:rsidR="009D0041" w:rsidRPr="003D49EB">
        <w:rPr>
          <w:b/>
          <w:bCs/>
          <w:szCs w:val="20"/>
        </w:rPr>
        <w:t>.</w:t>
      </w:r>
      <w:r w:rsidR="00667E3D" w:rsidRPr="003D49EB">
        <w:rPr>
          <w:b/>
          <w:bCs/>
          <w:szCs w:val="20"/>
        </w:rPr>
        <w:t xml:space="preserve"> Serie C No. 145.</w:t>
      </w:r>
    </w:p>
    <w:p w14:paraId="097C3A9E" w14:textId="77777777" w:rsidR="00441109" w:rsidRPr="003D49EB" w:rsidRDefault="00441109" w:rsidP="009A4683">
      <w:pPr>
        <w:spacing w:after="100" w:afterAutospacing="1"/>
        <w:rPr>
          <w:szCs w:val="20"/>
          <w:lang w:val="es-ES_tradnl"/>
        </w:rPr>
      </w:pPr>
      <w:r w:rsidRPr="003D49EB">
        <w:rPr>
          <w:szCs w:val="20"/>
          <w:lang w:val="es-ES_tradnl"/>
        </w:rPr>
        <w:t>185.</w:t>
      </w:r>
      <w:r w:rsidRPr="003D49EB">
        <w:rPr>
          <w:szCs w:val="20"/>
          <w:lang w:val="es-ES_tradnl"/>
        </w:rPr>
        <w:tab/>
        <w:t>La Corte se referirá ahora al daño material sufrido por las víctimas como resultado de los hechos del presente caso, con el fin de ordenar una indemnización apropiada.</w:t>
      </w:r>
      <w:r w:rsidR="008B18CE" w:rsidRPr="003D49EB">
        <w:rPr>
          <w:szCs w:val="20"/>
          <w:lang w:val="es-ES_tradnl"/>
        </w:rPr>
        <w:t xml:space="preserve"> </w:t>
      </w:r>
      <w:r w:rsidRPr="003D49EB">
        <w:rPr>
          <w:szCs w:val="20"/>
          <w:lang w:val="es-ES_tradnl"/>
        </w:rPr>
        <w:t>A tales efectos, el Tribunal tomará en cuenta la prueba ofrecida, su jurisprudencia y los alegatos relevantes presentados por la Comisión, los representantes y el Estado.</w:t>
      </w:r>
    </w:p>
    <w:p w14:paraId="7DE185AD" w14:textId="77777777" w:rsidR="00441109" w:rsidRPr="003D49EB" w:rsidRDefault="00441109" w:rsidP="009A4683">
      <w:pPr>
        <w:spacing w:after="100" w:afterAutospacing="1"/>
        <w:rPr>
          <w:szCs w:val="20"/>
          <w:lang w:val="es-ES_tradnl"/>
        </w:rPr>
      </w:pPr>
      <w:r w:rsidRPr="003D49EB">
        <w:rPr>
          <w:szCs w:val="20"/>
          <w:lang w:val="es-ES_tradnl"/>
        </w:rPr>
        <w:t>186.</w:t>
      </w:r>
      <w:r w:rsidRPr="003D49EB">
        <w:rPr>
          <w:szCs w:val="20"/>
          <w:lang w:val="es-ES_tradnl"/>
        </w:rPr>
        <w:tab/>
        <w:t xml:space="preserve">Los hechos probados indican que los miembros de la comunidad fueron forzados a dejar sus hogares y tierras tradicionales abruptamente, y se han encontrado en situación de desplazamiento continuo, en la Guyana Francesa o en otras partes de </w:t>
      </w:r>
      <w:proofErr w:type="spellStart"/>
      <w:r w:rsidRPr="003D49EB">
        <w:rPr>
          <w:szCs w:val="20"/>
          <w:lang w:val="es-ES_tradnl"/>
        </w:rPr>
        <w:t>Suriname</w:t>
      </w:r>
      <w:proofErr w:type="spellEnd"/>
      <w:r w:rsidRPr="003D49EB">
        <w:rPr>
          <w:szCs w:val="20"/>
          <w:lang w:val="es-ES_tradnl"/>
        </w:rPr>
        <w:t xml:space="preserve"> […].</w:t>
      </w:r>
      <w:r w:rsidR="008B18CE" w:rsidRPr="003D49EB">
        <w:rPr>
          <w:szCs w:val="20"/>
          <w:lang w:val="es-ES_tradnl"/>
        </w:rPr>
        <w:t xml:space="preserve"> </w:t>
      </w:r>
      <w:r w:rsidRPr="003D49EB">
        <w:rPr>
          <w:szCs w:val="20"/>
          <w:lang w:val="es-ES_tradnl"/>
        </w:rPr>
        <w:t xml:space="preserve">Asimismo, han sufrido pobreza y privaciones desde su huida de la aldea de </w:t>
      </w:r>
      <w:proofErr w:type="spellStart"/>
      <w:r w:rsidRPr="003D49EB">
        <w:rPr>
          <w:szCs w:val="20"/>
          <w:lang w:val="es-ES_tradnl"/>
        </w:rPr>
        <w:t>Moiwana</w:t>
      </w:r>
      <w:proofErr w:type="spellEnd"/>
      <w:r w:rsidRPr="003D49EB">
        <w:rPr>
          <w:szCs w:val="20"/>
          <w:lang w:val="es-ES_tradnl"/>
        </w:rPr>
        <w:t>, dado que la posibilidad de utilizar sus medios tradicionales de subsistencia se ha visto limitada drásticamente […].</w:t>
      </w:r>
    </w:p>
    <w:p w14:paraId="4FD24C96" w14:textId="77777777" w:rsidR="00441109" w:rsidRPr="003D49EB" w:rsidRDefault="00441109" w:rsidP="009A4683">
      <w:pPr>
        <w:spacing w:after="100" w:afterAutospacing="1"/>
        <w:rPr>
          <w:szCs w:val="20"/>
          <w:lang w:val="es-ES_tradnl"/>
        </w:rPr>
      </w:pPr>
      <w:r w:rsidRPr="003D49EB">
        <w:rPr>
          <w:szCs w:val="20"/>
          <w:lang w:val="es-ES_tradnl"/>
        </w:rPr>
        <w:t>187.</w:t>
      </w:r>
      <w:r w:rsidRPr="003D49EB">
        <w:rPr>
          <w:szCs w:val="20"/>
          <w:lang w:val="es-ES_tradnl"/>
        </w:rPr>
        <w:tab/>
        <w:t xml:space="preserve">La Corte, tomando en cuenta, </w:t>
      </w:r>
      <w:r w:rsidRPr="003D49EB">
        <w:rPr>
          <w:i/>
          <w:szCs w:val="20"/>
          <w:lang w:val="es-ES_tradnl"/>
        </w:rPr>
        <w:t>inter alia</w:t>
      </w:r>
      <w:r w:rsidRPr="003D49EB">
        <w:rPr>
          <w:szCs w:val="20"/>
          <w:lang w:val="es-ES_tradnl"/>
        </w:rPr>
        <w:t>, las circunstancias del caso y la existencia de base suficiente para presumir daño material, considera procedente, en equidad, ordenar al Estado el pago de una indemnización por concepto de daño material de US $3,000.00 (tres mil dólares de los Estados Unidos de América), a cada una de las víctimas indicadas en los párrafos 180 y 181 de la presente Sentencia. La indemnización por concepto de daño material deberá ser entregada a cada una de las víctimas de conformidad con los párrafos 178 y 179 de este fallo.</w:t>
      </w:r>
      <w:r w:rsidR="008B18CE" w:rsidRPr="003D49EB">
        <w:rPr>
          <w:szCs w:val="20"/>
          <w:lang w:val="es-ES_tradnl"/>
        </w:rPr>
        <w:t xml:space="preserve"> </w:t>
      </w:r>
      <w:r w:rsidRPr="003D49EB">
        <w:rPr>
          <w:szCs w:val="20"/>
          <w:lang w:val="es-ES_tradnl"/>
        </w:rPr>
        <w:t>Se ordenará una medida adicional en un apartado posterior de la presente Sentencia, con el fin de reparar la pérdida de los hogares de los miembros de la comunidad […].</w:t>
      </w:r>
    </w:p>
    <w:p w14:paraId="51D0F161" w14:textId="3E8C5A75" w:rsidR="0077425C" w:rsidRPr="003D49EB" w:rsidRDefault="00FE0DAB" w:rsidP="009A4683">
      <w:pPr>
        <w:spacing w:after="100" w:afterAutospacing="1"/>
        <w:rPr>
          <w:b/>
          <w:bCs/>
          <w:szCs w:val="20"/>
        </w:rPr>
      </w:pPr>
      <w:r w:rsidRPr="003D49EB">
        <w:rPr>
          <w:b/>
          <w:bCs/>
          <w:szCs w:val="20"/>
        </w:rPr>
        <w:t>Corte IDH. Caso Bueno Alves Vs. Argentina. Fondo, Reparaciones y Costas. Sentencia de 11 de mayo de 2007. Serie C No. 164.</w:t>
      </w:r>
    </w:p>
    <w:p w14:paraId="57C8FCBD" w14:textId="77777777" w:rsidR="0077425C" w:rsidRPr="003D49EB" w:rsidRDefault="0077425C" w:rsidP="009A4683">
      <w:pPr>
        <w:spacing w:after="100" w:afterAutospacing="1"/>
        <w:rPr>
          <w:szCs w:val="20"/>
          <w:lang w:val="es-ES_tradnl"/>
        </w:rPr>
      </w:pPr>
      <w:r w:rsidRPr="003D49EB">
        <w:rPr>
          <w:szCs w:val="20"/>
          <w:lang w:val="es-ES_tradnl"/>
        </w:rPr>
        <w:t>158.</w:t>
      </w:r>
      <w:r w:rsidRPr="003D49EB">
        <w:rPr>
          <w:szCs w:val="20"/>
          <w:lang w:val="es-ES_tradnl"/>
        </w:rPr>
        <w:tab/>
        <w:t xml:space="preserve">En este caso, si bien es cierto que el señor Bueno Alves tenía problemas previos de personalidad, los mismos no le impedían ejercer su profesión y “operaba de manera compensada”. Incluso, como se indicó en los párrafos anteriores, era un artesano con prestigio. Es a raíz de los hechos de tortura, agravados posteriormente por la denegación de justicia, que la víctima sufrió un “quiebre[,] descompensando aquella lábil estructura de personalidad[ y] generando sobre la estructura de base un nuevo cuadro psiquiátrico”. </w:t>
      </w:r>
    </w:p>
    <w:p w14:paraId="5494CB15" w14:textId="77777777" w:rsidR="0077425C" w:rsidRPr="003D49EB" w:rsidRDefault="0077425C" w:rsidP="009A4683">
      <w:pPr>
        <w:spacing w:after="100" w:afterAutospacing="1"/>
        <w:rPr>
          <w:szCs w:val="20"/>
          <w:lang w:val="es-ES_tradnl"/>
        </w:rPr>
      </w:pPr>
      <w:r w:rsidRPr="003D49EB">
        <w:rPr>
          <w:szCs w:val="20"/>
          <w:lang w:val="es-ES_tradnl"/>
        </w:rPr>
        <w:t>170.</w:t>
      </w:r>
      <w:r w:rsidRPr="003D49EB">
        <w:rPr>
          <w:szCs w:val="20"/>
          <w:lang w:val="es-ES_tradnl"/>
        </w:rPr>
        <w:tab/>
        <w:t>Por otro lado, hay que considerar que el señor Bueno Alves tiene una incapacidad del 100% para realizar su oficio y una incapacidad general del 65%. Es decir que, en principio, podía dedicarse a otro género de labores (aunque de manera muy limitada), que le representase ciertos ingresos. Sin embargo, debe tenerse en cuenta que al momento de los hechos la víctima tenía 43 años, situación que dificulta su reubicación laboral.</w:t>
      </w:r>
    </w:p>
    <w:p w14:paraId="6B3FB819" w14:textId="77777777" w:rsidR="0077425C" w:rsidRPr="003D49EB" w:rsidRDefault="0077425C" w:rsidP="009A4683">
      <w:pPr>
        <w:spacing w:after="100" w:afterAutospacing="1"/>
        <w:rPr>
          <w:szCs w:val="20"/>
          <w:lang w:val="es-ES_tradnl"/>
        </w:rPr>
      </w:pPr>
      <w:r w:rsidRPr="003D49EB">
        <w:rPr>
          <w:szCs w:val="20"/>
          <w:lang w:val="es-ES_tradnl"/>
        </w:rPr>
        <w:t>172.</w:t>
      </w:r>
      <w:r w:rsidRPr="003D49EB">
        <w:rPr>
          <w:szCs w:val="20"/>
          <w:lang w:val="es-ES_tradnl"/>
        </w:rPr>
        <w:tab/>
        <w:t>Por todas las consideraciones expuestas, teniendo presente que no hay prueba de los ingresos que el señor Bueno Alves percibía antes de los hechos de tortura, considerando los documentos referenciales que han sido presentados al Tribunal sobre los ingresos que se perciben e</w:t>
      </w:r>
      <w:r w:rsidR="00984FCA" w:rsidRPr="003D49EB">
        <w:rPr>
          <w:szCs w:val="20"/>
          <w:lang w:val="es-ES_tradnl"/>
        </w:rPr>
        <w:t xml:space="preserve">n el sector de la construcción </w:t>
      </w:r>
      <w:r w:rsidR="00984FCA" w:rsidRPr="003D49EB">
        <w:rPr>
          <w:szCs w:val="20"/>
        </w:rPr>
        <w:t>[…]</w:t>
      </w:r>
      <w:r w:rsidRPr="003D49EB">
        <w:rPr>
          <w:szCs w:val="20"/>
          <w:lang w:val="es-ES_tradnl"/>
        </w:rPr>
        <w:t xml:space="preserve">, teniendo en cuenta su incapacidad laboral, y considerando que no hay certeza sobre la recepción </w:t>
      </w:r>
      <w:r w:rsidRPr="003D49EB" w:rsidDel="00A70144">
        <w:rPr>
          <w:szCs w:val="20"/>
          <w:lang w:val="es-ES_tradnl"/>
        </w:rPr>
        <w:t>de</w:t>
      </w:r>
      <w:r w:rsidRPr="003D49EB">
        <w:rPr>
          <w:szCs w:val="20"/>
          <w:lang w:val="es-ES_tradnl"/>
        </w:rPr>
        <w:t xml:space="preserve"> ingresos por alguna actividad laboral alternativa, la Corte recurre a la equidad y estima que el Estado debe entregar la suma de US$ 100.000,00 (cien mil dólares de los Estados Unidos de América) al señor Bueno Alves, por concepto de indemnización por los ingresos que dejó de percibir a consecuencia de los hechos del presente caso.</w:t>
      </w:r>
    </w:p>
    <w:p w14:paraId="06867E43" w14:textId="77777777" w:rsidR="0077425C" w:rsidRPr="003D49EB" w:rsidRDefault="0077425C" w:rsidP="009A4683">
      <w:pPr>
        <w:spacing w:after="100" w:afterAutospacing="1"/>
        <w:rPr>
          <w:szCs w:val="20"/>
          <w:lang w:val="es-ES_tradnl"/>
        </w:rPr>
      </w:pPr>
      <w:r w:rsidRPr="003D49EB">
        <w:rPr>
          <w:szCs w:val="20"/>
          <w:lang w:val="es-ES_tradnl"/>
        </w:rPr>
        <w:lastRenderedPageBreak/>
        <w:t>178.</w:t>
      </w:r>
      <w:r w:rsidRPr="003D49EB">
        <w:rPr>
          <w:szCs w:val="20"/>
          <w:lang w:val="es-ES_tradnl"/>
        </w:rPr>
        <w:tab/>
        <w:t>La Corte entiende que en cierto tipo de violaciones a los derechos humanos, como sería el caso de la tortura, las víctimas podrían verse en la necesidad de buscar atención médica y/o psicológica. Pero esto no puede considerarse como la regla general. En función de las diversas características personales de quien sufre las torturas o del mecanismo de tormento utilizado, la atención médica no siempre resulta necesaria. Puede suceder que algunas personas que requiriesen atención especializada (médica o psicológica) no la hayan buscado. En tal caso las indemnizaciones cubrirían los daños inmateriales y los materiales que resulten pertinentes, entre los cuales se podrían incluir los tratamientos médicos o psicológicos futuros, pero no abarcarían gastos con respecto a un tratamiento que nunca se produjo. En suma, siempre que se alegue que las víctimas buscaron tratamiento médico o psicológico, debe presentarse prueba documental suficiente que permita al Tribunal cuantificar los gastos en los que verdaderamente incurrieron.</w:t>
      </w:r>
    </w:p>
    <w:p w14:paraId="70A68875" w14:textId="77777777" w:rsidR="0077425C" w:rsidRPr="003D49EB" w:rsidRDefault="0077425C" w:rsidP="009A4683">
      <w:pPr>
        <w:spacing w:after="100" w:afterAutospacing="1"/>
        <w:rPr>
          <w:szCs w:val="20"/>
          <w:lang w:val="es-ES_tradnl"/>
        </w:rPr>
      </w:pPr>
      <w:r w:rsidRPr="003D49EB">
        <w:rPr>
          <w:szCs w:val="20"/>
          <w:lang w:val="es-ES_tradnl"/>
        </w:rPr>
        <w:t>189.</w:t>
      </w:r>
      <w:r w:rsidRPr="003D49EB">
        <w:rPr>
          <w:szCs w:val="20"/>
          <w:lang w:val="es-ES_tradnl"/>
        </w:rPr>
        <w:tab/>
        <w:t>Por ello, esta Corte estima, […], que la indemnización debe comprender también los gastos futuros por tratamiento psicológico y médico. Sin embargo, la Corte no encuentra justificación alguna para calcular el monto indemnizatorio por este rubro utilizando el porcentaje señalado por la representante. Tal cálculo no tiene relación directa con las costos que representará para el señor Bueno Alves continuar con su atención y tratamientos especializados. La base para llegar a un monto aproximado de gastos futuros deben ser los gastos pasados y actuales, así como las características propias de las lesiones y padecimientos. Como fuera señalado en el párrafo 185, esta Corte no tiene elementos suficientes que demuestren los gastos ya efectuados por el señor Bueno Alves, así que no está en condiciones de hacer un cálculo preciso de gastos futuros.</w:t>
      </w:r>
    </w:p>
    <w:p w14:paraId="3FCDF294" w14:textId="77777777" w:rsidR="0077425C" w:rsidRPr="003D49EB" w:rsidRDefault="0077425C" w:rsidP="009A4683">
      <w:pPr>
        <w:spacing w:after="100" w:afterAutospacing="1"/>
        <w:rPr>
          <w:szCs w:val="20"/>
          <w:lang w:val="es-ES_tradnl"/>
        </w:rPr>
      </w:pPr>
      <w:r w:rsidRPr="003D49EB">
        <w:rPr>
          <w:szCs w:val="20"/>
          <w:lang w:val="es-ES_tradnl"/>
        </w:rPr>
        <w:t>190.</w:t>
      </w:r>
      <w:r w:rsidRPr="003D49EB">
        <w:rPr>
          <w:szCs w:val="20"/>
          <w:lang w:val="es-ES_tradnl"/>
        </w:rPr>
        <w:tab/>
        <w:t>Teniendo en cuenta lo anterior, la Corte fija en equidad la suma de US$ 45.000,00 (cuarenta y cinco mil dólares de los Estados Unidos de América), que el Estado deberá entregar al señor Bueno Alves, por concepto de gastos futuros de tratamiento y</w:t>
      </w:r>
      <w:r w:rsidR="00BF2C46" w:rsidRPr="003D49EB">
        <w:rPr>
          <w:szCs w:val="20"/>
          <w:lang w:val="es-ES_tradnl"/>
        </w:rPr>
        <w:t xml:space="preserve"> atención médica y psicológica.</w:t>
      </w:r>
    </w:p>
    <w:p w14:paraId="09925DC9" w14:textId="25D77A46" w:rsidR="00AD5A5E" w:rsidRDefault="00AD5A5E" w:rsidP="009A4683">
      <w:pPr>
        <w:pStyle w:val="Ttulo2"/>
      </w:pPr>
      <w:bookmarkStart w:id="81" w:name="_Toc530498004"/>
      <w:bookmarkStart w:id="82" w:name="_Toc88915004"/>
      <w:r w:rsidRPr="003D49EB">
        <w:t>Daño</w:t>
      </w:r>
      <w:r w:rsidR="0077425C" w:rsidRPr="003D49EB">
        <w:t xml:space="preserve"> inmaterial</w:t>
      </w:r>
      <w:bookmarkEnd w:id="81"/>
      <w:bookmarkEnd w:id="82"/>
    </w:p>
    <w:p w14:paraId="567A8E12" w14:textId="77777777" w:rsidR="008A5B5C" w:rsidRPr="008A5B5C" w:rsidRDefault="008A5B5C" w:rsidP="008A5B5C">
      <w:pPr>
        <w:rPr>
          <w:lang w:val="es-CR"/>
        </w:rPr>
      </w:pPr>
    </w:p>
    <w:p w14:paraId="4CA74F34" w14:textId="337FA0BA" w:rsidR="00AD5A5E" w:rsidRPr="003D49EB" w:rsidRDefault="00AD5A5E" w:rsidP="009A4683">
      <w:pPr>
        <w:spacing w:after="100" w:afterAutospacing="1"/>
        <w:rPr>
          <w:b/>
          <w:szCs w:val="20"/>
        </w:rPr>
      </w:pPr>
      <w:bookmarkStart w:id="83" w:name="_Toc439145866"/>
      <w:bookmarkStart w:id="84" w:name="_Toc439147822"/>
      <w:r w:rsidRPr="003D49EB">
        <w:rPr>
          <w:b/>
          <w:szCs w:val="20"/>
          <w:lang w:val="es-CR"/>
        </w:rPr>
        <w:t>Caso Loayza Tamayo Vs. Perú. Reparaciones y Costas. Sentencia de 27 de noviembre de 1998.</w:t>
      </w:r>
      <w:bookmarkEnd w:id="83"/>
      <w:bookmarkEnd w:id="84"/>
      <w:r w:rsidRPr="003D49EB">
        <w:rPr>
          <w:b/>
          <w:szCs w:val="20"/>
          <w:lang w:val="es-CR"/>
        </w:rPr>
        <w:t xml:space="preserve"> </w:t>
      </w:r>
      <w:r w:rsidR="006A660B" w:rsidRPr="003D49EB">
        <w:rPr>
          <w:b/>
          <w:szCs w:val="20"/>
        </w:rPr>
        <w:t>Serie C No. 42.</w:t>
      </w:r>
    </w:p>
    <w:p w14:paraId="49964CF1" w14:textId="35354531" w:rsidR="00AD5A5E" w:rsidRPr="003D49EB" w:rsidRDefault="00AD5A5E" w:rsidP="009A4683">
      <w:pPr>
        <w:spacing w:after="100" w:afterAutospacing="1"/>
        <w:rPr>
          <w:rFonts w:eastAsia="Calibri"/>
          <w:b/>
          <w:szCs w:val="20"/>
          <w:lang w:val="es-ES_tradnl"/>
        </w:rPr>
      </w:pPr>
      <w:bookmarkStart w:id="85" w:name="_Toc439145867"/>
      <w:r w:rsidRPr="003D49EB">
        <w:rPr>
          <w:rFonts w:eastAsia="Calibri"/>
          <w:szCs w:val="20"/>
          <w:lang w:val="es-ES_tradnl"/>
        </w:rPr>
        <w:t>138.</w:t>
      </w:r>
      <w:r w:rsidRPr="003D49EB">
        <w:rPr>
          <w:rFonts w:eastAsia="Calibri"/>
          <w:szCs w:val="20"/>
          <w:lang w:val="es-ES_tradnl"/>
        </w:rPr>
        <w:tab/>
        <w:t>La Corte considera que el daño moral a la víctima resulta evidente, pues es propio de la naturaleza humana que toda persona sometida a agresiones y vejámenes como los que han sido probados en el presente caso experimente un sufrimiento moral.</w:t>
      </w:r>
      <w:r w:rsidR="008B18CE" w:rsidRPr="003D49EB">
        <w:rPr>
          <w:rFonts w:eastAsia="Calibri"/>
          <w:szCs w:val="20"/>
          <w:lang w:val="es-ES_tradnl"/>
        </w:rPr>
        <w:t xml:space="preserve"> </w:t>
      </w:r>
      <w:r w:rsidRPr="003D49EB">
        <w:rPr>
          <w:rFonts w:eastAsia="Calibri"/>
          <w:szCs w:val="20"/>
          <w:lang w:val="es-ES_tradnl"/>
        </w:rPr>
        <w:t>La Corte estima que no se requieren pruebas para llegar a esta conclusión.</w:t>
      </w:r>
      <w:bookmarkEnd w:id="85"/>
      <w:r w:rsidR="0007518D" w:rsidRPr="003D49EB">
        <w:rPr>
          <w:rFonts w:eastAsia="Calibri"/>
          <w:szCs w:val="20"/>
          <w:lang w:val="es-ES_tradnl"/>
        </w:rPr>
        <w:t xml:space="preserve"> </w:t>
      </w:r>
      <w:r w:rsidR="006E5C73">
        <w:rPr>
          <w:rStyle w:val="EnelmismoCar"/>
          <w:rFonts w:eastAsia="Calibri"/>
        </w:rPr>
        <w:t>En similar sentido, ver entre otros</w:t>
      </w:r>
      <w:r w:rsidR="0007518D" w:rsidRPr="003D49EB">
        <w:rPr>
          <w:rStyle w:val="EnelmismoCar"/>
          <w:rFonts w:eastAsia="Calibri"/>
        </w:rPr>
        <w:t>: Caso Suárez Rosero Vs. Ecuador. Reparaciones y Costas. Sentencia de 20 de enero de 1999, párr. 65.</w:t>
      </w:r>
    </w:p>
    <w:p w14:paraId="2612853B" w14:textId="380AE660" w:rsidR="00AD5A5E" w:rsidRPr="003D49EB" w:rsidRDefault="00AD5A5E" w:rsidP="009A4683">
      <w:pPr>
        <w:spacing w:after="100" w:afterAutospacing="1"/>
        <w:rPr>
          <w:szCs w:val="20"/>
          <w:lang w:val="es-ES_tradnl"/>
        </w:rPr>
      </w:pPr>
      <w:bookmarkStart w:id="86" w:name="_Toc439145868"/>
      <w:r w:rsidRPr="003D49EB">
        <w:rPr>
          <w:rFonts w:eastAsia="Calibri"/>
          <w:szCs w:val="20"/>
          <w:lang w:val="es-ES_tradnl"/>
        </w:rPr>
        <w:t>139.</w:t>
      </w:r>
      <w:r w:rsidRPr="003D49EB">
        <w:rPr>
          <w:rFonts w:eastAsia="Calibri"/>
          <w:szCs w:val="20"/>
          <w:lang w:val="es-ES_tradnl"/>
        </w:rPr>
        <w:tab/>
        <w:t>Tomando en cuenta las circunstancias peculiares del caso, la Corte estima equitativo conceder a la víctima una indemnización de US$ 50.000,00 (cincuenta mil dólares de los Estados Unidos de América) por concepto de daño moral.</w:t>
      </w:r>
      <w:bookmarkEnd w:id="86"/>
    </w:p>
    <w:p w14:paraId="2F8DED72" w14:textId="33493733" w:rsidR="00AD5A5E" w:rsidRPr="003D49EB" w:rsidRDefault="00AD5A5E" w:rsidP="009A4683">
      <w:pPr>
        <w:spacing w:after="100" w:afterAutospacing="1"/>
        <w:rPr>
          <w:szCs w:val="20"/>
          <w:lang w:val="es-ES_tradnl"/>
        </w:rPr>
      </w:pPr>
      <w:bookmarkStart w:id="87" w:name="_Toc439145869"/>
      <w:r w:rsidRPr="003D49EB">
        <w:rPr>
          <w:szCs w:val="20"/>
          <w:lang w:val="es-ES_tradnl"/>
        </w:rPr>
        <w:t>140.</w:t>
      </w:r>
      <w:r w:rsidRPr="003D49EB">
        <w:rPr>
          <w:szCs w:val="20"/>
          <w:lang w:val="es-ES_tradnl"/>
        </w:rPr>
        <w:tab/>
        <w:t>Ha sido demostrado que cuando la víctima fue detenida, sus hijos eran menores de e</w:t>
      </w:r>
      <w:r w:rsidR="009D0041" w:rsidRPr="003D49EB">
        <w:rPr>
          <w:szCs w:val="20"/>
          <w:lang w:val="es-ES_tradnl"/>
        </w:rPr>
        <w:t>dad, de aproximadamente 12 y 16 años.</w:t>
      </w:r>
      <w:r w:rsidRPr="003D49EB">
        <w:rPr>
          <w:szCs w:val="20"/>
          <w:lang w:val="es-ES_tradnl"/>
        </w:rPr>
        <w:t xml:space="preserve"> En ese momento, la víctima velaba por su manutención, salud y educación y existía, entonces, una relación de dependencia entre la madre y sus hijos.</w:t>
      </w:r>
      <w:r w:rsidR="008B18CE" w:rsidRPr="003D49EB">
        <w:rPr>
          <w:szCs w:val="20"/>
          <w:lang w:val="es-ES_tradnl"/>
        </w:rPr>
        <w:t xml:space="preserve"> </w:t>
      </w:r>
      <w:r w:rsidRPr="003D49EB">
        <w:rPr>
          <w:szCs w:val="20"/>
          <w:lang w:val="es-ES_tradnl"/>
        </w:rPr>
        <w:t>Además, la Corte ha verificado la existencia de graves violaciones en perjuicio de la víctima y debe presumir que tuvieron una repercusión en sus hijos, quienes se vieron alejados de ella y conocieron y compartieron su sufrimiento.</w:t>
      </w:r>
      <w:r w:rsidR="008B18CE" w:rsidRPr="003D49EB">
        <w:rPr>
          <w:szCs w:val="20"/>
          <w:lang w:val="es-ES_tradnl"/>
        </w:rPr>
        <w:t xml:space="preserve"> </w:t>
      </w:r>
      <w:r w:rsidRPr="003D49EB">
        <w:rPr>
          <w:szCs w:val="20"/>
          <w:lang w:val="es-ES_tradnl"/>
        </w:rPr>
        <w:t xml:space="preserve">La Corte considera que estas presunciones no han sido desvirtuadas por el Estado y, por ende, es pertinente designar a </w:t>
      </w:r>
      <w:proofErr w:type="spellStart"/>
      <w:r w:rsidRPr="003D49EB">
        <w:rPr>
          <w:szCs w:val="20"/>
          <w:lang w:val="es-ES_tradnl"/>
        </w:rPr>
        <w:t>Gisselle</w:t>
      </w:r>
      <w:proofErr w:type="spellEnd"/>
      <w:r w:rsidRPr="003D49EB">
        <w:rPr>
          <w:szCs w:val="20"/>
          <w:lang w:val="es-ES_tradnl"/>
        </w:rPr>
        <w:t xml:space="preserve"> Elena y Paul </w:t>
      </w:r>
      <w:r w:rsidRPr="003D49EB">
        <w:rPr>
          <w:szCs w:val="20"/>
          <w:lang w:val="es-ES_tradnl"/>
        </w:rPr>
        <w:lastRenderedPageBreak/>
        <w:t>Abelardo Zambrano Loayza como beneficiarios de la indemnización a que se hizo referencia en el punto resolutivo sexto de la sentencia de fondo.</w:t>
      </w:r>
      <w:bookmarkEnd w:id="87"/>
    </w:p>
    <w:p w14:paraId="72DAED0D" w14:textId="74CA0A54" w:rsidR="00AD5A5E" w:rsidRPr="003D49EB" w:rsidRDefault="00AD5A5E" w:rsidP="009A4683">
      <w:pPr>
        <w:spacing w:after="100" w:afterAutospacing="1"/>
        <w:rPr>
          <w:szCs w:val="20"/>
          <w:lang w:val="es-ES_tradnl"/>
        </w:rPr>
      </w:pPr>
      <w:bookmarkStart w:id="88" w:name="_Toc439145870"/>
      <w:r w:rsidRPr="003D49EB">
        <w:rPr>
          <w:szCs w:val="20"/>
          <w:lang w:val="es-ES_tradnl"/>
        </w:rPr>
        <w:t>141.</w:t>
      </w:r>
      <w:r w:rsidRPr="003D49EB">
        <w:rPr>
          <w:szCs w:val="20"/>
          <w:lang w:val="es-ES_tradnl"/>
        </w:rPr>
        <w:tab/>
        <w:t>Por esta razón, la Corte estima equitativo conceder a cada uno de los hijos de la víctima una indemnización de US$ 10.000,00 (diez mil dólares de los Estados Unidos de América) por concepto de daño moral.</w:t>
      </w:r>
      <w:bookmarkEnd w:id="88"/>
    </w:p>
    <w:p w14:paraId="53C5063B" w14:textId="61E3F389" w:rsidR="00AD5A5E" w:rsidRPr="003D49EB" w:rsidRDefault="00AD5A5E" w:rsidP="009A4683">
      <w:pPr>
        <w:spacing w:after="100" w:afterAutospacing="1"/>
        <w:rPr>
          <w:szCs w:val="20"/>
          <w:lang w:val="es-ES_tradnl"/>
        </w:rPr>
      </w:pPr>
      <w:bookmarkStart w:id="89" w:name="_Toc439145871"/>
      <w:r w:rsidRPr="003D49EB">
        <w:rPr>
          <w:szCs w:val="20"/>
          <w:lang w:val="es-ES_tradnl"/>
        </w:rPr>
        <w:t>142.</w:t>
      </w:r>
      <w:r w:rsidRPr="003D49EB">
        <w:rPr>
          <w:szCs w:val="20"/>
          <w:lang w:val="es-ES_tradnl"/>
        </w:rPr>
        <w:tab/>
        <w:t>En lo que se refiere a los señores Julio Loayza Sudario y Adelina Tamayo Trujillo de Loayza, la Corte considera que es aplicable la presunción de que sufrieron moralmente por la suerte de la víctima, pues es propio de la naturaleza humana que toda persona experimente dolor ante el suplicio de un hijo.</w:t>
      </w:r>
      <w:r w:rsidR="008B18CE" w:rsidRPr="003D49EB">
        <w:rPr>
          <w:szCs w:val="20"/>
          <w:lang w:val="es-ES_tradnl"/>
        </w:rPr>
        <w:t xml:space="preserve"> </w:t>
      </w:r>
      <w:r w:rsidRPr="003D49EB">
        <w:rPr>
          <w:szCs w:val="20"/>
          <w:lang w:val="es-ES_tradnl"/>
        </w:rPr>
        <w:t>Esta presunción no ha sido desvirtuada por el Estado.</w:t>
      </w:r>
      <w:r w:rsidR="008B18CE" w:rsidRPr="003D49EB">
        <w:rPr>
          <w:szCs w:val="20"/>
          <w:lang w:val="es-ES_tradnl"/>
        </w:rPr>
        <w:t xml:space="preserve"> </w:t>
      </w:r>
      <w:r w:rsidRPr="003D49EB">
        <w:rPr>
          <w:szCs w:val="20"/>
          <w:lang w:val="es-ES_tradnl"/>
        </w:rPr>
        <w:t>La Corte estima equitativo conceder a cada uno de los padres de la víctima una indemnización de US$ 10.000,00 (diez mil dólares de los Estados Unidos de América) por concepto de daño moral.</w:t>
      </w:r>
      <w:bookmarkEnd w:id="89"/>
      <w:r w:rsidR="008B18CE" w:rsidRPr="003D49EB">
        <w:rPr>
          <w:szCs w:val="20"/>
          <w:lang w:val="es-ES_tradnl"/>
        </w:rPr>
        <w:t xml:space="preserve"> </w:t>
      </w:r>
    </w:p>
    <w:p w14:paraId="488CDEAC" w14:textId="27199D1D" w:rsidR="00AD5A5E" w:rsidRPr="003D49EB" w:rsidRDefault="00AD5A5E" w:rsidP="009A4683">
      <w:pPr>
        <w:spacing w:after="100" w:afterAutospacing="1"/>
        <w:rPr>
          <w:szCs w:val="20"/>
          <w:lang w:val="es-ES_tradnl"/>
        </w:rPr>
      </w:pPr>
      <w:bookmarkStart w:id="90" w:name="_Toc439145872"/>
      <w:r w:rsidRPr="003D49EB">
        <w:rPr>
          <w:szCs w:val="20"/>
          <w:lang w:val="es-ES_tradnl"/>
        </w:rPr>
        <w:t>143.</w:t>
      </w:r>
      <w:r w:rsidRPr="003D49EB">
        <w:rPr>
          <w:szCs w:val="20"/>
          <w:lang w:val="es-ES_tradnl"/>
        </w:rPr>
        <w:tab/>
        <w:t>Las anteriores consideraciones son aplicables a los hermanos de la víctima, que como miembros de una familia integrada, no podían ser indiferentes a las graves aflicciones de la señora Loayza Tamayo, y esta presunción no ha sido desvirtuada por el Estado. Es pertinente, en consecuencia, designar a los hermanos de la víctima como beneficiarios de la indemnización a que se hizo referencia en el punto resolutivo sexto de la sentencia de fondo.</w:t>
      </w:r>
      <w:r w:rsidR="008B18CE" w:rsidRPr="003D49EB">
        <w:rPr>
          <w:szCs w:val="20"/>
          <w:lang w:val="es-ES_tradnl"/>
        </w:rPr>
        <w:t xml:space="preserve"> </w:t>
      </w:r>
      <w:r w:rsidRPr="003D49EB">
        <w:rPr>
          <w:szCs w:val="20"/>
          <w:lang w:val="es-ES_tradnl"/>
        </w:rPr>
        <w:t>La Corte estima equitativo conceder a cada uno de ellos una indemnización de US$ 3.000,00 (tres mil dólares de los Estados Unidos de América) por concepto de daño moral.</w:t>
      </w:r>
      <w:bookmarkEnd w:id="90"/>
    </w:p>
    <w:p w14:paraId="5F475322" w14:textId="267BF41F" w:rsidR="00A50005" w:rsidRPr="003D49EB" w:rsidRDefault="00A50005" w:rsidP="009A4683">
      <w:pPr>
        <w:pStyle w:val="Caso"/>
        <w:tabs>
          <w:tab w:val="clear" w:pos="6042"/>
        </w:tabs>
        <w:spacing w:after="100" w:afterAutospacing="1"/>
        <w:rPr>
          <w:rFonts w:cs="Verdana"/>
          <w:b w:val="0"/>
        </w:rPr>
      </w:pPr>
      <w:r w:rsidRPr="003D49EB">
        <w:rPr>
          <w:rFonts w:cs="Verdana"/>
        </w:rPr>
        <w:t xml:space="preserve">Caso </w:t>
      </w:r>
      <w:proofErr w:type="spellStart"/>
      <w:r w:rsidRPr="003D49EB">
        <w:rPr>
          <w:rFonts w:cs="Verdana"/>
        </w:rPr>
        <w:t>Ximenes</w:t>
      </w:r>
      <w:proofErr w:type="spellEnd"/>
      <w:r w:rsidRPr="003D49EB">
        <w:rPr>
          <w:rFonts w:cs="Verdana"/>
        </w:rPr>
        <w:t xml:space="preserve"> </w:t>
      </w:r>
      <w:proofErr w:type="spellStart"/>
      <w:r w:rsidRPr="003D49EB">
        <w:rPr>
          <w:rFonts w:cs="Verdana"/>
        </w:rPr>
        <w:t>Lopes</w:t>
      </w:r>
      <w:proofErr w:type="spellEnd"/>
      <w:r w:rsidRPr="003D49EB">
        <w:rPr>
          <w:rFonts w:cs="Verdana"/>
        </w:rPr>
        <w:t xml:space="preserve"> Vs. Brasil. Sentencia de 4 de julio de 2006. Serie C No. 149</w:t>
      </w:r>
      <w:r w:rsidR="00034FC2">
        <w:rPr>
          <w:rFonts w:cs="Verdana"/>
        </w:rPr>
        <w:t>.</w:t>
      </w:r>
    </w:p>
    <w:p w14:paraId="4E4D39B5" w14:textId="7C510653" w:rsidR="00A50005" w:rsidRDefault="00A50005" w:rsidP="009A4683">
      <w:r w:rsidRPr="003D49EB">
        <w:t>230.</w:t>
      </w:r>
      <w:r w:rsidRPr="003D49EB">
        <w:tab/>
        <w:t xml:space="preserve">En relación con la acción civil de resarcimiento, el Estado alegó que la Corte debe evitar un bis in </w:t>
      </w:r>
      <w:proofErr w:type="spellStart"/>
      <w:r w:rsidRPr="003D49EB">
        <w:t>idem</w:t>
      </w:r>
      <w:proofErr w:type="spellEnd"/>
      <w:r w:rsidRPr="003D49EB">
        <w:t xml:space="preserve"> que ocurriría en el supuesto de que, por un lado, en el trámite ante la jurisdicción interna la acción civil de resarcimiento fuera declarada procedente, con el consecuente pago de una indemnización, y por otro, que la Corte decidiese condenar al Estado a pagar una indemnización por daños inmateriales a favor de la señora Albertina Viana </w:t>
      </w:r>
      <w:proofErr w:type="spellStart"/>
      <w:r w:rsidRPr="003D49EB">
        <w:t>Lopes</w:t>
      </w:r>
      <w:proofErr w:type="spellEnd"/>
      <w:r w:rsidRPr="003D49EB">
        <w:t>.</w:t>
      </w:r>
      <w:r w:rsidR="008B18CE" w:rsidRPr="003D49EB">
        <w:t xml:space="preserve"> </w:t>
      </w:r>
      <w:r w:rsidRPr="003D49EB">
        <w:t>En consecuencia, según el Estado, el mismo daño estaría siendo doblemente reparado.</w:t>
      </w:r>
      <w:r w:rsidR="008B18CE" w:rsidRPr="003D49EB">
        <w:t xml:space="preserve"> </w:t>
      </w:r>
      <w:r w:rsidRPr="003D49EB">
        <w:t>A su vez, indicó que el pedido de la acción civil de resarcimiento se interpuso contra particulares y no contra el Estado.</w:t>
      </w:r>
    </w:p>
    <w:p w14:paraId="4B6C9FC7" w14:textId="77777777" w:rsidR="00034FC2" w:rsidRPr="003D49EB" w:rsidRDefault="00034FC2" w:rsidP="009A4683"/>
    <w:p w14:paraId="03ABC659" w14:textId="32ACF7F1" w:rsidR="00A50005" w:rsidRDefault="00A50005" w:rsidP="009A4683">
      <w:r w:rsidRPr="003D49EB">
        <w:t>231.</w:t>
      </w:r>
      <w:r w:rsidRPr="003D49EB">
        <w:tab/>
        <w:t>Al respecto, la Corte estima que las víctimas o sus familiares conservan el derecho que pudieran tener de reclamar ante la jurisdicción interna una indemnización de los particulares que pudieron ser responsables del daño.</w:t>
      </w:r>
      <w:r w:rsidR="008B18CE" w:rsidRPr="003D49EB">
        <w:t xml:space="preserve"> </w:t>
      </w:r>
      <w:r w:rsidRPr="003D49EB">
        <w:t xml:space="preserve">En el presente caso, la señora Albertina Viana </w:t>
      </w:r>
      <w:proofErr w:type="spellStart"/>
      <w:r w:rsidRPr="003D49EB">
        <w:t>Lopes</w:t>
      </w:r>
      <w:proofErr w:type="spellEnd"/>
      <w:r w:rsidRPr="003D49EB">
        <w:t xml:space="preserve"> ejercitó ese derecho al interponer la acción civil de resarcimiento, la que todavía se encuentra pendiente de resolución.</w:t>
      </w:r>
    </w:p>
    <w:p w14:paraId="30B0AA99" w14:textId="77777777" w:rsidR="00034FC2" w:rsidRPr="003D49EB" w:rsidRDefault="00034FC2" w:rsidP="009A4683"/>
    <w:p w14:paraId="6FE505E4" w14:textId="048D8574" w:rsidR="00A50005" w:rsidRDefault="00A50005" w:rsidP="009A4683">
      <w:r w:rsidRPr="003D49EB">
        <w:t>232.</w:t>
      </w:r>
      <w:r w:rsidRPr="003D49EB">
        <w:tab/>
        <w:t>Con motivo de la responsabilidad internacional en que ha incurrido el Estado, nace para el Estado una relación jurídica nueva que consi</w:t>
      </w:r>
      <w:r w:rsidR="00A867D4" w:rsidRPr="003D49EB">
        <w:t>ste en la obligación de reparar</w:t>
      </w:r>
      <w:r w:rsidRPr="003D49EB">
        <w:t>, distinta a la reparación que los familiares de la víctima pudieran obtener de otras personas naturales o jurídicas.</w:t>
      </w:r>
      <w:r w:rsidR="008B18CE" w:rsidRPr="003D49EB">
        <w:t xml:space="preserve"> </w:t>
      </w:r>
      <w:r w:rsidRPr="003D49EB">
        <w:t xml:space="preserve">En consecuencia, el hecho de que se tramite una acción civil de resarcimiento contra particulares en el fuero interno, no impide a la Corte ordenar una reparación económica a favor de la señora Albertina Viana </w:t>
      </w:r>
      <w:proofErr w:type="spellStart"/>
      <w:r w:rsidRPr="003D49EB">
        <w:t>Lopes</w:t>
      </w:r>
      <w:proofErr w:type="spellEnd"/>
      <w:r w:rsidRPr="003D49EB">
        <w:t>, por las violaciones de la Convención Americana.</w:t>
      </w:r>
      <w:r w:rsidR="008B18CE" w:rsidRPr="003D49EB">
        <w:t xml:space="preserve"> </w:t>
      </w:r>
      <w:r w:rsidRPr="003D49EB">
        <w:t xml:space="preserve">Corresponderá al Estado dentro de su jurisdicción resolver las consecuencias que pudiera eventualmente tener la acción civil de resarcimiento que la señora Albertina Viana </w:t>
      </w:r>
      <w:proofErr w:type="spellStart"/>
      <w:r w:rsidRPr="003D49EB">
        <w:t>Lopes</w:t>
      </w:r>
      <w:proofErr w:type="spellEnd"/>
      <w:r w:rsidRPr="003D49EB">
        <w:t xml:space="preserve"> interpuso en la jurisdicción interna.</w:t>
      </w:r>
    </w:p>
    <w:p w14:paraId="44456CC3" w14:textId="77777777" w:rsidR="00034FC2" w:rsidRPr="003D49EB" w:rsidRDefault="00034FC2" w:rsidP="009A4683"/>
    <w:p w14:paraId="401FF98F" w14:textId="366A4277" w:rsidR="00A50005" w:rsidRDefault="00A50005" w:rsidP="009A4683">
      <w:r w:rsidRPr="003D49EB">
        <w:t>233.</w:t>
      </w:r>
      <w:r w:rsidRPr="003D49EB">
        <w:tab/>
        <w:t>En segundo término, el Estado solicitó a la Corte que declare que ha realizado el pago de una justa indemnización en el ámbito interno, por medio de la pensión vitalicia estadual, como compensación del “daño moral”.</w:t>
      </w:r>
      <w:r w:rsidR="008B18CE" w:rsidRPr="003D49EB">
        <w:t xml:space="preserve"> </w:t>
      </w:r>
      <w:r w:rsidRPr="003D49EB">
        <w:t xml:space="preserve">Al respecto, está </w:t>
      </w:r>
      <w:r w:rsidRPr="003D49EB">
        <w:lastRenderedPageBreak/>
        <w:t xml:space="preserve">demostrado que el estado del Ceará dictó la Ley No. 13.491, la cual constituyó una pensión mensual vitalicia a favor de la señora Albertina Viana </w:t>
      </w:r>
      <w:proofErr w:type="spellStart"/>
      <w:r w:rsidRPr="003D49EB">
        <w:t>Lopes</w:t>
      </w:r>
      <w:proofErr w:type="spellEnd"/>
      <w:r w:rsidRPr="003D49EB">
        <w:t xml:space="preserve"> desde el 16 de junio de 2004, después de más de cuatro años de la muerte de la víctima, que actualmente asciende a R$323,40 (trescientos veintitrés reales con cuarenta centavos) [...]. </w:t>
      </w:r>
    </w:p>
    <w:p w14:paraId="2584AFF7" w14:textId="77777777" w:rsidR="00034FC2" w:rsidRPr="003D49EB" w:rsidRDefault="00034FC2" w:rsidP="009A4683"/>
    <w:p w14:paraId="25B5B4FF" w14:textId="6E5F5D4F" w:rsidR="00A50005" w:rsidRDefault="00A50005" w:rsidP="009A4683">
      <w:r w:rsidRPr="003D49EB">
        <w:t>234.</w:t>
      </w:r>
      <w:r w:rsidRPr="003D49EB">
        <w:tab/>
        <w:t xml:space="preserve">La Corte valora el hecho de que el estado del Ceará constituyera motu propio la referida pensión en beneficio de la señora Albertina Viana </w:t>
      </w:r>
      <w:proofErr w:type="spellStart"/>
      <w:r w:rsidRPr="003D49EB">
        <w:t>Lopes</w:t>
      </w:r>
      <w:proofErr w:type="spellEnd"/>
      <w:r w:rsidRPr="003D49EB">
        <w:t>.</w:t>
      </w:r>
      <w:r w:rsidR="008B18CE" w:rsidRPr="003D49EB">
        <w:t xml:space="preserve"> </w:t>
      </w:r>
      <w:r w:rsidRPr="003D49EB">
        <w:t xml:space="preserve">No obstante, en razón de las consideraciones expuestas anteriormente, este Tribunal estima procedente fijar una indemnización por daño inmaterial a favor de la madre del señor </w:t>
      </w:r>
      <w:proofErr w:type="spellStart"/>
      <w:r w:rsidRPr="003D49EB">
        <w:t>Damião</w:t>
      </w:r>
      <w:proofErr w:type="spellEnd"/>
      <w:r w:rsidRPr="003D49EB">
        <w:t xml:space="preserve"> </w:t>
      </w:r>
      <w:proofErr w:type="spellStart"/>
      <w:r w:rsidRPr="003D49EB">
        <w:t>Ximenes</w:t>
      </w:r>
      <w:proofErr w:type="spellEnd"/>
      <w:r w:rsidRPr="003D49EB">
        <w:t xml:space="preserve"> </w:t>
      </w:r>
      <w:proofErr w:type="spellStart"/>
      <w:r w:rsidRPr="003D49EB">
        <w:t>Lopes</w:t>
      </w:r>
      <w:proofErr w:type="spellEnd"/>
      <w:r w:rsidRPr="003D49EB">
        <w:t>, o de sus familiares, si correspondiere, por las violaciones a sus derechos humanos consagrados en la Convención Americana que han sido decla</w:t>
      </w:r>
      <w:r w:rsidR="00984FCA" w:rsidRPr="003D49EB">
        <w:t xml:space="preserve">radas en la presente Sentencia […], </w:t>
      </w:r>
      <w:r w:rsidRPr="003D49EB">
        <w:t xml:space="preserve">sin dejar de observar que la referida pensión constituye un beneficio legal vitalicio concedido a favor de la señora Albertina Viana </w:t>
      </w:r>
      <w:proofErr w:type="spellStart"/>
      <w:r w:rsidRPr="003D49EB">
        <w:t>Lopes</w:t>
      </w:r>
      <w:proofErr w:type="spellEnd"/>
      <w:r w:rsidRPr="003D49EB">
        <w:t xml:space="preserve">, el cual la Corte valora, con independencia a las reparaciones que fije por concepto de daño inmaterial. </w:t>
      </w:r>
    </w:p>
    <w:p w14:paraId="5B8BA3F2" w14:textId="77777777" w:rsidR="00034FC2" w:rsidRPr="003D49EB" w:rsidRDefault="00034FC2" w:rsidP="009A4683"/>
    <w:p w14:paraId="46ED7081" w14:textId="171D6BAF" w:rsidR="000B208A" w:rsidRDefault="000B208A" w:rsidP="009A4683">
      <w:pPr>
        <w:rPr>
          <w:lang w:val="es-ES_tradnl"/>
        </w:rPr>
      </w:pPr>
      <w:r w:rsidRPr="003D49EB">
        <w:rPr>
          <w:lang w:val="es-ES_tradnl"/>
        </w:rPr>
        <w:t>235.</w:t>
      </w:r>
      <w:r w:rsidRPr="003D49EB">
        <w:rPr>
          <w:lang w:val="es-ES_tradnl"/>
        </w:rPr>
        <w:tab/>
        <w:t xml:space="preserve">En el caso sub judice, en consideración de los sufrimientos causados al señor </w:t>
      </w:r>
      <w:proofErr w:type="spellStart"/>
      <w:r w:rsidRPr="003D49EB">
        <w:rPr>
          <w:lang w:val="es-ES_tradnl"/>
        </w:rPr>
        <w:t>Damião</w:t>
      </w:r>
      <w:proofErr w:type="spellEnd"/>
      <w:r w:rsidRPr="003D49EB">
        <w:rPr>
          <w:lang w:val="es-ES_tradnl"/>
        </w:rPr>
        <w:t xml:space="preserve"> </w:t>
      </w:r>
      <w:proofErr w:type="spellStart"/>
      <w:r w:rsidRPr="003D49EB">
        <w:rPr>
          <w:lang w:val="es-ES_tradnl"/>
        </w:rPr>
        <w:t>Ximenes</w:t>
      </w:r>
      <w:proofErr w:type="spellEnd"/>
      <w:r w:rsidRPr="003D49EB">
        <w:rPr>
          <w:lang w:val="es-ES_tradnl"/>
        </w:rPr>
        <w:t xml:space="preserve"> </w:t>
      </w:r>
      <w:proofErr w:type="spellStart"/>
      <w:r w:rsidRPr="003D49EB">
        <w:rPr>
          <w:lang w:val="es-ES_tradnl"/>
        </w:rPr>
        <w:t>Lopes</w:t>
      </w:r>
      <w:proofErr w:type="spellEnd"/>
      <w:r w:rsidRPr="003D49EB">
        <w:rPr>
          <w:lang w:val="es-ES_tradnl"/>
        </w:rPr>
        <w:t>, y que produjeron también a algunos de sus familiares sufrimientos, el cambio de sus condiciones de existencia y otras consecuencias de orden no pecuniario, la Corte estima pertinente determinar el pago de una compensación, fijada equitativamente, por</w:t>
      </w:r>
      <w:r w:rsidR="00BF2C46" w:rsidRPr="003D49EB">
        <w:rPr>
          <w:lang w:val="es-ES_tradnl"/>
        </w:rPr>
        <w:t xml:space="preserve"> concepto de daños inmateriales</w:t>
      </w:r>
      <w:r w:rsidRPr="003D49EB">
        <w:rPr>
          <w:lang w:val="es-ES_tradnl"/>
        </w:rPr>
        <w:t>.</w:t>
      </w:r>
    </w:p>
    <w:p w14:paraId="5EB8DA36" w14:textId="77777777" w:rsidR="00034FC2" w:rsidRPr="003D49EB" w:rsidRDefault="00034FC2" w:rsidP="009A4683">
      <w:pPr>
        <w:rPr>
          <w:lang w:val="es-ES_tradnl"/>
        </w:rPr>
      </w:pPr>
    </w:p>
    <w:p w14:paraId="1E01E4D9" w14:textId="749827F3" w:rsidR="000B208A" w:rsidRDefault="000B208A" w:rsidP="009A4683">
      <w:pPr>
        <w:rPr>
          <w:lang w:val="es-ES_tradnl"/>
        </w:rPr>
      </w:pPr>
      <w:r w:rsidRPr="003D49EB">
        <w:rPr>
          <w:lang w:val="es-ES_tradnl"/>
        </w:rPr>
        <w:t>236.</w:t>
      </w:r>
      <w:r w:rsidRPr="003D49EB">
        <w:rPr>
          <w:lang w:val="es-ES_tradnl"/>
        </w:rPr>
        <w:tab/>
        <w:t xml:space="preserve">Este Tribunal reconoce que se ha causado a las señoras Albertina Viana </w:t>
      </w:r>
      <w:proofErr w:type="spellStart"/>
      <w:r w:rsidRPr="003D49EB">
        <w:rPr>
          <w:lang w:val="es-ES_tradnl"/>
        </w:rPr>
        <w:t>Lopes</w:t>
      </w:r>
      <w:proofErr w:type="spellEnd"/>
      <w:r w:rsidRPr="003D49EB">
        <w:rPr>
          <w:lang w:val="es-ES_tradnl"/>
        </w:rPr>
        <w:t xml:space="preserve"> e Irene </w:t>
      </w:r>
      <w:proofErr w:type="spellStart"/>
      <w:r w:rsidRPr="003D49EB">
        <w:rPr>
          <w:lang w:val="es-ES_tradnl"/>
        </w:rPr>
        <w:t>Ximenes</w:t>
      </w:r>
      <w:proofErr w:type="spellEnd"/>
      <w:r w:rsidRPr="003D49EB">
        <w:rPr>
          <w:lang w:val="es-ES_tradnl"/>
        </w:rPr>
        <w:t xml:space="preserve"> </w:t>
      </w:r>
      <w:proofErr w:type="spellStart"/>
      <w:r w:rsidRPr="003D49EB">
        <w:rPr>
          <w:lang w:val="es-ES_tradnl"/>
        </w:rPr>
        <w:t>Lopes</w:t>
      </w:r>
      <w:proofErr w:type="spellEnd"/>
      <w:r w:rsidRPr="003D49EB">
        <w:rPr>
          <w:lang w:val="es-ES_tradnl"/>
        </w:rPr>
        <w:t xml:space="preserve"> Miranda, familiares del señor </w:t>
      </w:r>
      <w:proofErr w:type="spellStart"/>
      <w:r w:rsidRPr="003D49EB">
        <w:rPr>
          <w:lang w:val="es-ES_tradnl"/>
        </w:rPr>
        <w:t>Damião</w:t>
      </w:r>
      <w:proofErr w:type="spellEnd"/>
      <w:r w:rsidRPr="003D49EB">
        <w:rPr>
          <w:lang w:val="es-ES_tradnl"/>
        </w:rPr>
        <w:t xml:space="preserve"> </w:t>
      </w:r>
      <w:proofErr w:type="spellStart"/>
      <w:r w:rsidRPr="003D49EB">
        <w:rPr>
          <w:lang w:val="es-ES_tradnl"/>
        </w:rPr>
        <w:t>Ximenes</w:t>
      </w:r>
      <w:proofErr w:type="spellEnd"/>
      <w:r w:rsidRPr="003D49EB">
        <w:rPr>
          <w:lang w:val="es-ES_tradnl"/>
        </w:rPr>
        <w:t xml:space="preserve"> </w:t>
      </w:r>
      <w:proofErr w:type="spellStart"/>
      <w:r w:rsidRPr="003D49EB">
        <w:rPr>
          <w:lang w:val="es-ES_tradnl"/>
        </w:rPr>
        <w:t>Lopes</w:t>
      </w:r>
      <w:proofErr w:type="spellEnd"/>
      <w:r w:rsidRPr="003D49EB">
        <w:rPr>
          <w:lang w:val="es-ES_tradnl"/>
        </w:rPr>
        <w:t>, un daño inmaterial por la falta de una investigación seria, diligente y efectiva por parte de las autoridades estatales para determinar lo sucedido a la víctima y, en su caso, para identificar, y sancionar a los responsables.</w:t>
      </w:r>
      <w:r w:rsidR="008B18CE" w:rsidRPr="003D49EB">
        <w:rPr>
          <w:lang w:val="es-ES_tradnl"/>
        </w:rPr>
        <w:t xml:space="preserve"> </w:t>
      </w:r>
      <w:r w:rsidRPr="003D49EB">
        <w:rPr>
          <w:lang w:val="es-ES_tradnl"/>
        </w:rPr>
        <w:t xml:space="preserve">La Corte estima que en el presente caso no es pertinente ordenar el pago de una compensación económica por concepto de daño inmaterial por la violación de los artículos 8.1 y 25.1 de la Convención Americana, tomando en cuenta que esta sentencia constituye, </w:t>
      </w:r>
      <w:r w:rsidR="00BF2C46" w:rsidRPr="003D49EB">
        <w:rPr>
          <w:lang w:val="es-ES_tradnl"/>
        </w:rPr>
        <w:t>per se, una forma de reparación</w:t>
      </w:r>
      <w:r w:rsidRPr="003D49EB">
        <w:rPr>
          <w:lang w:val="es-ES_tradnl"/>
        </w:rPr>
        <w:t xml:space="preserve">, y considerando que los actos u obras de alcance o repercusión públicos que se detallan en el siguiente apartado significan una debida reparación en los términos del artículo 63.1 de la Convención. </w:t>
      </w:r>
    </w:p>
    <w:p w14:paraId="0C41896B" w14:textId="77777777" w:rsidR="00034FC2" w:rsidRPr="003D49EB" w:rsidRDefault="00034FC2" w:rsidP="009A4683">
      <w:pPr>
        <w:rPr>
          <w:lang w:val="es-ES_tradnl"/>
        </w:rPr>
      </w:pPr>
    </w:p>
    <w:p w14:paraId="49B52675" w14:textId="77777777" w:rsidR="000B208A" w:rsidRPr="003D49EB" w:rsidRDefault="000B208A" w:rsidP="009A4683">
      <w:pPr>
        <w:spacing w:after="100" w:afterAutospacing="1"/>
        <w:rPr>
          <w:szCs w:val="20"/>
          <w:lang w:val="es-ES_tradnl"/>
        </w:rPr>
      </w:pPr>
      <w:r w:rsidRPr="003D49EB">
        <w:rPr>
          <w:szCs w:val="20"/>
          <w:lang w:val="es-ES_tradnl"/>
        </w:rPr>
        <w:t>237.</w:t>
      </w:r>
      <w:r w:rsidRPr="003D49EB">
        <w:rPr>
          <w:szCs w:val="20"/>
          <w:lang w:val="es-ES_tradnl"/>
        </w:rPr>
        <w:tab/>
        <w:t>En consideración de los distintos aspectos del daño aducidos por la Comisión y los representantes, la Corte considera los siguientes aspectos:</w:t>
      </w:r>
    </w:p>
    <w:p w14:paraId="4591373C" w14:textId="10BE3EBE" w:rsidR="000B208A" w:rsidRPr="003D49EB" w:rsidRDefault="000B208A" w:rsidP="009A4683">
      <w:pPr>
        <w:spacing w:after="100" w:afterAutospacing="1"/>
        <w:ind w:left="708"/>
        <w:rPr>
          <w:szCs w:val="20"/>
          <w:lang w:val="es-ES_tradnl"/>
        </w:rPr>
      </w:pPr>
      <w:r w:rsidRPr="003D49EB">
        <w:rPr>
          <w:szCs w:val="20"/>
          <w:lang w:val="es-ES_tradnl"/>
        </w:rPr>
        <w:t>a)</w:t>
      </w:r>
      <w:r w:rsidR="008A5B5C">
        <w:rPr>
          <w:szCs w:val="20"/>
          <w:lang w:val="es-ES_tradnl"/>
        </w:rPr>
        <w:t xml:space="preserve"> </w:t>
      </w:r>
      <w:r w:rsidRPr="003D49EB">
        <w:rPr>
          <w:szCs w:val="20"/>
          <w:lang w:val="es-ES_tradnl"/>
        </w:rPr>
        <w:t xml:space="preserve">en lo que se refiere al señor </w:t>
      </w:r>
      <w:proofErr w:type="spellStart"/>
      <w:r w:rsidRPr="003D49EB">
        <w:rPr>
          <w:szCs w:val="20"/>
          <w:lang w:val="es-ES_tradnl"/>
        </w:rPr>
        <w:t>Damião</w:t>
      </w:r>
      <w:proofErr w:type="spellEnd"/>
      <w:r w:rsidRPr="003D49EB">
        <w:rPr>
          <w:szCs w:val="20"/>
          <w:lang w:val="es-ES_tradnl"/>
        </w:rPr>
        <w:t xml:space="preserve"> </w:t>
      </w:r>
      <w:proofErr w:type="spellStart"/>
      <w:r w:rsidRPr="003D49EB">
        <w:rPr>
          <w:szCs w:val="20"/>
          <w:lang w:val="es-ES_tradnl"/>
        </w:rPr>
        <w:t>Ximenes</w:t>
      </w:r>
      <w:proofErr w:type="spellEnd"/>
      <w:r w:rsidRPr="003D49EB">
        <w:rPr>
          <w:szCs w:val="20"/>
          <w:lang w:val="es-ES_tradnl"/>
        </w:rPr>
        <w:t xml:space="preserve"> </w:t>
      </w:r>
      <w:proofErr w:type="spellStart"/>
      <w:r w:rsidRPr="003D49EB">
        <w:rPr>
          <w:szCs w:val="20"/>
          <w:lang w:val="es-ES_tradnl"/>
        </w:rPr>
        <w:t>Lopes</w:t>
      </w:r>
      <w:proofErr w:type="spellEnd"/>
      <w:r w:rsidRPr="003D49EB">
        <w:rPr>
          <w:szCs w:val="20"/>
          <w:lang w:val="es-ES_tradnl"/>
        </w:rPr>
        <w:t xml:space="preserve">, este Tribunal toma en cuenta para la determinación de la indemnización por concepto de daño inmaterial, que está probado que éste no recibió una atención médica ni tratamiento adecuados como paciente con discapacidad mental, quien por su condición era especialmente vulnerable, fue sometido a tratos crueles inhumanos y degradantes mientras estuvo hospitalizado en la Casa de Reposo </w:t>
      </w:r>
      <w:proofErr w:type="spellStart"/>
      <w:r w:rsidRPr="003D49EB">
        <w:rPr>
          <w:szCs w:val="20"/>
          <w:lang w:val="es-ES_tradnl"/>
        </w:rPr>
        <w:t>Guararapes</w:t>
      </w:r>
      <w:proofErr w:type="spellEnd"/>
      <w:r w:rsidRPr="003D49EB">
        <w:rPr>
          <w:szCs w:val="20"/>
          <w:lang w:val="es-ES_tradnl"/>
        </w:rPr>
        <w:t>, situación que</w:t>
      </w:r>
      <w:r w:rsidR="001C2511" w:rsidRPr="003D49EB">
        <w:rPr>
          <w:szCs w:val="20"/>
          <w:lang w:val="es-ES_tradnl"/>
        </w:rPr>
        <w:t xml:space="preserve"> se vio agravada con su muerte [...]</w:t>
      </w:r>
      <w:r w:rsidRPr="003D49EB">
        <w:rPr>
          <w:szCs w:val="20"/>
          <w:lang w:val="es-ES_tradnl"/>
        </w:rPr>
        <w:t>;</w:t>
      </w:r>
    </w:p>
    <w:p w14:paraId="6F00E5BD" w14:textId="71A1E015" w:rsidR="000B208A" w:rsidRPr="003D49EB" w:rsidRDefault="000B208A" w:rsidP="009A4683">
      <w:pPr>
        <w:spacing w:after="100" w:afterAutospacing="1"/>
        <w:ind w:left="708"/>
        <w:rPr>
          <w:szCs w:val="20"/>
          <w:lang w:val="es-ES_tradnl"/>
        </w:rPr>
      </w:pPr>
      <w:r w:rsidRPr="003D49EB">
        <w:rPr>
          <w:szCs w:val="20"/>
          <w:lang w:val="es-ES_tradnl"/>
        </w:rPr>
        <w:t>b)</w:t>
      </w:r>
      <w:r w:rsidR="008A5B5C">
        <w:rPr>
          <w:szCs w:val="20"/>
          <w:lang w:val="es-ES_tradnl"/>
        </w:rPr>
        <w:t xml:space="preserve"> </w:t>
      </w:r>
      <w:r w:rsidRPr="003D49EB">
        <w:rPr>
          <w:szCs w:val="20"/>
          <w:lang w:val="es-ES_tradnl"/>
        </w:rPr>
        <w:t xml:space="preserve">en la determinación de la indemnización por concepto de daño inmaterial que corresponde a la señora Albertina Viana </w:t>
      </w:r>
      <w:proofErr w:type="spellStart"/>
      <w:r w:rsidRPr="003D49EB">
        <w:rPr>
          <w:szCs w:val="20"/>
          <w:lang w:val="es-ES_tradnl"/>
        </w:rPr>
        <w:t>Lopes</w:t>
      </w:r>
      <w:proofErr w:type="spellEnd"/>
      <w:r w:rsidRPr="003D49EB">
        <w:rPr>
          <w:szCs w:val="20"/>
          <w:lang w:val="es-ES_tradnl"/>
        </w:rPr>
        <w:t>, esta Corte toma en cuenta el hecho de que es la madre del fallecido.</w:t>
      </w:r>
      <w:r w:rsidR="008B18CE" w:rsidRPr="003D49EB">
        <w:rPr>
          <w:szCs w:val="20"/>
          <w:lang w:val="es-ES_tradnl"/>
        </w:rPr>
        <w:t xml:space="preserve"> </w:t>
      </w:r>
      <w:r w:rsidRPr="003D49EB">
        <w:rPr>
          <w:szCs w:val="20"/>
          <w:lang w:val="es-ES_tradnl"/>
        </w:rPr>
        <w:t xml:space="preserve">Tiene en consideración, además, que fue establecido el profundo sufrimiento y angustia que le causó ver el estado deplorable en que se encontraba su hijo en la Casa de Reposo </w:t>
      </w:r>
      <w:proofErr w:type="spellStart"/>
      <w:r w:rsidRPr="003D49EB">
        <w:rPr>
          <w:szCs w:val="20"/>
          <w:lang w:val="es-ES_tradnl"/>
        </w:rPr>
        <w:t>Guararapes</w:t>
      </w:r>
      <w:proofErr w:type="spellEnd"/>
      <w:r w:rsidRPr="003D49EB">
        <w:rPr>
          <w:szCs w:val="20"/>
          <w:lang w:val="es-ES_tradnl"/>
        </w:rPr>
        <w:t xml:space="preserve"> y su consecuente fallecimiento; y las secuelas físicas y psicológicas producidas</w:t>
      </w:r>
      <w:r w:rsidR="001C2511" w:rsidRPr="003D49EB">
        <w:rPr>
          <w:szCs w:val="20"/>
          <w:lang w:val="es-ES_tradnl"/>
        </w:rPr>
        <w:t xml:space="preserve"> posteriormente [...]</w:t>
      </w:r>
      <w:r w:rsidRPr="003D49EB">
        <w:rPr>
          <w:szCs w:val="20"/>
          <w:lang w:val="es-ES_tradnl"/>
        </w:rPr>
        <w:t xml:space="preserve">; </w:t>
      </w:r>
    </w:p>
    <w:p w14:paraId="107A87E9" w14:textId="2DC227FE" w:rsidR="000B208A" w:rsidRPr="003D49EB" w:rsidRDefault="000B208A" w:rsidP="009A4683">
      <w:pPr>
        <w:spacing w:after="100" w:afterAutospacing="1"/>
        <w:ind w:left="708"/>
        <w:rPr>
          <w:szCs w:val="20"/>
          <w:lang w:val="es-ES_tradnl"/>
        </w:rPr>
      </w:pPr>
      <w:r w:rsidRPr="003D49EB">
        <w:rPr>
          <w:szCs w:val="20"/>
          <w:lang w:val="es-ES_tradnl"/>
        </w:rPr>
        <w:t>c)</w:t>
      </w:r>
      <w:r w:rsidR="008A5B5C">
        <w:rPr>
          <w:szCs w:val="20"/>
          <w:lang w:val="es-ES_tradnl"/>
        </w:rPr>
        <w:t xml:space="preserve"> </w:t>
      </w:r>
      <w:r w:rsidRPr="003D49EB">
        <w:rPr>
          <w:szCs w:val="20"/>
          <w:lang w:val="es-ES_tradnl"/>
        </w:rPr>
        <w:t xml:space="preserve">respecto del señor Francisco </w:t>
      </w:r>
      <w:proofErr w:type="spellStart"/>
      <w:r w:rsidRPr="003D49EB">
        <w:rPr>
          <w:szCs w:val="20"/>
          <w:lang w:val="es-ES_tradnl"/>
        </w:rPr>
        <w:t>Leopoldino</w:t>
      </w:r>
      <w:proofErr w:type="spellEnd"/>
      <w:r w:rsidRPr="003D49EB">
        <w:rPr>
          <w:szCs w:val="20"/>
          <w:lang w:val="es-ES_tradnl"/>
        </w:rPr>
        <w:t xml:space="preserve"> </w:t>
      </w:r>
      <w:proofErr w:type="spellStart"/>
      <w:r w:rsidRPr="003D49EB">
        <w:rPr>
          <w:szCs w:val="20"/>
          <w:lang w:val="es-ES_tradnl"/>
        </w:rPr>
        <w:t>Lopes</w:t>
      </w:r>
      <w:proofErr w:type="spellEnd"/>
      <w:r w:rsidRPr="003D49EB">
        <w:rPr>
          <w:szCs w:val="20"/>
          <w:lang w:val="es-ES_tradnl"/>
        </w:rPr>
        <w:t xml:space="preserve">, con la finalidad de determinar la indemnización por daños inmateriales, el Tribunal considera el </w:t>
      </w:r>
      <w:r w:rsidRPr="003D49EB">
        <w:rPr>
          <w:szCs w:val="20"/>
          <w:lang w:val="es-ES_tradnl"/>
        </w:rPr>
        <w:lastRenderedPageBreak/>
        <w:t xml:space="preserve">hecho de que era el padre del señor </w:t>
      </w:r>
      <w:proofErr w:type="spellStart"/>
      <w:r w:rsidRPr="003D49EB">
        <w:rPr>
          <w:szCs w:val="20"/>
          <w:lang w:val="es-ES_tradnl"/>
        </w:rPr>
        <w:t>Damião</w:t>
      </w:r>
      <w:proofErr w:type="spellEnd"/>
      <w:r w:rsidRPr="003D49EB">
        <w:rPr>
          <w:szCs w:val="20"/>
          <w:lang w:val="es-ES_tradnl"/>
        </w:rPr>
        <w:t xml:space="preserve"> </w:t>
      </w:r>
      <w:proofErr w:type="spellStart"/>
      <w:r w:rsidRPr="003D49EB">
        <w:rPr>
          <w:szCs w:val="20"/>
          <w:lang w:val="es-ES_tradnl"/>
        </w:rPr>
        <w:t>Ximenes</w:t>
      </w:r>
      <w:proofErr w:type="spellEnd"/>
      <w:r w:rsidRPr="003D49EB">
        <w:rPr>
          <w:szCs w:val="20"/>
          <w:lang w:val="es-ES_tradnl"/>
        </w:rPr>
        <w:t xml:space="preserve"> </w:t>
      </w:r>
      <w:proofErr w:type="spellStart"/>
      <w:r w:rsidRPr="003D49EB">
        <w:rPr>
          <w:szCs w:val="20"/>
          <w:lang w:val="es-ES_tradnl"/>
        </w:rPr>
        <w:t>Lopes</w:t>
      </w:r>
      <w:proofErr w:type="spellEnd"/>
      <w:r w:rsidRPr="003D49EB">
        <w:rPr>
          <w:szCs w:val="20"/>
          <w:lang w:val="es-ES_tradnl"/>
        </w:rPr>
        <w:t>, mantenía su vínculo afectivo con éste, y ha sufrido a raíz de la muerte de s</w:t>
      </w:r>
      <w:r w:rsidR="001C2511" w:rsidRPr="003D49EB">
        <w:rPr>
          <w:szCs w:val="20"/>
          <w:lang w:val="es-ES_tradnl"/>
        </w:rPr>
        <w:t>u hijo [...]</w:t>
      </w:r>
      <w:r w:rsidRPr="003D49EB">
        <w:rPr>
          <w:szCs w:val="20"/>
          <w:lang w:val="es-ES_tradnl"/>
        </w:rPr>
        <w:t>;</w:t>
      </w:r>
    </w:p>
    <w:p w14:paraId="47BCC00C" w14:textId="668B0218" w:rsidR="000B208A" w:rsidRPr="003D49EB" w:rsidRDefault="000B208A" w:rsidP="009A4683">
      <w:pPr>
        <w:spacing w:after="100" w:afterAutospacing="1"/>
        <w:ind w:left="708"/>
        <w:rPr>
          <w:szCs w:val="20"/>
          <w:lang w:val="es-ES_tradnl"/>
        </w:rPr>
      </w:pPr>
      <w:r w:rsidRPr="003D49EB">
        <w:rPr>
          <w:szCs w:val="20"/>
          <w:lang w:val="es-ES_tradnl"/>
        </w:rPr>
        <w:t>d)</w:t>
      </w:r>
      <w:r w:rsidR="008A5B5C">
        <w:rPr>
          <w:szCs w:val="20"/>
          <w:lang w:val="es-ES_tradnl"/>
        </w:rPr>
        <w:t xml:space="preserve"> </w:t>
      </w:r>
      <w:r w:rsidRPr="003D49EB">
        <w:rPr>
          <w:szCs w:val="20"/>
          <w:lang w:val="es-ES_tradnl"/>
        </w:rPr>
        <w:t xml:space="preserve">en lo que se refiere a la señora Irene </w:t>
      </w:r>
      <w:proofErr w:type="spellStart"/>
      <w:r w:rsidRPr="003D49EB">
        <w:rPr>
          <w:szCs w:val="20"/>
          <w:lang w:val="es-ES_tradnl"/>
        </w:rPr>
        <w:t>Ximenes</w:t>
      </w:r>
      <w:proofErr w:type="spellEnd"/>
      <w:r w:rsidRPr="003D49EB">
        <w:rPr>
          <w:szCs w:val="20"/>
          <w:lang w:val="es-ES_tradnl"/>
        </w:rPr>
        <w:t xml:space="preserve"> </w:t>
      </w:r>
      <w:proofErr w:type="spellStart"/>
      <w:r w:rsidRPr="003D49EB">
        <w:rPr>
          <w:szCs w:val="20"/>
          <w:lang w:val="es-ES_tradnl"/>
        </w:rPr>
        <w:t>Lopes</w:t>
      </w:r>
      <w:proofErr w:type="spellEnd"/>
      <w:r w:rsidRPr="003D49EB">
        <w:rPr>
          <w:szCs w:val="20"/>
          <w:lang w:val="es-ES_tradnl"/>
        </w:rPr>
        <w:t xml:space="preserve"> Miranda, hermana del señor </w:t>
      </w:r>
      <w:proofErr w:type="spellStart"/>
      <w:r w:rsidRPr="003D49EB">
        <w:rPr>
          <w:szCs w:val="20"/>
          <w:lang w:val="es-ES_tradnl"/>
        </w:rPr>
        <w:t>Damião</w:t>
      </w:r>
      <w:proofErr w:type="spellEnd"/>
      <w:r w:rsidRPr="003D49EB">
        <w:rPr>
          <w:szCs w:val="20"/>
          <w:lang w:val="es-ES_tradnl"/>
        </w:rPr>
        <w:t xml:space="preserve"> </w:t>
      </w:r>
      <w:proofErr w:type="spellStart"/>
      <w:r w:rsidRPr="003D49EB">
        <w:rPr>
          <w:szCs w:val="20"/>
          <w:lang w:val="es-ES_tradnl"/>
        </w:rPr>
        <w:t>Ximenes</w:t>
      </w:r>
      <w:proofErr w:type="spellEnd"/>
      <w:r w:rsidRPr="003D49EB">
        <w:rPr>
          <w:szCs w:val="20"/>
          <w:lang w:val="es-ES_tradnl"/>
        </w:rPr>
        <w:t xml:space="preserve"> </w:t>
      </w:r>
      <w:proofErr w:type="spellStart"/>
      <w:r w:rsidRPr="003D49EB">
        <w:rPr>
          <w:szCs w:val="20"/>
          <w:lang w:val="es-ES_tradnl"/>
        </w:rPr>
        <w:t>Lopes</w:t>
      </w:r>
      <w:proofErr w:type="spellEnd"/>
      <w:r w:rsidRPr="003D49EB">
        <w:rPr>
          <w:szCs w:val="20"/>
          <w:lang w:val="es-ES_tradnl"/>
        </w:rPr>
        <w:t xml:space="preserve">, el Tribunal, para la determinación de la indemnización por concepto de daño inmaterial, considera el sufrimiento causado por la muerte de su hermano, con quien tenía un lazo afectivo estrecho, que le ha causado padecimientos, como las secuelas </w:t>
      </w:r>
      <w:proofErr w:type="spellStart"/>
      <w:r w:rsidRPr="003D49EB">
        <w:rPr>
          <w:szCs w:val="20"/>
          <w:lang w:val="es-ES_tradnl"/>
        </w:rPr>
        <w:t>psicologicas</w:t>
      </w:r>
      <w:proofErr w:type="spellEnd"/>
      <w:r w:rsidRPr="003D49EB">
        <w:rPr>
          <w:szCs w:val="20"/>
          <w:lang w:val="es-ES_tradnl"/>
        </w:rPr>
        <w:t xml:space="preserve"> posteriores.</w:t>
      </w:r>
      <w:r w:rsidR="008B18CE" w:rsidRPr="003D49EB">
        <w:rPr>
          <w:szCs w:val="20"/>
          <w:lang w:val="es-ES_tradnl"/>
        </w:rPr>
        <w:t xml:space="preserve"> </w:t>
      </w:r>
      <w:r w:rsidRPr="003D49EB">
        <w:rPr>
          <w:szCs w:val="20"/>
          <w:lang w:val="es-ES_tradnl"/>
        </w:rPr>
        <w:t xml:space="preserve">Además, la señora Irene </w:t>
      </w:r>
      <w:proofErr w:type="spellStart"/>
      <w:r w:rsidRPr="003D49EB">
        <w:rPr>
          <w:szCs w:val="20"/>
          <w:lang w:val="es-ES_tradnl"/>
        </w:rPr>
        <w:t>Ximenes</w:t>
      </w:r>
      <w:proofErr w:type="spellEnd"/>
      <w:r w:rsidRPr="003D49EB">
        <w:rPr>
          <w:szCs w:val="20"/>
          <w:lang w:val="es-ES_tradnl"/>
        </w:rPr>
        <w:t xml:space="preserve"> </w:t>
      </w:r>
      <w:proofErr w:type="spellStart"/>
      <w:r w:rsidRPr="003D49EB">
        <w:rPr>
          <w:szCs w:val="20"/>
          <w:lang w:val="es-ES_tradnl"/>
        </w:rPr>
        <w:t>Lopes</w:t>
      </w:r>
      <w:proofErr w:type="spellEnd"/>
      <w:r w:rsidRPr="003D49EB">
        <w:rPr>
          <w:szCs w:val="20"/>
          <w:lang w:val="es-ES_tradnl"/>
        </w:rPr>
        <w:t xml:space="preserve"> Miranda, aún en detrimento del bienestar de sus hijas, ha buscado justicia a partir de la muerte de su hermano, para lo cual ha acudido a diversos órganos en la jurisdicción interna e internacional, por lo que ha padecido y revivido en forma constante las circunstanc</w:t>
      </w:r>
      <w:r w:rsidR="001C2511" w:rsidRPr="003D49EB">
        <w:rPr>
          <w:szCs w:val="20"/>
          <w:lang w:val="es-ES_tradnl"/>
        </w:rPr>
        <w:t>ias de la muerte de su hermano [...]</w:t>
      </w:r>
      <w:r w:rsidRPr="003D49EB">
        <w:rPr>
          <w:szCs w:val="20"/>
          <w:lang w:val="es-ES_tradnl"/>
        </w:rPr>
        <w:t>, y</w:t>
      </w:r>
    </w:p>
    <w:p w14:paraId="2F20745C" w14:textId="0868D948" w:rsidR="000B208A" w:rsidRPr="003D49EB" w:rsidRDefault="000B208A" w:rsidP="009A4683">
      <w:pPr>
        <w:spacing w:after="100" w:afterAutospacing="1"/>
        <w:ind w:left="708"/>
        <w:rPr>
          <w:szCs w:val="20"/>
          <w:lang w:val="es-ES_tradnl"/>
        </w:rPr>
      </w:pPr>
      <w:r w:rsidRPr="003D49EB">
        <w:rPr>
          <w:szCs w:val="20"/>
          <w:lang w:val="es-ES_tradnl"/>
        </w:rPr>
        <w:t>e)</w:t>
      </w:r>
      <w:r w:rsidR="008A5B5C">
        <w:rPr>
          <w:szCs w:val="20"/>
          <w:lang w:val="es-ES_tradnl"/>
        </w:rPr>
        <w:t xml:space="preserve"> </w:t>
      </w:r>
      <w:r w:rsidRPr="003D49EB">
        <w:rPr>
          <w:szCs w:val="20"/>
          <w:lang w:val="es-ES_tradnl"/>
        </w:rPr>
        <w:t xml:space="preserve">en la determinación de la indemnización por concepto de daño inmaterial que corresponde al señor Cosme </w:t>
      </w:r>
      <w:proofErr w:type="spellStart"/>
      <w:r w:rsidRPr="003D49EB">
        <w:rPr>
          <w:szCs w:val="20"/>
          <w:lang w:val="es-ES_tradnl"/>
        </w:rPr>
        <w:t>Ximenes</w:t>
      </w:r>
      <w:proofErr w:type="spellEnd"/>
      <w:r w:rsidRPr="003D49EB">
        <w:rPr>
          <w:szCs w:val="20"/>
          <w:lang w:val="es-ES_tradnl"/>
        </w:rPr>
        <w:t xml:space="preserve"> </w:t>
      </w:r>
      <w:proofErr w:type="spellStart"/>
      <w:r w:rsidRPr="003D49EB">
        <w:rPr>
          <w:szCs w:val="20"/>
          <w:lang w:val="es-ES_tradnl"/>
        </w:rPr>
        <w:t>Lopes</w:t>
      </w:r>
      <w:proofErr w:type="spellEnd"/>
      <w:r w:rsidRPr="003D49EB">
        <w:rPr>
          <w:szCs w:val="20"/>
          <w:lang w:val="es-ES_tradnl"/>
        </w:rPr>
        <w:t xml:space="preserve">, quien también estuvo internado en instituciones psiquiátricas, la Corte considera el vínculo afectivo y la identificación que existía entre los dos hermanos y el hecho de que el fallecimiento de su hermano le causó dolor y sufrimiento, quien estuvo en estado de shock, sufrió de depresión y dejó de trabajar a raíz de la muerte </w:t>
      </w:r>
      <w:r w:rsidR="001C2511" w:rsidRPr="003D49EB">
        <w:rPr>
          <w:szCs w:val="20"/>
          <w:lang w:val="es-ES_tradnl"/>
        </w:rPr>
        <w:t xml:space="preserve">del señor </w:t>
      </w:r>
      <w:proofErr w:type="spellStart"/>
      <w:r w:rsidR="001C2511" w:rsidRPr="003D49EB">
        <w:rPr>
          <w:szCs w:val="20"/>
          <w:lang w:val="es-ES_tradnl"/>
        </w:rPr>
        <w:t>Damião</w:t>
      </w:r>
      <w:proofErr w:type="spellEnd"/>
      <w:r w:rsidR="001C2511" w:rsidRPr="003D49EB">
        <w:rPr>
          <w:szCs w:val="20"/>
          <w:lang w:val="es-ES_tradnl"/>
        </w:rPr>
        <w:t xml:space="preserve"> </w:t>
      </w:r>
      <w:proofErr w:type="spellStart"/>
      <w:r w:rsidR="001C2511" w:rsidRPr="003D49EB">
        <w:rPr>
          <w:szCs w:val="20"/>
          <w:lang w:val="es-ES_tradnl"/>
        </w:rPr>
        <w:t>Ximenes</w:t>
      </w:r>
      <w:proofErr w:type="spellEnd"/>
      <w:r w:rsidR="001C2511" w:rsidRPr="003D49EB">
        <w:rPr>
          <w:szCs w:val="20"/>
          <w:lang w:val="es-ES_tradnl"/>
        </w:rPr>
        <w:t xml:space="preserve"> </w:t>
      </w:r>
      <w:proofErr w:type="spellStart"/>
      <w:r w:rsidR="001C2511" w:rsidRPr="003D49EB">
        <w:rPr>
          <w:szCs w:val="20"/>
          <w:lang w:val="es-ES_tradnl"/>
        </w:rPr>
        <w:t>Lopes</w:t>
      </w:r>
      <w:proofErr w:type="spellEnd"/>
      <w:r w:rsidR="001C2511" w:rsidRPr="003D49EB">
        <w:rPr>
          <w:szCs w:val="20"/>
          <w:lang w:val="es-ES_tradnl"/>
        </w:rPr>
        <w:t xml:space="preserve"> [...]</w:t>
      </w:r>
      <w:r w:rsidRPr="003D49EB">
        <w:rPr>
          <w:szCs w:val="20"/>
          <w:lang w:val="es-ES_tradnl"/>
        </w:rPr>
        <w:t>.</w:t>
      </w:r>
    </w:p>
    <w:p w14:paraId="1141CA68" w14:textId="77777777" w:rsidR="00FE0DAB" w:rsidRPr="003D49EB" w:rsidRDefault="00FE0DAB" w:rsidP="009A4683">
      <w:pPr>
        <w:spacing w:after="100" w:afterAutospacing="1"/>
        <w:rPr>
          <w:b/>
          <w:bCs/>
          <w:szCs w:val="20"/>
        </w:rPr>
      </w:pPr>
      <w:r w:rsidRPr="003D49EB">
        <w:rPr>
          <w:b/>
          <w:bCs/>
          <w:szCs w:val="20"/>
        </w:rPr>
        <w:t xml:space="preserve">Corte IDH. Caso Bueno Alves Vs. Argentina. Fondo, Reparaciones y Costas. Sentencia de 11 de mayo de 2007. Serie C No. 164. </w:t>
      </w:r>
    </w:p>
    <w:p w14:paraId="18F6BA4A" w14:textId="415C6955" w:rsidR="008E5712" w:rsidRPr="003D49EB" w:rsidRDefault="008E5712" w:rsidP="009A4683">
      <w:pPr>
        <w:spacing w:after="100" w:afterAutospacing="1"/>
        <w:rPr>
          <w:szCs w:val="20"/>
          <w:lang w:val="es-ES_tradnl"/>
        </w:rPr>
      </w:pPr>
      <w:r w:rsidRPr="003D49EB">
        <w:rPr>
          <w:szCs w:val="20"/>
          <w:lang w:val="es-ES_tradnl"/>
        </w:rPr>
        <w:t>202.</w:t>
      </w:r>
      <w:r w:rsidRPr="003D49EB">
        <w:rPr>
          <w:szCs w:val="20"/>
          <w:lang w:val="es-ES_tradnl"/>
        </w:rPr>
        <w:tab/>
        <w:t xml:space="preserve">[…], la Corte considera que el daño inmaterial infligido al señor Bueno Alves resulta evidente, pues es propio de la naturaleza humana que toda persona sometida a torturas, experimente un profundo sufrimiento, angustia, terror, impotencia e inseguridad, por lo que este daño no requiere pruebas. Asimismo, la Corte se remite a las conclusiones del capítulo referente al derecho a la integridad personal […] respecto a las consecuencias de orden físico y psicológico que la tortura produjo a la víctima, las que se vieron exacerbadas por el rechazo de sus reclamos ante el Poder Judicial, e invoca también la aceptación del Estado respecto a que es “obvio […] que cualquier violación a la integridad personal produce un daño no solo físico sino psíquico a quien la padece”. Finalmente, la Corte toma en cuenta que el señor Bueno Alves está impedido para continuar su oficio de artesano </w:t>
      </w:r>
      <w:proofErr w:type="spellStart"/>
      <w:r w:rsidRPr="003D49EB">
        <w:rPr>
          <w:szCs w:val="20"/>
          <w:lang w:val="es-ES_tradnl"/>
        </w:rPr>
        <w:t>marmolero</w:t>
      </w:r>
      <w:proofErr w:type="spellEnd"/>
      <w:r w:rsidRPr="003D49EB">
        <w:rPr>
          <w:szCs w:val="20"/>
          <w:lang w:val="es-ES_tradnl"/>
        </w:rPr>
        <w:t xml:space="preserve"> por los hechos del caso, lo cual le ha producido un perjuicio moral.</w:t>
      </w:r>
    </w:p>
    <w:p w14:paraId="4C55796E" w14:textId="473CECFA" w:rsidR="008E5712" w:rsidRPr="003D49EB" w:rsidRDefault="003C3808" w:rsidP="009A4683">
      <w:pPr>
        <w:spacing w:after="100" w:afterAutospacing="1"/>
        <w:rPr>
          <w:b/>
          <w:bCs/>
          <w:szCs w:val="20"/>
        </w:rPr>
      </w:pPr>
      <w:r w:rsidRPr="00B32B2B">
        <w:rPr>
          <w:b/>
          <w:szCs w:val="20"/>
        </w:rPr>
        <w:t xml:space="preserve">Corte IDH. Caso </w:t>
      </w:r>
      <w:proofErr w:type="spellStart"/>
      <w:r w:rsidRPr="00B32B2B">
        <w:rPr>
          <w:b/>
          <w:szCs w:val="20"/>
        </w:rPr>
        <w:t>Kawas</w:t>
      </w:r>
      <w:proofErr w:type="spellEnd"/>
      <w:r w:rsidRPr="00B32B2B">
        <w:rPr>
          <w:b/>
          <w:szCs w:val="20"/>
        </w:rPr>
        <w:t xml:space="preserve"> Fernández Vs. Honduras. Fondo, Reparaciones y Costas. Sentencia de 3 de abril de 2009. Serie C No. 196</w:t>
      </w:r>
      <w:r w:rsidR="008E5712" w:rsidRPr="003D49EB">
        <w:rPr>
          <w:b/>
          <w:bCs/>
          <w:szCs w:val="20"/>
        </w:rPr>
        <w:t>.</w:t>
      </w:r>
    </w:p>
    <w:p w14:paraId="062054EB" w14:textId="77777777" w:rsidR="008E5712" w:rsidRPr="003D49EB" w:rsidRDefault="008E5712" w:rsidP="009A4683">
      <w:pPr>
        <w:spacing w:after="100" w:afterAutospacing="1"/>
        <w:rPr>
          <w:szCs w:val="20"/>
          <w:lang w:val="es-ES_tradnl"/>
        </w:rPr>
      </w:pPr>
      <w:r w:rsidRPr="003D49EB">
        <w:rPr>
          <w:szCs w:val="20"/>
          <w:lang w:val="es-ES_tradnl"/>
        </w:rPr>
        <w:t xml:space="preserve">183. </w:t>
      </w:r>
      <w:r w:rsidRPr="003D49EB">
        <w:rPr>
          <w:szCs w:val="20"/>
          <w:lang w:val="es-ES_tradnl"/>
        </w:rPr>
        <w:tab/>
        <w:t xml:space="preserve">En los capítulos VII y VIII de la presente Sentencia, el Tribunal concluyó que la forma y circunstancias en que Blanca Jeannette </w:t>
      </w:r>
      <w:proofErr w:type="spellStart"/>
      <w:r w:rsidRPr="003D49EB">
        <w:rPr>
          <w:szCs w:val="20"/>
          <w:lang w:val="es-ES_tradnl"/>
        </w:rPr>
        <w:t>Kawas</w:t>
      </w:r>
      <w:proofErr w:type="spellEnd"/>
      <w:r w:rsidRPr="003D49EB">
        <w:rPr>
          <w:szCs w:val="20"/>
          <w:lang w:val="es-ES_tradnl"/>
        </w:rPr>
        <w:t xml:space="preserve"> Fernández fue asesinada, así como la inactividad de las autoridades estatales en las investigaciones y la falta de eficacia de las medidas adoptadas para esclarecer los hechos y en su caso sancionar a los responsables, han afectado la integridad psíquica y moral de los señores Jacobo </w:t>
      </w:r>
      <w:proofErr w:type="spellStart"/>
      <w:r w:rsidRPr="003D49EB">
        <w:rPr>
          <w:szCs w:val="20"/>
          <w:lang w:val="es-ES_tradnl"/>
        </w:rPr>
        <w:t>Kawas</w:t>
      </w:r>
      <w:proofErr w:type="spellEnd"/>
      <w:r w:rsidRPr="003D49EB">
        <w:rPr>
          <w:szCs w:val="20"/>
          <w:lang w:val="es-ES_tradnl"/>
        </w:rPr>
        <w:t xml:space="preserve"> </w:t>
      </w:r>
      <w:proofErr w:type="spellStart"/>
      <w:r w:rsidRPr="003D49EB">
        <w:rPr>
          <w:szCs w:val="20"/>
          <w:lang w:val="es-ES_tradnl"/>
        </w:rPr>
        <w:t>Cury</w:t>
      </w:r>
      <w:proofErr w:type="spellEnd"/>
      <w:r w:rsidRPr="003D49EB">
        <w:rPr>
          <w:szCs w:val="20"/>
          <w:lang w:val="es-ES_tradnl"/>
        </w:rPr>
        <w:t xml:space="preserve">, ya fallecido, Blanca Fernández, </w:t>
      </w:r>
      <w:proofErr w:type="spellStart"/>
      <w:r w:rsidRPr="003D49EB">
        <w:rPr>
          <w:szCs w:val="20"/>
          <w:lang w:val="es-ES_tradnl"/>
        </w:rPr>
        <w:t>Selsa</w:t>
      </w:r>
      <w:proofErr w:type="spellEnd"/>
      <w:r w:rsidRPr="003D49EB">
        <w:rPr>
          <w:szCs w:val="20"/>
          <w:lang w:val="es-ES_tradnl"/>
        </w:rPr>
        <w:t xml:space="preserve"> Damaris y Jaime Alejandro Watt </w:t>
      </w:r>
      <w:proofErr w:type="spellStart"/>
      <w:r w:rsidRPr="003D49EB">
        <w:rPr>
          <w:szCs w:val="20"/>
          <w:lang w:val="es-ES_tradnl"/>
        </w:rPr>
        <w:t>Kawas</w:t>
      </w:r>
      <w:proofErr w:type="spellEnd"/>
      <w:r w:rsidRPr="003D49EB">
        <w:rPr>
          <w:szCs w:val="20"/>
          <w:lang w:val="es-ES_tradnl"/>
        </w:rPr>
        <w:t xml:space="preserve">, Jacobo Roberto </w:t>
      </w:r>
      <w:proofErr w:type="spellStart"/>
      <w:r w:rsidRPr="003D49EB">
        <w:rPr>
          <w:szCs w:val="20"/>
          <w:lang w:val="es-ES_tradnl"/>
        </w:rPr>
        <w:t>Kawas</w:t>
      </w:r>
      <w:proofErr w:type="spellEnd"/>
      <w:r w:rsidRPr="003D49EB">
        <w:rPr>
          <w:szCs w:val="20"/>
          <w:lang w:val="es-ES_tradnl"/>
        </w:rPr>
        <w:t xml:space="preserve"> Fernández, Jorge Jesús </w:t>
      </w:r>
      <w:proofErr w:type="spellStart"/>
      <w:r w:rsidRPr="003D49EB">
        <w:rPr>
          <w:szCs w:val="20"/>
          <w:lang w:val="es-ES_tradnl"/>
        </w:rPr>
        <w:t>Kawas</w:t>
      </w:r>
      <w:proofErr w:type="spellEnd"/>
      <w:r w:rsidRPr="003D49EB">
        <w:rPr>
          <w:szCs w:val="20"/>
          <w:lang w:val="es-ES_tradnl"/>
        </w:rPr>
        <w:t xml:space="preserve"> Fernández y Carmen </w:t>
      </w:r>
      <w:proofErr w:type="spellStart"/>
      <w:r w:rsidRPr="003D49EB">
        <w:rPr>
          <w:szCs w:val="20"/>
          <w:lang w:val="es-ES_tradnl"/>
        </w:rPr>
        <w:t>Marilena</w:t>
      </w:r>
      <w:proofErr w:type="spellEnd"/>
      <w:r w:rsidRPr="003D49EB">
        <w:rPr>
          <w:szCs w:val="20"/>
          <w:lang w:val="es-ES_tradnl"/>
        </w:rPr>
        <w:t xml:space="preserve"> </w:t>
      </w:r>
      <w:proofErr w:type="spellStart"/>
      <w:r w:rsidRPr="003D49EB">
        <w:rPr>
          <w:szCs w:val="20"/>
          <w:lang w:val="es-ES_tradnl"/>
        </w:rPr>
        <w:t>Kawas</w:t>
      </w:r>
      <w:proofErr w:type="spellEnd"/>
      <w:r w:rsidRPr="003D49EB">
        <w:rPr>
          <w:szCs w:val="20"/>
          <w:lang w:val="es-ES_tradnl"/>
        </w:rPr>
        <w:t xml:space="preserve"> Fernández, todos ellos familiares de la señora Blanca Jeannette </w:t>
      </w:r>
      <w:proofErr w:type="spellStart"/>
      <w:r w:rsidRPr="003D49EB">
        <w:rPr>
          <w:szCs w:val="20"/>
          <w:lang w:val="es-ES_tradnl"/>
        </w:rPr>
        <w:t>Kawas</w:t>
      </w:r>
      <w:proofErr w:type="spellEnd"/>
      <w:r w:rsidRPr="003D49EB">
        <w:rPr>
          <w:szCs w:val="20"/>
          <w:lang w:val="es-ES_tradnl"/>
        </w:rPr>
        <w:t xml:space="preserve"> Fernández. </w:t>
      </w:r>
    </w:p>
    <w:p w14:paraId="21667AB0" w14:textId="77777777" w:rsidR="008E5712" w:rsidRPr="003D49EB" w:rsidRDefault="008E5712" w:rsidP="009A4683">
      <w:pPr>
        <w:spacing w:after="100" w:afterAutospacing="1"/>
        <w:rPr>
          <w:szCs w:val="20"/>
          <w:lang w:val="es-ES_tradnl"/>
        </w:rPr>
      </w:pPr>
      <w:r w:rsidRPr="003D49EB">
        <w:rPr>
          <w:szCs w:val="20"/>
          <w:lang w:val="es-ES_tradnl"/>
        </w:rPr>
        <w:t xml:space="preserve">184. </w:t>
      </w:r>
      <w:r w:rsidRPr="003D49EB">
        <w:rPr>
          <w:szCs w:val="20"/>
          <w:lang w:val="es-ES_tradnl"/>
        </w:rPr>
        <w:tab/>
        <w:t xml:space="preserve">La jurisprudencia internacional ha establecido reiteradamente que una sentencia declaratoria de violación de derechos constituye per se una forma de reparación. No obstante, por las circunstancias del caso sub judice, la Corte estima pertinente determinar el pago de una compensación, fijada equitativamente, por concepto de daños inmateriales a favor de los familiares de la señora Blanca </w:t>
      </w:r>
      <w:r w:rsidRPr="003D49EB">
        <w:rPr>
          <w:szCs w:val="20"/>
          <w:lang w:val="es-ES_tradnl"/>
        </w:rPr>
        <w:lastRenderedPageBreak/>
        <w:t xml:space="preserve">Jeannette </w:t>
      </w:r>
      <w:proofErr w:type="spellStart"/>
      <w:r w:rsidRPr="003D49EB">
        <w:rPr>
          <w:szCs w:val="20"/>
          <w:lang w:val="es-ES_tradnl"/>
        </w:rPr>
        <w:t>Kawas</w:t>
      </w:r>
      <w:proofErr w:type="spellEnd"/>
      <w:r w:rsidRPr="003D49EB">
        <w:rPr>
          <w:szCs w:val="20"/>
          <w:lang w:val="es-ES_tradnl"/>
        </w:rPr>
        <w:t xml:space="preserve"> Fernández, considerados víctimas de la violación de los artículos 5.1, 8.1 y 25.1 de la Convención Americana, en conexión con el artículo 1.1 de la misma […]. En consecuencia, el Tribunal ordena al Estado pagar la cantidad de US $20,000.00 (veinte mil dólares de los Estados Unidos de América) a favor de </w:t>
      </w:r>
      <w:proofErr w:type="spellStart"/>
      <w:r w:rsidRPr="003D49EB">
        <w:rPr>
          <w:szCs w:val="20"/>
          <w:lang w:val="es-ES_tradnl"/>
        </w:rPr>
        <w:t>Selsa</w:t>
      </w:r>
      <w:proofErr w:type="spellEnd"/>
      <w:r w:rsidRPr="003D49EB">
        <w:rPr>
          <w:szCs w:val="20"/>
          <w:lang w:val="es-ES_tradnl"/>
        </w:rPr>
        <w:t xml:space="preserve"> Damaris y Jaime Alejandro </w:t>
      </w:r>
      <w:proofErr w:type="spellStart"/>
      <w:r w:rsidRPr="003D49EB">
        <w:rPr>
          <w:szCs w:val="20"/>
          <w:lang w:val="es-ES_tradnl"/>
        </w:rPr>
        <w:t>Kawas</w:t>
      </w:r>
      <w:proofErr w:type="spellEnd"/>
      <w:r w:rsidRPr="003D49EB">
        <w:rPr>
          <w:szCs w:val="20"/>
          <w:lang w:val="es-ES_tradnl"/>
        </w:rPr>
        <w:t xml:space="preserve"> Fernández, cada uno; la cantidad de US $20,000.00 (veinte mil dólares de los Estados Unidos de América) a favor de la señora Blanca Fernández y del señor Jacobo </w:t>
      </w:r>
      <w:proofErr w:type="spellStart"/>
      <w:r w:rsidRPr="003D49EB">
        <w:rPr>
          <w:szCs w:val="20"/>
          <w:lang w:val="es-ES_tradnl"/>
        </w:rPr>
        <w:t>Kawas</w:t>
      </w:r>
      <w:proofErr w:type="spellEnd"/>
      <w:r w:rsidRPr="003D49EB">
        <w:rPr>
          <w:szCs w:val="20"/>
          <w:lang w:val="es-ES_tradnl"/>
        </w:rPr>
        <w:t xml:space="preserve"> </w:t>
      </w:r>
      <w:proofErr w:type="spellStart"/>
      <w:r w:rsidRPr="003D49EB">
        <w:rPr>
          <w:szCs w:val="20"/>
          <w:lang w:val="es-ES_tradnl"/>
        </w:rPr>
        <w:t>Cury</w:t>
      </w:r>
      <w:proofErr w:type="spellEnd"/>
      <w:r w:rsidRPr="003D49EB">
        <w:rPr>
          <w:szCs w:val="20"/>
          <w:lang w:val="es-ES_tradnl"/>
        </w:rPr>
        <w:t>,</w:t>
      </w:r>
      <w:r w:rsidR="008B18CE" w:rsidRPr="003D49EB">
        <w:rPr>
          <w:szCs w:val="20"/>
          <w:lang w:val="es-ES_tradnl"/>
        </w:rPr>
        <w:t xml:space="preserve"> </w:t>
      </w:r>
      <w:r w:rsidRPr="003D49EB">
        <w:rPr>
          <w:szCs w:val="20"/>
          <w:lang w:val="es-ES_tradnl"/>
        </w:rPr>
        <w:t xml:space="preserve">cada uno; US $10,000.00 (diez mil dólares de los Estados Unidos de América) a favor de Jacobo </w:t>
      </w:r>
      <w:proofErr w:type="spellStart"/>
      <w:r w:rsidRPr="003D49EB">
        <w:rPr>
          <w:szCs w:val="20"/>
          <w:lang w:val="es-ES_tradnl"/>
        </w:rPr>
        <w:t>Kawas</w:t>
      </w:r>
      <w:proofErr w:type="spellEnd"/>
      <w:r w:rsidRPr="003D49EB">
        <w:rPr>
          <w:szCs w:val="20"/>
          <w:lang w:val="es-ES_tradnl"/>
        </w:rPr>
        <w:t xml:space="preserve"> Fernández y, la cantidad de US $5,000.00 (cinco mil dólares de los Estados Unidos de América) a favor de la señora Carmen </w:t>
      </w:r>
      <w:proofErr w:type="spellStart"/>
      <w:r w:rsidRPr="003D49EB">
        <w:rPr>
          <w:szCs w:val="20"/>
          <w:lang w:val="es-ES_tradnl"/>
        </w:rPr>
        <w:t>Marilena</w:t>
      </w:r>
      <w:proofErr w:type="spellEnd"/>
      <w:r w:rsidRPr="003D49EB">
        <w:rPr>
          <w:szCs w:val="20"/>
          <w:lang w:val="es-ES_tradnl"/>
        </w:rPr>
        <w:t xml:space="preserve"> y del señor Jorge Jesús, ambos de apellidos </w:t>
      </w:r>
      <w:proofErr w:type="spellStart"/>
      <w:r w:rsidRPr="003D49EB">
        <w:rPr>
          <w:szCs w:val="20"/>
          <w:lang w:val="es-ES_tradnl"/>
        </w:rPr>
        <w:t>Kawas</w:t>
      </w:r>
      <w:proofErr w:type="spellEnd"/>
      <w:r w:rsidRPr="003D49EB">
        <w:rPr>
          <w:szCs w:val="20"/>
          <w:lang w:val="es-ES_tradnl"/>
        </w:rPr>
        <w:t xml:space="preserve"> Fernández, cada uno. La cantidad correspondiente al señor Jacobo </w:t>
      </w:r>
      <w:proofErr w:type="spellStart"/>
      <w:r w:rsidRPr="003D49EB">
        <w:rPr>
          <w:szCs w:val="20"/>
          <w:lang w:val="es-ES_tradnl"/>
        </w:rPr>
        <w:t>Kawas</w:t>
      </w:r>
      <w:proofErr w:type="spellEnd"/>
      <w:r w:rsidRPr="003D49EB">
        <w:rPr>
          <w:szCs w:val="20"/>
          <w:lang w:val="es-ES_tradnl"/>
        </w:rPr>
        <w:t xml:space="preserve"> </w:t>
      </w:r>
      <w:proofErr w:type="spellStart"/>
      <w:r w:rsidRPr="003D49EB">
        <w:rPr>
          <w:szCs w:val="20"/>
          <w:lang w:val="es-ES_tradnl"/>
        </w:rPr>
        <w:t>Cury</w:t>
      </w:r>
      <w:proofErr w:type="spellEnd"/>
      <w:r w:rsidRPr="003D49EB">
        <w:rPr>
          <w:szCs w:val="20"/>
          <w:lang w:val="es-ES_tradnl"/>
        </w:rPr>
        <w:t xml:space="preserve"> deberá entregarse por partes iguales a sus hijos.</w:t>
      </w:r>
    </w:p>
    <w:p w14:paraId="15BB6DF4" w14:textId="21E77107" w:rsidR="00C257FF" w:rsidRPr="003D49EB" w:rsidRDefault="008E5712" w:rsidP="009A4683">
      <w:pPr>
        <w:spacing w:after="100" w:afterAutospacing="1"/>
        <w:rPr>
          <w:szCs w:val="20"/>
          <w:lang w:val="es-ES_tradnl"/>
        </w:rPr>
      </w:pPr>
      <w:r w:rsidRPr="003D49EB">
        <w:rPr>
          <w:szCs w:val="20"/>
          <w:lang w:val="es-ES_tradnl"/>
        </w:rPr>
        <w:t>185.</w:t>
      </w:r>
      <w:r w:rsidRPr="003D49EB">
        <w:rPr>
          <w:szCs w:val="20"/>
          <w:lang w:val="es-ES_tradnl"/>
        </w:rPr>
        <w:tab/>
        <w:t xml:space="preserve">Por otra parte, tal como lo ha señalado la Corte en otras oportunidades, en casos como el presente el daño inmaterial infligido a la víctima resulta evidente. Al respecto y aunque no ha sido solicitado por la Comisión y los representantes, la Corte decide ordenar al Estado el pago de una compensación de US $50,000.00 (cincuenta mil dólares de los Estados Unidos de América) por los daños morales sufridos por Blanca Jeannette </w:t>
      </w:r>
      <w:proofErr w:type="spellStart"/>
      <w:r w:rsidRPr="003D49EB">
        <w:rPr>
          <w:szCs w:val="20"/>
          <w:lang w:val="es-ES_tradnl"/>
        </w:rPr>
        <w:t>Kawas</w:t>
      </w:r>
      <w:proofErr w:type="spellEnd"/>
      <w:r w:rsidRPr="003D49EB">
        <w:rPr>
          <w:szCs w:val="20"/>
          <w:lang w:val="es-ES_tradnl"/>
        </w:rPr>
        <w:t xml:space="preserve"> Fernández. Dicha cantidad deberá ser entregada en su totalidad y en partes iguales a los hijos de la víctima, </w:t>
      </w:r>
      <w:proofErr w:type="spellStart"/>
      <w:r w:rsidRPr="003D49EB">
        <w:rPr>
          <w:szCs w:val="20"/>
          <w:lang w:val="es-ES_tradnl"/>
        </w:rPr>
        <w:t>Selsa</w:t>
      </w:r>
      <w:proofErr w:type="spellEnd"/>
      <w:r w:rsidRPr="003D49EB">
        <w:rPr>
          <w:szCs w:val="20"/>
          <w:lang w:val="es-ES_tradnl"/>
        </w:rPr>
        <w:t xml:space="preserve"> Damaris y Jaime Alejandro Watt </w:t>
      </w:r>
      <w:proofErr w:type="spellStart"/>
      <w:r w:rsidRPr="003D49EB">
        <w:rPr>
          <w:szCs w:val="20"/>
          <w:lang w:val="es-ES_tradnl"/>
        </w:rPr>
        <w:t>Kawas</w:t>
      </w:r>
      <w:proofErr w:type="spellEnd"/>
      <w:r w:rsidRPr="003D49EB">
        <w:rPr>
          <w:szCs w:val="20"/>
          <w:lang w:val="es-ES_tradnl"/>
        </w:rPr>
        <w:t>.</w:t>
      </w:r>
    </w:p>
    <w:p w14:paraId="5275E907" w14:textId="33803506" w:rsidR="0044532E" w:rsidRDefault="0044532E" w:rsidP="009A4683">
      <w:pPr>
        <w:pStyle w:val="Ttulo2"/>
      </w:pPr>
      <w:bookmarkStart w:id="91" w:name="_Toc530498005"/>
      <w:bookmarkStart w:id="92" w:name="_Toc88915005"/>
      <w:r w:rsidRPr="003D49EB">
        <w:t>Tratamientos psicológicos y atención médica</w:t>
      </w:r>
      <w:bookmarkEnd w:id="91"/>
      <w:bookmarkEnd w:id="92"/>
    </w:p>
    <w:p w14:paraId="587F05F6" w14:textId="77777777" w:rsidR="003C3808" w:rsidRPr="003C3808" w:rsidRDefault="003C3808" w:rsidP="003C3808">
      <w:pPr>
        <w:rPr>
          <w:lang w:val="es-CR"/>
        </w:rPr>
      </w:pPr>
    </w:p>
    <w:p w14:paraId="25BC140C" w14:textId="1B15EEBB" w:rsidR="003B1015" w:rsidRPr="003D49EB" w:rsidRDefault="00C72CC1" w:rsidP="009A4683">
      <w:pPr>
        <w:spacing w:after="100" w:afterAutospacing="1"/>
        <w:rPr>
          <w:b/>
          <w:szCs w:val="20"/>
          <w:lang w:val="es-CR"/>
        </w:rPr>
      </w:pPr>
      <w:r w:rsidRPr="00C72CC1">
        <w:rPr>
          <w:b/>
          <w:szCs w:val="20"/>
          <w:lang w:val="es-CR"/>
        </w:rPr>
        <w:t>Corte IDH. Caso Gutiérrez Soler Vs. Colombia. Sentencia de 12 de septiembre de 2005. Serie C No. 132</w:t>
      </w:r>
      <w:r w:rsidR="003B1015" w:rsidRPr="003D49EB">
        <w:rPr>
          <w:b/>
          <w:szCs w:val="20"/>
          <w:lang w:val="es-CR"/>
        </w:rPr>
        <w:t>.</w:t>
      </w:r>
    </w:p>
    <w:p w14:paraId="3B59CD6D" w14:textId="77777777" w:rsidR="003B1015" w:rsidRPr="003D49EB" w:rsidRDefault="003B1015" w:rsidP="009A4683">
      <w:pPr>
        <w:spacing w:after="100" w:afterAutospacing="1"/>
        <w:rPr>
          <w:szCs w:val="20"/>
          <w:lang w:val="es-CR"/>
        </w:rPr>
      </w:pPr>
      <w:r w:rsidRPr="003D49EB">
        <w:rPr>
          <w:szCs w:val="20"/>
          <w:lang w:val="es-CR"/>
        </w:rPr>
        <w:t>102.</w:t>
      </w:r>
      <w:r w:rsidRPr="003D49EB">
        <w:rPr>
          <w:szCs w:val="20"/>
          <w:lang w:val="es-CR"/>
        </w:rPr>
        <w:tab/>
        <w:t xml:space="preserve">Con el fin de contribuir a la reparación de estos daños, el Tribunal dispone que el Estado debe brindar gratuitamente, a través de las instituciones de salud que designe, el tratamiento psicológico y psiquiátrico que requieran las siguientes personas: María Elena Soler de Gutiérrez, Ricardo Gutiérrez Soler, </w:t>
      </w:r>
      <w:proofErr w:type="spellStart"/>
      <w:r w:rsidRPr="003D49EB">
        <w:rPr>
          <w:szCs w:val="20"/>
          <w:lang w:val="es-CR"/>
        </w:rPr>
        <w:t>Yaqueline</w:t>
      </w:r>
      <w:proofErr w:type="spellEnd"/>
      <w:r w:rsidRPr="003D49EB">
        <w:rPr>
          <w:szCs w:val="20"/>
          <w:lang w:val="es-CR"/>
        </w:rPr>
        <w:t xml:space="preserve"> Reyes, Luisa Fernanda Gutiérrez Reyes, Paula Camila Gutiérrez Reyes, Leonardo Gutiérrez Rubiano, </w:t>
      </w:r>
      <w:proofErr w:type="spellStart"/>
      <w:r w:rsidRPr="003D49EB">
        <w:rPr>
          <w:szCs w:val="20"/>
          <w:lang w:val="es-CR"/>
        </w:rPr>
        <w:t>Leydi</w:t>
      </w:r>
      <w:proofErr w:type="spellEnd"/>
      <w:r w:rsidRPr="003D49EB">
        <w:rPr>
          <w:szCs w:val="20"/>
          <w:lang w:val="es-CR"/>
        </w:rPr>
        <w:t xml:space="preserve"> </w:t>
      </w:r>
      <w:proofErr w:type="spellStart"/>
      <w:r w:rsidRPr="003D49EB">
        <w:rPr>
          <w:szCs w:val="20"/>
          <w:lang w:val="es-CR"/>
        </w:rPr>
        <w:t>Caterin</w:t>
      </w:r>
      <w:proofErr w:type="spellEnd"/>
      <w:r w:rsidRPr="003D49EB">
        <w:rPr>
          <w:szCs w:val="20"/>
          <w:lang w:val="es-CR"/>
        </w:rPr>
        <w:t xml:space="preserve"> Gutiérrez Peña, </w:t>
      </w:r>
      <w:proofErr w:type="spellStart"/>
      <w:r w:rsidRPr="003D49EB">
        <w:rPr>
          <w:szCs w:val="20"/>
          <w:lang w:val="es-CR"/>
        </w:rPr>
        <w:t>Sulma</w:t>
      </w:r>
      <w:proofErr w:type="spellEnd"/>
      <w:r w:rsidRPr="003D49EB">
        <w:rPr>
          <w:szCs w:val="20"/>
          <w:lang w:val="es-CR"/>
        </w:rPr>
        <w:t xml:space="preserve"> Tatiana Gutiérrez Rubiano, Ricardo Alberto Gutiérrez Rubiano y Carlos Andrés Gutiérrez Rubiano.</w:t>
      </w:r>
      <w:r w:rsidR="008B18CE" w:rsidRPr="003D49EB">
        <w:rPr>
          <w:szCs w:val="20"/>
          <w:lang w:val="es-CR"/>
        </w:rPr>
        <w:t xml:space="preserve"> </w:t>
      </w:r>
      <w:r w:rsidRPr="003D49EB">
        <w:rPr>
          <w:szCs w:val="20"/>
          <w:lang w:val="es-CR"/>
        </w:rPr>
        <w:t>Dicho tratamiento debe incluir, inter alia, los medicamentos que puedan ser necesarios.</w:t>
      </w:r>
      <w:r w:rsidR="008B18CE" w:rsidRPr="003D49EB">
        <w:rPr>
          <w:szCs w:val="20"/>
          <w:lang w:val="es-CR"/>
        </w:rPr>
        <w:t xml:space="preserve"> </w:t>
      </w:r>
      <w:r w:rsidRPr="003D49EB">
        <w:rPr>
          <w:szCs w:val="20"/>
          <w:lang w:val="es-CR"/>
        </w:rPr>
        <w:t>Al proveer el tratamiento se deben considerar las circunstancias particulares de cada persona y las necesidades de cada una de ellas, de manera que se les brinden tratamientos familiares e individuales.</w:t>
      </w:r>
      <w:r w:rsidR="008B18CE" w:rsidRPr="003D49EB">
        <w:rPr>
          <w:szCs w:val="20"/>
          <w:lang w:val="es-CR"/>
        </w:rPr>
        <w:t xml:space="preserve"> </w:t>
      </w:r>
      <w:r w:rsidRPr="003D49EB">
        <w:rPr>
          <w:szCs w:val="20"/>
          <w:lang w:val="es-CR"/>
        </w:rPr>
        <w:t xml:space="preserve">El referido tratamiento debe desarrollarse después de una evaluación individual, según lo que se acuerde con cada una de dichas personas. </w:t>
      </w:r>
    </w:p>
    <w:p w14:paraId="7F2AA9DB" w14:textId="77777777" w:rsidR="003B1015" w:rsidRPr="003D49EB" w:rsidRDefault="003B1015" w:rsidP="009A4683">
      <w:pPr>
        <w:spacing w:after="100" w:afterAutospacing="1"/>
        <w:rPr>
          <w:szCs w:val="20"/>
          <w:lang w:val="es-CR"/>
        </w:rPr>
      </w:pPr>
      <w:r w:rsidRPr="003D49EB">
        <w:rPr>
          <w:szCs w:val="20"/>
          <w:lang w:val="es-CR"/>
        </w:rPr>
        <w:t>103.</w:t>
      </w:r>
      <w:r w:rsidRPr="003D49EB">
        <w:rPr>
          <w:szCs w:val="20"/>
          <w:lang w:val="es-CR"/>
        </w:rPr>
        <w:tab/>
        <w:t xml:space="preserve">En el caso del tratamiento médico y psicológico del señor Wilson Gutiérrez Soler y de la atención psicológica de su hijo Kevin Daniel Gutiérrez Niño, ya que los dos están exiliados en los Estados Unidos de América, el Estado deberá entregar la cantidad de US $25.000,00 (veinticinco mil dólares de los Estados Unidos de América) al señor Wilson Gutiérrez Soler para cubrir los gastos razonables al respecto. </w:t>
      </w:r>
    </w:p>
    <w:p w14:paraId="22C33FE7" w14:textId="31CCC686" w:rsidR="009F232F" w:rsidRPr="003D49EB" w:rsidRDefault="008C6BA4" w:rsidP="009A4683">
      <w:pPr>
        <w:spacing w:after="100" w:afterAutospacing="1"/>
        <w:rPr>
          <w:b/>
          <w:szCs w:val="20"/>
          <w:lang w:val="es-CR"/>
        </w:rPr>
      </w:pPr>
      <w:r w:rsidRPr="00112465">
        <w:rPr>
          <w:b/>
          <w:szCs w:val="20"/>
        </w:rPr>
        <w:t xml:space="preserve">Corte IDH. Caso </w:t>
      </w:r>
      <w:proofErr w:type="spellStart"/>
      <w:r w:rsidRPr="00112465">
        <w:rPr>
          <w:b/>
          <w:szCs w:val="20"/>
        </w:rPr>
        <w:t>Baldeón</w:t>
      </w:r>
      <w:proofErr w:type="spellEnd"/>
      <w:r w:rsidRPr="00112465">
        <w:rPr>
          <w:b/>
          <w:szCs w:val="20"/>
        </w:rPr>
        <w:t xml:space="preserve"> García Vs. Perú. Fondo, Reparaciones y Costas. Sentencia de 6 de abril de 2006. Serie C No. 147</w:t>
      </w:r>
      <w:r w:rsidR="009F232F" w:rsidRPr="003D49EB">
        <w:rPr>
          <w:b/>
          <w:szCs w:val="20"/>
          <w:lang w:val="es-CR"/>
        </w:rPr>
        <w:t xml:space="preserve">. </w:t>
      </w:r>
    </w:p>
    <w:p w14:paraId="377758CF" w14:textId="77777777" w:rsidR="009F232F" w:rsidRPr="003D49EB" w:rsidRDefault="009F232F" w:rsidP="009A4683">
      <w:pPr>
        <w:spacing w:after="100" w:afterAutospacing="1"/>
        <w:rPr>
          <w:szCs w:val="20"/>
          <w:lang w:val="es-CR"/>
        </w:rPr>
      </w:pPr>
      <w:r w:rsidRPr="003D49EB">
        <w:rPr>
          <w:szCs w:val="20"/>
          <w:lang w:val="es-CR"/>
        </w:rPr>
        <w:t>207.</w:t>
      </w:r>
      <w:r w:rsidRPr="003D49EB">
        <w:rPr>
          <w:szCs w:val="20"/>
          <w:lang w:val="es-CR"/>
        </w:rPr>
        <w:tab/>
        <w:t xml:space="preserve">Con el fin de contribuir a la reparación de estos daños, el Tribunal dispone que el Estado debe brindar gratuitamente, a través de las instituciones de salud que designe, el tratamiento psicológico y psiquiátrico, según sea el caso, a las siguientes personas: Guadalupe </w:t>
      </w:r>
      <w:proofErr w:type="spellStart"/>
      <w:r w:rsidRPr="003D49EB">
        <w:rPr>
          <w:szCs w:val="20"/>
          <w:lang w:val="es-CR"/>
        </w:rPr>
        <w:t>Yllconza</w:t>
      </w:r>
      <w:proofErr w:type="spellEnd"/>
      <w:r w:rsidRPr="003D49EB">
        <w:rPr>
          <w:szCs w:val="20"/>
          <w:lang w:val="es-CR"/>
        </w:rPr>
        <w:t xml:space="preserve"> Ramírez de </w:t>
      </w:r>
      <w:proofErr w:type="spellStart"/>
      <w:r w:rsidRPr="003D49EB">
        <w:rPr>
          <w:szCs w:val="20"/>
          <w:lang w:val="es-CR"/>
        </w:rPr>
        <w:t>Baldeón</w:t>
      </w:r>
      <w:proofErr w:type="spellEnd"/>
      <w:r w:rsidRPr="003D49EB">
        <w:rPr>
          <w:szCs w:val="20"/>
          <w:lang w:val="es-CR"/>
        </w:rPr>
        <w:t xml:space="preserve">; Crispín, Roberto, </w:t>
      </w:r>
      <w:proofErr w:type="spellStart"/>
      <w:r w:rsidRPr="003D49EB">
        <w:rPr>
          <w:szCs w:val="20"/>
          <w:lang w:val="es-CR"/>
        </w:rPr>
        <w:t>Segundina</w:t>
      </w:r>
      <w:proofErr w:type="spellEnd"/>
      <w:r w:rsidRPr="003D49EB">
        <w:rPr>
          <w:szCs w:val="20"/>
          <w:lang w:val="es-CR"/>
        </w:rPr>
        <w:t xml:space="preserve">, </w:t>
      </w:r>
      <w:proofErr w:type="spellStart"/>
      <w:r w:rsidRPr="003D49EB">
        <w:rPr>
          <w:szCs w:val="20"/>
          <w:lang w:val="es-CR"/>
        </w:rPr>
        <w:t>Miguelita</w:t>
      </w:r>
      <w:proofErr w:type="spellEnd"/>
      <w:r w:rsidRPr="003D49EB">
        <w:rPr>
          <w:szCs w:val="20"/>
          <w:lang w:val="es-CR"/>
        </w:rPr>
        <w:t xml:space="preserve">, </w:t>
      </w:r>
      <w:proofErr w:type="spellStart"/>
      <w:r w:rsidRPr="003D49EB">
        <w:rPr>
          <w:szCs w:val="20"/>
          <w:lang w:val="es-CR"/>
        </w:rPr>
        <w:t>Perseveranda</w:t>
      </w:r>
      <w:proofErr w:type="spellEnd"/>
      <w:r w:rsidRPr="003D49EB">
        <w:rPr>
          <w:szCs w:val="20"/>
          <w:lang w:val="es-CR"/>
        </w:rPr>
        <w:t xml:space="preserve">, Vicente, Sabina y Fidela, todos ellos de apellido </w:t>
      </w:r>
      <w:proofErr w:type="spellStart"/>
      <w:r w:rsidRPr="003D49EB">
        <w:rPr>
          <w:szCs w:val="20"/>
          <w:lang w:val="es-CR"/>
        </w:rPr>
        <w:t>Baldeón</w:t>
      </w:r>
      <w:proofErr w:type="spellEnd"/>
      <w:r w:rsidRPr="003D49EB">
        <w:rPr>
          <w:szCs w:val="20"/>
          <w:lang w:val="es-CR"/>
        </w:rPr>
        <w:t xml:space="preserve"> </w:t>
      </w:r>
      <w:proofErr w:type="spellStart"/>
      <w:r w:rsidRPr="003D49EB">
        <w:rPr>
          <w:szCs w:val="20"/>
          <w:lang w:val="es-CR"/>
        </w:rPr>
        <w:t>Yllaconza</w:t>
      </w:r>
      <w:proofErr w:type="spellEnd"/>
      <w:r w:rsidRPr="003D49EB">
        <w:rPr>
          <w:szCs w:val="20"/>
          <w:lang w:val="es-CR"/>
        </w:rPr>
        <w:t>, si así lo requieren y por el tiempo que sea necesario.</w:t>
      </w:r>
      <w:r w:rsidR="008B18CE" w:rsidRPr="003D49EB">
        <w:rPr>
          <w:szCs w:val="20"/>
          <w:lang w:val="es-CR"/>
        </w:rPr>
        <w:t xml:space="preserve"> </w:t>
      </w:r>
      <w:r w:rsidRPr="003D49EB">
        <w:rPr>
          <w:szCs w:val="20"/>
          <w:lang w:val="es-CR"/>
        </w:rPr>
        <w:t xml:space="preserve">Dicho tratamiento </w:t>
      </w:r>
      <w:r w:rsidRPr="003D49EB">
        <w:rPr>
          <w:szCs w:val="20"/>
          <w:lang w:val="es-CR"/>
        </w:rPr>
        <w:lastRenderedPageBreak/>
        <w:t>debe incluir, inter alia, los medicamentos que puedan ser necesarios.</w:t>
      </w:r>
      <w:r w:rsidR="008B18CE" w:rsidRPr="003D49EB">
        <w:rPr>
          <w:szCs w:val="20"/>
          <w:lang w:val="es-CR"/>
        </w:rPr>
        <w:t xml:space="preserve"> </w:t>
      </w:r>
      <w:r w:rsidRPr="003D49EB">
        <w:rPr>
          <w:szCs w:val="20"/>
          <w:lang w:val="es-CR"/>
        </w:rPr>
        <w:t xml:space="preserve">Al proveer el tratamiento se deben considerar las circunstancias particulares de cada persona y las necesidades de cada una de ellas, de manera que se les brinden tratamientos familiares e individuales, según lo que se acuerde con cada una de dichas personas, y después de una evaluación individual. </w:t>
      </w:r>
    </w:p>
    <w:p w14:paraId="7896D982" w14:textId="2B6D96CC" w:rsidR="009F232F" w:rsidRPr="003D49EB" w:rsidRDefault="00356F86" w:rsidP="009A4683">
      <w:pPr>
        <w:spacing w:after="100" w:afterAutospacing="1"/>
        <w:rPr>
          <w:b/>
          <w:szCs w:val="20"/>
          <w:lang w:val="es-CR"/>
        </w:rPr>
      </w:pPr>
      <w:r w:rsidRPr="00356F86">
        <w:rPr>
          <w:b/>
          <w:szCs w:val="20"/>
          <w:lang w:val="es-CR"/>
        </w:rPr>
        <w:t xml:space="preserve">Corte IDH. Caso Vargas </w:t>
      </w:r>
      <w:proofErr w:type="spellStart"/>
      <w:r w:rsidRPr="00356F86">
        <w:rPr>
          <w:b/>
          <w:szCs w:val="20"/>
          <w:lang w:val="es-CR"/>
        </w:rPr>
        <w:t>Areco</w:t>
      </w:r>
      <w:proofErr w:type="spellEnd"/>
      <w:r w:rsidRPr="00356F86">
        <w:rPr>
          <w:b/>
          <w:szCs w:val="20"/>
          <w:lang w:val="es-CR"/>
        </w:rPr>
        <w:t xml:space="preserve"> Vs. Paraguay. Sentencia de 26 de septiembre de 2006. Serie C No. 155.</w:t>
      </w:r>
      <w:r>
        <w:rPr>
          <w:rStyle w:val="Refdenotaalpie"/>
          <w:b/>
          <w:szCs w:val="20"/>
          <w:lang w:val="es-CR"/>
        </w:rPr>
        <w:footnoteReference w:id="86"/>
      </w:r>
    </w:p>
    <w:p w14:paraId="4E234809" w14:textId="77777777" w:rsidR="009F232F" w:rsidRPr="003D49EB" w:rsidRDefault="009F232F" w:rsidP="009A4683">
      <w:pPr>
        <w:spacing w:after="100" w:afterAutospacing="1"/>
        <w:rPr>
          <w:szCs w:val="20"/>
          <w:lang w:val="es-CR"/>
        </w:rPr>
      </w:pPr>
      <w:r w:rsidRPr="003D49EB">
        <w:rPr>
          <w:szCs w:val="20"/>
          <w:lang w:val="es-CR"/>
        </w:rPr>
        <w:t>159.</w:t>
      </w:r>
      <w:r w:rsidRPr="003D49EB">
        <w:rPr>
          <w:szCs w:val="20"/>
          <w:lang w:val="es-CR"/>
        </w:rPr>
        <w:tab/>
        <w:t xml:space="preserve">Se ha probado que los padecimientos físicos, psicológicos y emocionales sufridos por los familiares de Gerardo Vargas </w:t>
      </w:r>
      <w:proofErr w:type="spellStart"/>
      <w:r w:rsidRPr="003D49EB">
        <w:rPr>
          <w:szCs w:val="20"/>
          <w:lang w:val="es-CR"/>
        </w:rPr>
        <w:t>Areco</w:t>
      </w:r>
      <w:proofErr w:type="spellEnd"/>
      <w:r w:rsidRPr="003D49EB">
        <w:rPr>
          <w:szCs w:val="20"/>
          <w:lang w:val="es-CR"/>
        </w:rPr>
        <w:t>, derivados de las violaciones declaradas en el presente fallo, perduran hasta ahora y</w:t>
      </w:r>
      <w:r w:rsidR="0010194D" w:rsidRPr="003D49EB">
        <w:rPr>
          <w:szCs w:val="20"/>
          <w:lang w:val="es-CR"/>
        </w:rPr>
        <w:t xml:space="preserve"> perturban la vida de aquéllos […]</w:t>
      </w:r>
      <w:r w:rsidRPr="003D49EB">
        <w:rPr>
          <w:szCs w:val="20"/>
          <w:lang w:val="es-CR"/>
        </w:rPr>
        <w:t>.</w:t>
      </w:r>
      <w:r w:rsidR="008B18CE" w:rsidRPr="003D49EB">
        <w:rPr>
          <w:szCs w:val="20"/>
          <w:lang w:val="es-CR"/>
        </w:rPr>
        <w:t xml:space="preserve"> </w:t>
      </w:r>
      <w:r w:rsidRPr="003D49EB">
        <w:rPr>
          <w:szCs w:val="20"/>
          <w:lang w:val="es-CR"/>
        </w:rPr>
        <w:t>En tal virtud, esta Corte estima, como lo ha hecho en otra</w:t>
      </w:r>
      <w:r w:rsidR="0010194D" w:rsidRPr="003D49EB">
        <w:rPr>
          <w:szCs w:val="20"/>
          <w:lang w:val="es-CR"/>
        </w:rPr>
        <w:t>s oportunidades</w:t>
      </w:r>
      <w:r w:rsidRPr="003D49EB">
        <w:rPr>
          <w:szCs w:val="20"/>
          <w:lang w:val="es-CR"/>
        </w:rPr>
        <w:t xml:space="preserve">, que las reparaciones también deben comprender tratamiento médico integral, incluyendo psicológico y psiquiátrico, a los familiares de Gerardo Vargas </w:t>
      </w:r>
      <w:proofErr w:type="spellStart"/>
      <w:r w:rsidRPr="003D49EB">
        <w:rPr>
          <w:szCs w:val="20"/>
          <w:lang w:val="es-CR"/>
        </w:rPr>
        <w:t>Areco</w:t>
      </w:r>
      <w:proofErr w:type="spellEnd"/>
      <w:r w:rsidRPr="003D49EB">
        <w:rPr>
          <w:szCs w:val="20"/>
          <w:lang w:val="es-CR"/>
        </w:rPr>
        <w:t>, si ellos así lo desearan.</w:t>
      </w:r>
      <w:r w:rsidR="008B18CE" w:rsidRPr="003D49EB">
        <w:rPr>
          <w:szCs w:val="20"/>
          <w:lang w:val="es-CR"/>
        </w:rPr>
        <w:t xml:space="preserve"> </w:t>
      </w:r>
    </w:p>
    <w:p w14:paraId="3A8F6C31" w14:textId="77777777" w:rsidR="009F232F" w:rsidRPr="003D49EB" w:rsidRDefault="009F232F" w:rsidP="009A4683">
      <w:pPr>
        <w:spacing w:after="100" w:afterAutospacing="1"/>
        <w:rPr>
          <w:szCs w:val="20"/>
          <w:lang w:val="es-CR"/>
        </w:rPr>
      </w:pPr>
      <w:r w:rsidRPr="003D49EB">
        <w:rPr>
          <w:szCs w:val="20"/>
          <w:lang w:val="es-CR"/>
        </w:rPr>
        <w:t>160.</w:t>
      </w:r>
      <w:r w:rsidRPr="003D49EB">
        <w:rPr>
          <w:szCs w:val="20"/>
          <w:lang w:val="es-CR"/>
        </w:rPr>
        <w:tab/>
        <w:t xml:space="preserve">Para los fines señalados, el Estado debe brindar el tratamiento médico y psicológico requerido, individual y de grupo, conforme a las características del caso y según lo determinen los profesionales a cargo de dicho tratamiento, a través de las instituciones públicas de salud, en forma gratuita y con inclusión de los exámenes y medicamentos pertinentes. </w:t>
      </w:r>
    </w:p>
    <w:p w14:paraId="2B36755C" w14:textId="6EBDDF53" w:rsidR="00140DC1" w:rsidRPr="003D49EB" w:rsidRDefault="003C3808" w:rsidP="009A4683">
      <w:pPr>
        <w:spacing w:after="100" w:afterAutospacing="1"/>
        <w:rPr>
          <w:b/>
          <w:bCs/>
          <w:szCs w:val="20"/>
        </w:rPr>
      </w:pPr>
      <w:r w:rsidRPr="00B32B2B">
        <w:rPr>
          <w:b/>
          <w:szCs w:val="20"/>
        </w:rPr>
        <w:t xml:space="preserve">Corte IDH. Caso </w:t>
      </w:r>
      <w:proofErr w:type="spellStart"/>
      <w:r w:rsidRPr="00B32B2B">
        <w:rPr>
          <w:b/>
          <w:szCs w:val="20"/>
        </w:rPr>
        <w:t>Kawas</w:t>
      </w:r>
      <w:proofErr w:type="spellEnd"/>
      <w:r w:rsidRPr="00B32B2B">
        <w:rPr>
          <w:b/>
          <w:szCs w:val="20"/>
        </w:rPr>
        <w:t xml:space="preserve"> Fernández Vs. Honduras. Fondo, Reparaciones y Costas. Sentencia de 3 de abril de 2009. Serie C No. 196</w:t>
      </w:r>
      <w:r w:rsidR="00140DC1" w:rsidRPr="003D49EB">
        <w:rPr>
          <w:b/>
          <w:bCs/>
          <w:szCs w:val="20"/>
        </w:rPr>
        <w:t>.</w:t>
      </w:r>
    </w:p>
    <w:p w14:paraId="634110ED" w14:textId="77777777" w:rsidR="00140DC1" w:rsidRPr="003D49EB" w:rsidRDefault="00140DC1" w:rsidP="009A4683">
      <w:pPr>
        <w:spacing w:after="100" w:afterAutospacing="1"/>
        <w:rPr>
          <w:szCs w:val="20"/>
          <w:lang w:val="es-ES_tradnl"/>
        </w:rPr>
      </w:pPr>
      <w:r w:rsidRPr="003D49EB">
        <w:rPr>
          <w:szCs w:val="20"/>
          <w:lang w:val="es-ES_tradnl"/>
        </w:rPr>
        <w:t xml:space="preserve">209. </w:t>
      </w:r>
      <w:r w:rsidRPr="003D49EB">
        <w:rPr>
          <w:szCs w:val="20"/>
          <w:lang w:val="es-ES_tradnl"/>
        </w:rPr>
        <w:tab/>
        <w:t xml:space="preserve">Con base en los daños sufridos por los familiares de la señora Blanca Jeannette </w:t>
      </w:r>
      <w:proofErr w:type="spellStart"/>
      <w:r w:rsidRPr="003D49EB">
        <w:rPr>
          <w:szCs w:val="20"/>
          <w:lang w:val="es-ES_tradnl"/>
        </w:rPr>
        <w:t>Kawas</w:t>
      </w:r>
      <w:proofErr w:type="spellEnd"/>
      <w:r w:rsidRPr="003D49EB">
        <w:rPr>
          <w:szCs w:val="20"/>
          <w:lang w:val="es-ES_tradnl"/>
        </w:rPr>
        <w:t xml:space="preserve"> Fernández, establecidos en términos del Capítulo VIII de la presente Sentencia, el Tribunal estima conveniente disponer que el Estado brinde atención psicológica y/o psiquiátrica gratuita y de forma inmediata, adecuada y efectiva a través de sus instituciones de salud especializadas, a aquellos familiares considerados víctimas por este Tribunal que así lo soliciten. Dicho tratamiento debe ser brindado por personal e instituciones especializadas en la atención de los trastornos y enfermedades que presenten tales personas como consecuencia de los hechos del caso. Dicho tratamiento debe comenzar cuando lo soliciten los beneficiarios, quienes tendrán un plazo de dos años, contado a partir de la notificación de la presente Sentencia para solicitarlo. Asimismo, el tratamiento debe prestarse por el tiempo que sea necesario e incluir el suministro de los medicamentos que eventualmente se requieran, así como tomar en consideración los padecimientos de cada uno de los beneficiarios relacionados con los hechos del presente caso, después de una evaluación individual. […] </w:t>
      </w:r>
    </w:p>
    <w:p w14:paraId="6EF836A0" w14:textId="77777777" w:rsidR="008A5B5C" w:rsidRDefault="00BD210B" w:rsidP="009A4683">
      <w:pPr>
        <w:spacing w:after="100" w:afterAutospacing="1"/>
        <w:rPr>
          <w:b/>
          <w:bCs/>
          <w:szCs w:val="20"/>
        </w:rPr>
      </w:pPr>
      <w:r w:rsidRPr="003D49EB">
        <w:rPr>
          <w:b/>
          <w:bCs/>
          <w:szCs w:val="20"/>
        </w:rPr>
        <w:t>Corte IDH. Caso Fernández Ortega y otros Vs. México. Excepción Preliminar, Fondo, Reparaciones y Costas. Sentencia de 30 de agosto de 2010. Serie C No. 215</w:t>
      </w:r>
      <w:r w:rsidR="00F65AFB" w:rsidRPr="003D49EB">
        <w:rPr>
          <w:b/>
          <w:bCs/>
          <w:szCs w:val="20"/>
        </w:rPr>
        <w:t>.</w:t>
      </w:r>
    </w:p>
    <w:p w14:paraId="15C5C4B1" w14:textId="05DBC6E2" w:rsidR="00F65AFB" w:rsidRPr="008A5B5C" w:rsidRDefault="00F65AFB" w:rsidP="009A4683">
      <w:pPr>
        <w:spacing w:after="100" w:afterAutospacing="1"/>
        <w:rPr>
          <w:b/>
          <w:bCs/>
          <w:szCs w:val="20"/>
        </w:rPr>
      </w:pPr>
      <w:r w:rsidRPr="003D49EB">
        <w:rPr>
          <w:szCs w:val="20"/>
          <w:lang w:val="es-CR"/>
        </w:rPr>
        <w:t>251.</w:t>
      </w:r>
      <w:r w:rsidRPr="003D49EB">
        <w:rPr>
          <w:szCs w:val="20"/>
          <w:lang w:val="es-CR"/>
        </w:rPr>
        <w:tab/>
        <w:t xml:space="preserve">La Corte estima, como lo ha hecho en otros casos, que es preciso disponer una medida de reparación que brinde una atención adecuada a los padecimientos </w:t>
      </w:r>
      <w:r w:rsidRPr="003D49EB">
        <w:rPr>
          <w:szCs w:val="20"/>
          <w:lang w:val="es-CR"/>
        </w:rPr>
        <w:lastRenderedPageBreak/>
        <w:t>físicos y psicológicos sufridos por las víctimas, atendiendo a sus especificidades de género y etnicidad. Por lo tanto, habiendo constatado las violaciones y los daños sufridos por las víctimas en el presente caso, el Tribunal dispone la obligación a cargo del Estado de brindarles gratuitamente y de forma inmediata, el tratamiento médico y psicológico que requieran. Para ello debe obtener el consentimiento de las víctimas brindando información previa, clara y suficiente. Los tratamientos deben ser provistos por el tiempo que sea necesario, y deben incluir la provisión de medicamentos y, en su caso, transporte, intérprete y otros gastos que estén directamente relacionados y sean estrictamente necesarios.</w:t>
      </w:r>
      <w:r w:rsidR="002329E6" w:rsidRPr="003D49EB">
        <w:rPr>
          <w:szCs w:val="20"/>
          <w:lang w:val="es-CR"/>
        </w:rPr>
        <w:t xml:space="preserve"> </w:t>
      </w:r>
      <w:r w:rsidR="006E5C73">
        <w:rPr>
          <w:rStyle w:val="EnelmismoCar"/>
        </w:rPr>
        <w:t>En similar sentido, ver entre otros</w:t>
      </w:r>
      <w:r w:rsidR="002329E6" w:rsidRPr="003D49EB">
        <w:rPr>
          <w:rStyle w:val="EnelmismoCar"/>
        </w:rPr>
        <w:t>: Caso Rosendo Cantú y otra Vs. México. Excepción Preliminar, Fondo, Reparaciones y Costas. Sentencia de 31 de agosto de 2010, párr. 252.</w:t>
      </w:r>
    </w:p>
    <w:p w14:paraId="5F177498" w14:textId="7B302CD6" w:rsidR="002329E6" w:rsidRPr="003D49EB" w:rsidRDefault="00F65AFB" w:rsidP="009A4683">
      <w:pPr>
        <w:spacing w:after="100" w:afterAutospacing="1"/>
        <w:rPr>
          <w:b/>
          <w:szCs w:val="20"/>
          <w:lang w:val="es-CR"/>
        </w:rPr>
      </w:pPr>
      <w:r w:rsidRPr="003D49EB">
        <w:rPr>
          <w:szCs w:val="20"/>
          <w:lang w:val="es-CR"/>
        </w:rPr>
        <w:t>252.</w:t>
      </w:r>
      <w:r w:rsidRPr="003D49EB">
        <w:rPr>
          <w:szCs w:val="20"/>
          <w:lang w:val="es-CR"/>
        </w:rPr>
        <w:tab/>
        <w:t>En particular, el tratamiento psicológico o psiquiátrico debe brindarse por personal e instituciones estatales especializadas en la atención de víctimas de hechos de violencia como los ocurridos en el presente caso. En el caso de que el Estado careciera de ellas deberá recurrir a instituciones privadas o de la sociedad civil especializadas. Al proveer dicho tratamiento se deben considerar, además, las circunstancias y necesidades particulares de cada víctima, de manera que se les brinden tratamientos familiares e individuales, según lo que se acuerde con cada una de ellas, y despu</w:t>
      </w:r>
      <w:r w:rsidR="0010194D" w:rsidRPr="003D49EB">
        <w:rPr>
          <w:szCs w:val="20"/>
          <w:lang w:val="es-CR"/>
        </w:rPr>
        <w:t>és de una evaluación individual</w:t>
      </w:r>
      <w:r w:rsidRPr="003D49EB">
        <w:rPr>
          <w:szCs w:val="20"/>
          <w:lang w:val="es-CR"/>
        </w:rPr>
        <w:t>. Finalmente, dicho tratamiento se deberá brindar, en la medida de las posibilidades, en los centros más cercanos a su lugar de residencia. Las víctimas que soliciten esta medida de reparación, o sus representantes legales, disponen de un plazo de seis meses, contados a partir de la notificación de la presente Sentencia, para dar a conocer al Estado su intención de recibir atención psicológica o psiquiátrica. La Corte destaca la necesidad que el Estado y los representantes presten su máximo esfuerzo de colaboración y brinden a las víctimas toda la información que sea necesaria relativa a recibir tratamiento psicológico con el fin de avanzar en la implementación de esta medida de manera consensuada.</w:t>
      </w:r>
      <w:r w:rsidR="002329E6" w:rsidRPr="003D49EB">
        <w:rPr>
          <w:szCs w:val="20"/>
          <w:lang w:val="es-CR"/>
        </w:rPr>
        <w:t xml:space="preserve"> </w:t>
      </w:r>
      <w:r w:rsidR="006E5C73">
        <w:rPr>
          <w:rStyle w:val="EnelmismoCar"/>
        </w:rPr>
        <w:t>En similar sentido, ver entre otros</w:t>
      </w:r>
      <w:r w:rsidR="002329E6" w:rsidRPr="003D49EB">
        <w:rPr>
          <w:rStyle w:val="EnelmismoCar"/>
        </w:rPr>
        <w:t>: Caso Rosendo Cantú y otra Vs. México. Excepción Preliminar, Fondo, Reparaciones y Costas. Sentencia de 31 de agosto de 2010, párr. 253.</w:t>
      </w:r>
      <w:r w:rsidR="002329E6" w:rsidRPr="003D49EB">
        <w:rPr>
          <w:b/>
          <w:szCs w:val="20"/>
          <w:lang w:val="es-CR"/>
        </w:rPr>
        <w:t xml:space="preserve"> </w:t>
      </w:r>
    </w:p>
    <w:p w14:paraId="21E0D133" w14:textId="34E8DE04" w:rsidR="0010194D" w:rsidRPr="003D49EB" w:rsidRDefault="00667E3D" w:rsidP="009A4683">
      <w:pPr>
        <w:tabs>
          <w:tab w:val="left" w:pos="2340"/>
        </w:tabs>
        <w:spacing w:after="100" w:afterAutospacing="1"/>
        <w:ind w:right="-7"/>
        <w:rPr>
          <w:b/>
          <w:bCs/>
          <w:szCs w:val="20"/>
          <w:shd w:val="clear" w:color="auto" w:fill="FFFFFF"/>
        </w:rPr>
      </w:pPr>
      <w:r w:rsidRPr="003D49EB">
        <w:rPr>
          <w:b/>
          <w:bCs/>
          <w:szCs w:val="20"/>
          <w:shd w:val="clear" w:color="auto" w:fill="FFFFFF"/>
        </w:rPr>
        <w:t>Corte IDH. Caso Familia Barrios Vs. Venezuela. Fondo, Reparaciones y Costas. Sentencia de 24 de noviembre de 2011. Serie C No. 237.</w:t>
      </w:r>
    </w:p>
    <w:p w14:paraId="48C64D2C" w14:textId="77777777" w:rsidR="0010194D" w:rsidRPr="003D49EB" w:rsidRDefault="0010194D" w:rsidP="009A4683">
      <w:pPr>
        <w:tabs>
          <w:tab w:val="left" w:pos="2340"/>
        </w:tabs>
        <w:spacing w:after="100" w:afterAutospacing="1"/>
        <w:ind w:right="-7"/>
        <w:rPr>
          <w:bCs/>
          <w:szCs w:val="20"/>
          <w:shd w:val="clear" w:color="auto" w:fill="FFFFFF"/>
        </w:rPr>
      </w:pPr>
      <w:r w:rsidRPr="003D49EB">
        <w:rPr>
          <w:bCs/>
          <w:szCs w:val="20"/>
          <w:shd w:val="clear" w:color="auto" w:fill="FFFFFF"/>
        </w:rPr>
        <w:t>329.</w:t>
      </w:r>
      <w:r w:rsidR="008B18CE" w:rsidRPr="003D49EB">
        <w:rPr>
          <w:bCs/>
          <w:szCs w:val="20"/>
          <w:shd w:val="clear" w:color="auto" w:fill="FFFFFF"/>
        </w:rPr>
        <w:t xml:space="preserve">   </w:t>
      </w:r>
      <w:r w:rsidRPr="003D49EB">
        <w:rPr>
          <w:bCs/>
          <w:szCs w:val="20"/>
          <w:shd w:val="clear" w:color="auto" w:fill="FFFFFF"/>
        </w:rPr>
        <w:t xml:space="preserve"> La Corte considera, como lo ha hecho en otros casos, que es necesaria una medida de reparación que brinde una atención adecuada a los padecimientos físicos y psicológicos sufridos por las víctimas, derivadas de las violaciones establecidas en la presente sentencia. Por lo tanto, el Tribunal estima conveniente disponer que el Estado brinde atención médica y psicológica gratuita y de forma inmediata, adecuada y efectiva, a través de sus instituciones públicas de salud especializadas a las víctimas que así lo soliciten. Para ello, deberán tomarse en consideración los padecimientos específicos de los beneficiarios mediante la realización previa de una valoración física y psicológica o psiquiátrica. Asimismo, los tratamientos respectivos deberán prestarse por el tiempo que sea necesario e incluir el suministro gratuito de los medicament</w:t>
      </w:r>
      <w:r w:rsidR="00BF2C46" w:rsidRPr="003D49EB">
        <w:rPr>
          <w:bCs/>
          <w:szCs w:val="20"/>
          <w:shd w:val="clear" w:color="auto" w:fill="FFFFFF"/>
        </w:rPr>
        <w:t>os que eventualmente requieran.</w:t>
      </w:r>
    </w:p>
    <w:p w14:paraId="7A8B5AEF" w14:textId="77777777" w:rsidR="0010194D" w:rsidRPr="003D49EB" w:rsidRDefault="0010194D" w:rsidP="009A4683">
      <w:pPr>
        <w:tabs>
          <w:tab w:val="left" w:pos="2340"/>
        </w:tabs>
        <w:spacing w:after="100" w:afterAutospacing="1"/>
        <w:ind w:right="-7"/>
        <w:rPr>
          <w:bCs/>
          <w:szCs w:val="20"/>
          <w:shd w:val="clear" w:color="auto" w:fill="FFFFFF"/>
        </w:rPr>
      </w:pPr>
      <w:r w:rsidRPr="003D49EB">
        <w:rPr>
          <w:bCs/>
          <w:szCs w:val="20"/>
          <w:shd w:val="clear" w:color="auto" w:fill="FFFFFF"/>
        </w:rPr>
        <w:t>330.</w:t>
      </w:r>
      <w:r w:rsidR="008B18CE" w:rsidRPr="003D49EB">
        <w:rPr>
          <w:bCs/>
          <w:szCs w:val="20"/>
          <w:shd w:val="clear" w:color="auto" w:fill="FFFFFF"/>
        </w:rPr>
        <w:t xml:space="preserve">   </w:t>
      </w:r>
      <w:r w:rsidRPr="003D49EB">
        <w:rPr>
          <w:bCs/>
          <w:szCs w:val="20"/>
          <w:shd w:val="clear" w:color="auto" w:fill="FFFFFF"/>
        </w:rPr>
        <w:t xml:space="preserve">En particular, el tratamiento psicológico debe brindarse por personal e instituciones estatales especializadas en la atención de víctimas de hechos como los ocurridos en el presente caso. En caso de que el Estado careciera del personal o de las instituciones que puedan proveer el nivel requerido de atención, deberá recurrir a instituciones privadas o de la sociedad civil especializadas. Al proveer dicho tratamiento se deben considerar, además, las circunstancias y necesidades particulares de cada víctima, de manera que se les brinden tratamientos familiares e individuales, según lo que se acuerde con cada una de ellas, después de una evaluación individual. Finalmente, dicho tratamiento se deberá brindar, en la medida </w:t>
      </w:r>
      <w:r w:rsidRPr="003D49EB">
        <w:rPr>
          <w:bCs/>
          <w:szCs w:val="20"/>
          <w:shd w:val="clear" w:color="auto" w:fill="FFFFFF"/>
        </w:rPr>
        <w:lastRenderedPageBreak/>
        <w:t>de las posibilidades, en los centros más cercanos a sus lugares de residencia. Las víctimas que soliciten esta medida de reparación disponen de un plazo de seis meses contados a partir de la notificación de la presente Sentencia para dar a conocer, por sí mismas o por medio de sus representantes legales, al Estado su intención de recibir</w:t>
      </w:r>
      <w:r w:rsidR="00BF2C46" w:rsidRPr="003D49EB">
        <w:rPr>
          <w:bCs/>
          <w:szCs w:val="20"/>
          <w:shd w:val="clear" w:color="auto" w:fill="FFFFFF"/>
        </w:rPr>
        <w:t xml:space="preserve"> atención médica o psicológica.</w:t>
      </w:r>
    </w:p>
    <w:p w14:paraId="4F2C8DBE" w14:textId="306FA267" w:rsidR="00025383" w:rsidRPr="003D49EB" w:rsidRDefault="00BB58A8" w:rsidP="009A4683">
      <w:pPr>
        <w:spacing w:after="100" w:afterAutospacing="1"/>
        <w:ind w:right="-7"/>
        <w:rPr>
          <w:b/>
          <w:bCs/>
          <w:szCs w:val="20"/>
          <w:shd w:val="clear" w:color="auto" w:fill="FFFFFF"/>
        </w:rPr>
      </w:pPr>
      <w:r w:rsidRPr="00BB58A8">
        <w:rPr>
          <w:b/>
          <w:bCs/>
          <w:szCs w:val="20"/>
          <w:shd w:val="clear" w:color="auto" w:fill="FFFFFF"/>
        </w:rPr>
        <w:t xml:space="preserve">Corte IDH. Caso </w:t>
      </w:r>
      <w:proofErr w:type="spellStart"/>
      <w:r w:rsidRPr="00BB58A8">
        <w:rPr>
          <w:b/>
          <w:bCs/>
          <w:szCs w:val="20"/>
          <w:shd w:val="clear" w:color="auto" w:fill="FFFFFF"/>
        </w:rPr>
        <w:t>Nadege</w:t>
      </w:r>
      <w:proofErr w:type="spellEnd"/>
      <w:r w:rsidRPr="00BB58A8">
        <w:rPr>
          <w:b/>
          <w:bCs/>
          <w:szCs w:val="20"/>
          <w:shd w:val="clear" w:color="auto" w:fill="FFFFFF"/>
        </w:rPr>
        <w:t xml:space="preserve"> </w:t>
      </w:r>
      <w:proofErr w:type="spellStart"/>
      <w:r w:rsidRPr="00BB58A8">
        <w:rPr>
          <w:b/>
          <w:bCs/>
          <w:szCs w:val="20"/>
          <w:shd w:val="clear" w:color="auto" w:fill="FFFFFF"/>
        </w:rPr>
        <w:t>Dorzema</w:t>
      </w:r>
      <w:proofErr w:type="spellEnd"/>
      <w:r w:rsidRPr="00BB58A8">
        <w:rPr>
          <w:b/>
          <w:bCs/>
          <w:szCs w:val="20"/>
          <w:shd w:val="clear" w:color="auto" w:fill="FFFFFF"/>
        </w:rPr>
        <w:t xml:space="preserve"> y otros Vs. República Dominicana. Fondo, Reparaciones y Costas. Sentencia de 24 de octubre de 2012. Serie C No. 251.</w:t>
      </w:r>
    </w:p>
    <w:p w14:paraId="1972E451" w14:textId="77777777" w:rsidR="00BB58A8" w:rsidRDefault="00025383" w:rsidP="00BB58A8">
      <w:pPr>
        <w:rPr>
          <w:szCs w:val="20"/>
        </w:rPr>
      </w:pPr>
      <w:r w:rsidRPr="00BB58A8">
        <w:rPr>
          <w:szCs w:val="20"/>
        </w:rPr>
        <w:t>259.</w:t>
      </w:r>
      <w:r w:rsidRPr="00BB58A8">
        <w:rPr>
          <w:szCs w:val="20"/>
        </w:rPr>
        <w:tab/>
        <w:t xml:space="preserve">Asimismo, la Corte estima, como lo ha hecho en otros casos, que es preciso disponer una medida de reparación que brinde una atención adecuada a los padecimientos psicológicos y físicos sufridos </w:t>
      </w:r>
      <w:r w:rsidRPr="00BB58A8">
        <w:rPr>
          <w:spacing w:val="-4"/>
          <w:szCs w:val="20"/>
        </w:rPr>
        <w:t>por las víctimas, derivadas de las violaciones establecidas en el presente Fallo. Con el fin de contribuir a la reparación de estos daños, la Corte dispone la obligación a cargo del Estado de brindar gratuitamente y de forma inmediata el tratamiento médico y psicológico que requieran las víctimas, previo consentimiento informado y por el tiempo que sea necesario, incluida la provisión gratuita de medicamentos. En el caso de que las víctimas residan en República Dominicana, el tratamiento médico y psicológico debe brindarse por personal e instituciones estatales. Si el Estado</w:t>
      </w:r>
      <w:r w:rsidRPr="00BB58A8">
        <w:rPr>
          <w:szCs w:val="20"/>
        </w:rPr>
        <w:t xml:space="preserve"> careciera de ellas, deberá recurrir a instituciones privadas o de la sociedad civil especializadas. Dicho tratamiento se deberá otorgar, en la medida de las posibilidades, en los centros más cercanos a su lugar de residencia.</w:t>
      </w:r>
    </w:p>
    <w:p w14:paraId="7B4682DE" w14:textId="1303F24B" w:rsidR="00025383" w:rsidRPr="00BB58A8" w:rsidRDefault="00025383" w:rsidP="00BB58A8">
      <w:pPr>
        <w:rPr>
          <w:szCs w:val="20"/>
        </w:rPr>
      </w:pPr>
      <w:r w:rsidRPr="00BB58A8">
        <w:rPr>
          <w:szCs w:val="20"/>
        </w:rPr>
        <w:t xml:space="preserve"> </w:t>
      </w:r>
    </w:p>
    <w:p w14:paraId="5B177E7A" w14:textId="67ADAC53" w:rsidR="00E90A44" w:rsidRDefault="00025383" w:rsidP="00BB58A8">
      <w:pPr>
        <w:rPr>
          <w:szCs w:val="20"/>
        </w:rPr>
      </w:pPr>
      <w:r w:rsidRPr="00BB58A8">
        <w:rPr>
          <w:szCs w:val="20"/>
        </w:rPr>
        <w:t>260.</w:t>
      </w:r>
      <w:r w:rsidRPr="00BB58A8">
        <w:rPr>
          <w:szCs w:val="20"/>
        </w:rPr>
        <w:tab/>
        <w:t>Al proveer dicho tratamiento se deben considerar, además, las circunstancias y necesidades particulares de cada víctima, de manera que se les brinden tratamientos familiares e individuales, según lo que se acuerde con cada una de ellas y después de una evaluación individual.</w:t>
      </w:r>
    </w:p>
    <w:p w14:paraId="0CB8CF23" w14:textId="77777777" w:rsidR="00BB58A8" w:rsidRPr="00BB58A8" w:rsidRDefault="00BB58A8" w:rsidP="00BB58A8">
      <w:pPr>
        <w:rPr>
          <w:szCs w:val="20"/>
        </w:rPr>
      </w:pPr>
    </w:p>
    <w:p w14:paraId="2F5BE3AA" w14:textId="77777777" w:rsidR="00CB4ABA" w:rsidRPr="00BB58A8" w:rsidRDefault="00025383" w:rsidP="00BB58A8">
      <w:pPr>
        <w:rPr>
          <w:szCs w:val="20"/>
        </w:rPr>
      </w:pPr>
      <w:r w:rsidRPr="00BB58A8">
        <w:rPr>
          <w:szCs w:val="20"/>
        </w:rPr>
        <w:t>261.</w:t>
      </w:r>
      <w:r w:rsidRPr="00BB58A8">
        <w:rPr>
          <w:szCs w:val="20"/>
        </w:rPr>
        <w:tab/>
        <w:t xml:space="preserve">Sin embargo, en el caso de que las víctimas no residan en República Dominicana, la Corte considera pertinente determinar que en el supuesto que las víctimas soliciten atención médica o psicológica, el Estado deberá otorgar a las víctimas sobrevivientes, quienes fueron heridas, la cantidad de US$ 7,500.00 (siete mil y </w:t>
      </w:r>
      <w:proofErr w:type="spellStart"/>
      <w:r w:rsidRPr="00BB58A8">
        <w:rPr>
          <w:szCs w:val="20"/>
        </w:rPr>
        <w:t>quiñentos</w:t>
      </w:r>
      <w:proofErr w:type="spellEnd"/>
      <w:r w:rsidRPr="00BB58A8">
        <w:rPr>
          <w:szCs w:val="20"/>
        </w:rPr>
        <w:t xml:space="preserve"> dólares de los Estados Unidos de América) y a los demás sobrevivientes la cantidad de US$ 3,500.00 (tres mil </w:t>
      </w:r>
      <w:proofErr w:type="spellStart"/>
      <w:r w:rsidRPr="00BB58A8">
        <w:rPr>
          <w:szCs w:val="20"/>
        </w:rPr>
        <w:t>quiñentos</w:t>
      </w:r>
      <w:proofErr w:type="spellEnd"/>
      <w:r w:rsidRPr="00BB58A8">
        <w:rPr>
          <w:szCs w:val="20"/>
        </w:rPr>
        <w:t xml:space="preserve"> dólares de los Estados Unidos de América), ambos por concepto de gastos por tratamiento médico y psicológico, para que puedan recibir dicha atención en la localidad donde residan.</w:t>
      </w:r>
    </w:p>
    <w:p w14:paraId="435471C2" w14:textId="77777777" w:rsidR="00356F86" w:rsidRDefault="00356F86" w:rsidP="009A4683">
      <w:pPr>
        <w:pStyle w:val="Caso"/>
      </w:pPr>
    </w:p>
    <w:p w14:paraId="7339C653" w14:textId="56458036" w:rsidR="00CB4ABA" w:rsidRPr="003D49EB" w:rsidRDefault="005A2A26" w:rsidP="009A4683">
      <w:pPr>
        <w:pStyle w:val="Caso"/>
        <w:rPr>
          <w:b w:val="0"/>
        </w:rPr>
      </w:pPr>
      <w:r w:rsidRPr="003D49EB">
        <w:t>Corte IDH. Caso Espinoza Gonzáles Vs. Perú. Excepciones Preliminares, Fondo, Reparaciones y Costas. Sentencia de 20 de noviembre de 2014. Serie C No. 289.</w:t>
      </w:r>
    </w:p>
    <w:p w14:paraId="3349AA4D" w14:textId="77777777" w:rsidR="00356F86" w:rsidRDefault="00356F86" w:rsidP="009A4683"/>
    <w:p w14:paraId="0A7A48A1" w14:textId="199CE6A9" w:rsidR="00CB4ABA" w:rsidRPr="003D49EB" w:rsidRDefault="00CB4ABA" w:rsidP="009A4683">
      <w:r w:rsidRPr="003D49EB">
        <w:t>314.</w:t>
      </w:r>
      <w:r w:rsidRPr="003D49EB">
        <w:tab/>
        <w:t xml:space="preserve">Por tanto, la Corte determina que el Estado debe brindar gratuitamente, a través de sus instituciones de salud especializadas y de forma inmediata, adecuada, integral y efectiva, el tratamiento médico, psicológico o psiquiátrico que requiera Gladys Carol Espinoza Gonzáles, previo consentimiento informado y si así lo desea, incluida la provisión gratuita de medicamentos. Asimismo, el Estado deberá asegurar que los profesionales que sean asignados valoren debidamente las condiciones psicológicas y físicas de la víctima y tengan la experiencia y formación suficientes para tratar tanto los problemas de salud físicos que padezca como los traumas psicológicos ocasionados como resultado de los tratos crueles, inhumanos y degradantes, y la tortura que sufrió, la cual incluyó la violación sexual y otras formas de violencia sexual […]. Para tal efecto y dado que actualmente Gladys Espinoza se encuentre recluida, dichos profesionales deben tener acceso a los lugares en que se encuentra, así como se deben asegurar los traslados a las instituciones de salud que la víctima requiera. Posteriormente, los tratamientos deberán prestarse, en la medida de lo posible, en los centros más cercanos a su lugar de residencia en el Perú por el </w:t>
      </w:r>
      <w:r w:rsidRPr="003D49EB">
        <w:lastRenderedPageBreak/>
        <w:t>tiempo que sea necesario. Lo anterior implica que Gladys Espinoza deberá recibir un tratamiento diferenciado en relación con el trámite y procedimiento que debiera realizar para ser atendida en los hospitales públicos.</w:t>
      </w:r>
    </w:p>
    <w:p w14:paraId="0D8E5FB2" w14:textId="77777777" w:rsidR="00356F86" w:rsidRDefault="00356F86" w:rsidP="009A4683"/>
    <w:p w14:paraId="10410050" w14:textId="2C171BB3" w:rsidR="00CB4ABA" w:rsidRPr="003D49EB" w:rsidRDefault="00CB4ABA" w:rsidP="009A4683">
      <w:r w:rsidRPr="003D49EB">
        <w:t>315.</w:t>
      </w:r>
      <w:r w:rsidRPr="003D49EB">
        <w:tab/>
        <w:t>Por otro lado, el Estado debe brindar gratuitamente, a través de sus instituciones de salud especializadas y de forma inmediata, adecuada, integral y efectiva, el tratamiento psicológico o psiquiátrico que requiera Manuel Espinoza Gonzáles, previo consentimiento informado y si así lo desea, incluida la provisión gratuita de medicamentos. Asimismo, los tratamientos deberán prestarse, en la medida de lo posible, en los centros más cercanos a su lugar de residencia en el Perú por el tiempo que sea necesario. Lo anterior implica que el señor Espinoza Gonzáles deberá recibir un tratamiento diferenciado en relación con el trámite y procedimiento que debiera realizar para ser atend</w:t>
      </w:r>
      <w:r w:rsidR="00BF2C46" w:rsidRPr="003D49EB">
        <w:t>ido en los hospitales públicos.</w:t>
      </w:r>
    </w:p>
    <w:p w14:paraId="755D2D49" w14:textId="77777777" w:rsidR="00356F86" w:rsidRDefault="00356F86" w:rsidP="009A4683"/>
    <w:p w14:paraId="6E95D989" w14:textId="77777777" w:rsidR="00801489" w:rsidRDefault="00CB4ABA" w:rsidP="00801489">
      <w:r w:rsidRPr="003D49EB">
        <w:t>316.</w:t>
      </w:r>
      <w:r w:rsidRPr="003D49EB">
        <w:tab/>
        <w:t>Al proveer el tratamiento psicológico o psiquiátrico a Gladys Espinoza y Manuel Espinoza, se deben considerar, además, las circunstancias y necesidades particulares de cada víctima, de manera que se les brinden tratamientos colectivos, familiares e individuales, según lo que se acuerde con cada una de ellas y después de una evaluación individual. Las víctimas que soliciten esta medida de reparación, o sus representantes legales, disponen de un plazo de seis meses, contado a partir de la notificación de la presente Sentencia, para dar a conocer al Estado su intención de recibir tratamiento psicológico o psiquiátrico, y en el caso de Gladys Espinoza, también tratamiento médico</w:t>
      </w:r>
      <w:r w:rsidR="00BF2C46" w:rsidRPr="003D49EB">
        <w:t>.</w:t>
      </w:r>
    </w:p>
    <w:p w14:paraId="04016E34" w14:textId="0A18A59B" w:rsidR="00356F86" w:rsidRDefault="00BF2C46" w:rsidP="00801489">
      <w:r w:rsidRPr="003D49EB">
        <w:t xml:space="preserve"> </w:t>
      </w:r>
    </w:p>
    <w:p w14:paraId="5F1CBA77" w14:textId="39F4AF55" w:rsidR="00B10948" w:rsidRPr="003D49EB" w:rsidRDefault="00B10948" w:rsidP="009A4683">
      <w:pPr>
        <w:pStyle w:val="Caso"/>
        <w:spacing w:after="100" w:afterAutospacing="1"/>
        <w:rPr>
          <w:b w:val="0"/>
        </w:rPr>
      </w:pPr>
      <w:r w:rsidRPr="003D49EB">
        <w:t xml:space="preserve">Corte IDH. Caso Carvajal </w:t>
      </w:r>
      <w:proofErr w:type="spellStart"/>
      <w:r w:rsidRPr="003D49EB">
        <w:t>Carvajal</w:t>
      </w:r>
      <w:proofErr w:type="spellEnd"/>
      <w:r w:rsidRPr="003D49EB">
        <w:t xml:space="preserve"> y otros Vs. Colombia. Fondo, Reparaciones y Costas. Sentencia de 13 de marzo de 2018. Serie C No. 352</w:t>
      </w:r>
      <w:r w:rsidR="00356F86">
        <w:t>.</w:t>
      </w:r>
      <w:r w:rsidR="00801489">
        <w:rPr>
          <w:rStyle w:val="Refdenotaalpie"/>
        </w:rPr>
        <w:footnoteReference w:id="87"/>
      </w:r>
    </w:p>
    <w:p w14:paraId="6C2A4B2F" w14:textId="05C75FC0" w:rsidR="00B10948" w:rsidRDefault="00B10948" w:rsidP="009A4683">
      <w:r w:rsidRPr="003D49EB">
        <w:t>206.</w:t>
      </w:r>
      <w:r w:rsidRPr="003D49EB">
        <w:tab/>
        <w:t>La Corte estima que es preciso disponer una medida de reparación que brinde una atención adecuada a los padecimientos psicológicos sufridos por las víctimas de las violaciones establecidas en la presente Sentencia</w:t>
      </w:r>
      <w:r w:rsidR="006A660B" w:rsidRPr="003D49EB">
        <w:t>.</w:t>
      </w:r>
      <w:r w:rsidRPr="003D49EB">
        <w:t xml:space="preserve"> Esta Corte, ordena al Estado brindar gratuitamente, de forma prioritaria, sin cargo alguno, el tratamiento psicológico o psiquiátrico adecuado a las víctimas que así lo requieran, previa manifestación de voluntad. En tanto resulte adecuado a lo ordenado, como lo ha hecho en otros casos</w:t>
      </w:r>
      <w:r w:rsidR="006A660B" w:rsidRPr="003D49EB">
        <w:t>,</w:t>
      </w:r>
      <w:r w:rsidRPr="003D49EB">
        <w:t xml:space="preserve"> el Tribunal considera que el Estado podrá otorgar dicho tratamiento a través de los servicios nacionales de salud, inclusive por medio del PAPSIVI. Las víctimas indicadas deberán tener acceso inmediato, gratuito y prioritario a las prestaciones psicológicas, independientemente de los plazos que la legislación interna haya contemplado para ello, evitando obstáculos de cualquier índole.</w:t>
      </w:r>
    </w:p>
    <w:p w14:paraId="4CB0E958" w14:textId="77777777" w:rsidR="00801489" w:rsidRPr="003D49EB" w:rsidRDefault="00801489" w:rsidP="009A4683"/>
    <w:p w14:paraId="2D932FC1" w14:textId="0D3DEDBB" w:rsidR="00B10948" w:rsidRPr="003D49EB" w:rsidRDefault="00B10948" w:rsidP="009A4683">
      <w:r w:rsidRPr="003D49EB">
        <w:t>207.</w:t>
      </w:r>
      <w:r w:rsidRPr="003D49EB">
        <w:tab/>
        <w:t>Asimismo, los tratamientos respectivos deberán ser brindados por el tiempo que sea necesario, y en un lugar accesible para las víctimas del presente caso. Al proveer el tratamiento se debe considerar, además, las circunstancias y necesidades particulares de cada víctima, de manera que se les brinden tratamientos colectivos, familiares e individuales, según las necesidades de cada una de ellas y previa evaluación individual por parte de un profesional de la salud</w:t>
      </w:r>
      <w:r w:rsidR="006A660B" w:rsidRPr="003D49EB">
        <w:t>.</w:t>
      </w:r>
      <w:r w:rsidRPr="003D49EB">
        <w:t xml:space="preserve"> Las víctimas que soliciten esta medida de reparación, o sus representantes legales, disponen de un </w:t>
      </w:r>
      <w:r w:rsidRPr="003D49EB">
        <w:lastRenderedPageBreak/>
        <w:t>plazo de seis meses, contado a partir de la notificación de la presente Sentencia, para dar a conocer al Estado su intención de recibir atención psicológica o psiquiátrica</w:t>
      </w:r>
      <w:r w:rsidR="006A660B" w:rsidRPr="003D49EB">
        <w:t>.</w:t>
      </w:r>
    </w:p>
    <w:p w14:paraId="34E091E7" w14:textId="77777777" w:rsidR="003F0886" w:rsidRDefault="003F0886" w:rsidP="009A4683"/>
    <w:p w14:paraId="53A4B07E" w14:textId="77777777" w:rsidR="003F0886" w:rsidRDefault="00B10948" w:rsidP="003F0886">
      <w:r w:rsidRPr="003D49EB">
        <w:t>208.</w:t>
      </w:r>
      <w:r w:rsidRPr="003D49EB">
        <w:tab/>
        <w:t>En cuanto a los familiares de Nelson Carvajal que se encuentran viviendo fuera de Colombia, la Corte ordena en equidad que el Estado pague la suma de US$ 10.000 (diez mil dólares de los Estados Unidos de América) a cada uno de ellos para que puedan cubrir los gastos de atención psicológica o psiquiátrica. Las víctimas que soliciten esta medida de reparación, o sus representantes legales, disponen de un plazo de seis meses, contado a partir de la notificación de la presente Sentencia, para dar a conocer al Estado su intención de recibir atención psicológica o psiquiátrica y recibir ese monto de compensación.</w:t>
      </w:r>
    </w:p>
    <w:p w14:paraId="3E1B92AA" w14:textId="77777777" w:rsidR="003F0886" w:rsidRDefault="003F0886" w:rsidP="003F0886"/>
    <w:p w14:paraId="2CEDBC33" w14:textId="42D655F4" w:rsidR="002D2ADC" w:rsidRDefault="00FC7585" w:rsidP="003F0886">
      <w:pPr>
        <w:pStyle w:val="Caso"/>
      </w:pPr>
      <w:r w:rsidRPr="003D49EB">
        <w:t>Corte IDH. Caso Mujeres Víctimas de Tortura Sexual en Atenco Vs. México. Excepción Preliminar, Fondo, Reparaciones y Costas. Sentencia de 28 de noviembre de 2018. Serie C No. 371.</w:t>
      </w:r>
    </w:p>
    <w:p w14:paraId="33AC5572" w14:textId="77777777" w:rsidR="003F0886" w:rsidRPr="003D49EB" w:rsidRDefault="003F0886" w:rsidP="003F0886">
      <w:pPr>
        <w:pStyle w:val="Caso"/>
      </w:pPr>
    </w:p>
    <w:p w14:paraId="48E3AB50" w14:textId="704F1FE3" w:rsidR="00FC7585" w:rsidRDefault="00FC7585" w:rsidP="009A4683">
      <w:r w:rsidRPr="003D49EB">
        <w:t>341.</w:t>
      </w:r>
      <w:r w:rsidRPr="003D49EB">
        <w:tab/>
        <w:t xml:space="preserve">La Corte ha constatado las graves afectaciones a la integridad personal sufridas por las once mujeres y sus familiares como consecuencia de los hechos del presente caso </w:t>
      </w:r>
      <w:r w:rsidR="00632C28">
        <w:t>[...]</w:t>
      </w:r>
      <w:r w:rsidRPr="003D49EB">
        <w:t>. Por tanto, la Corte estima, que es preciso disponer una medida de reparación que brinde una atención adecuada a los padecimientos físicos, psicológicos o psiquiátricos sufridos por las víctimas, derivados de las violaciones establecidas en la presente Sentencia, que atienda a sus especificidades de género y antecedentes</w:t>
      </w:r>
      <w:r w:rsidR="006A660B" w:rsidRPr="003D49EB">
        <w:t>.</w:t>
      </w:r>
      <w:r w:rsidRPr="003D49EB">
        <w:t xml:space="preserve"> Esta Corte ordena al Estado brindar gratuitamente, de forma prioritaria, tratamiento médico para las once mujeres víctimas del caso, el cual deberá incluir la provisión de medicamentos y, en su caso, transporte y otros gastos directamente relacionados y necesarios</w:t>
      </w:r>
      <w:r w:rsidR="006A660B" w:rsidRPr="003D49EB">
        <w:t>.</w:t>
      </w:r>
      <w:r w:rsidRPr="003D49EB">
        <w:t xml:space="preserve"> Asimismo, deberá prestarse, en la medida de lo posible, en los centros más cercanos a sus lugares de residencia</w:t>
      </w:r>
      <w:r w:rsidR="006A660B" w:rsidRPr="003D49EB">
        <w:t>,</w:t>
      </w:r>
      <w:r w:rsidRPr="003D49EB">
        <w:t xml:space="preserve"> por el tiempo que sea necesario. Igualmente ordena al Estado brindar gratuitamente, de forma prioritaria, el tratamiento inmediato psicológico o psiquiátrico adecuado a las víctimas que así lo requieran, incluyendo el suministro gratuito de los medicamentos que eventualmente se requieran, a través de sus instituciones de salud especializadas, previa manifestación de voluntad de tales víctimas. Al proveer el tratamiento psicológico y/o psiquiátrico se debe considerar, además, las circunstancias y necesidades particulares de cada víctima, según lo que se acuerde con cada una de ellas y después de una evaluación individual</w:t>
      </w:r>
      <w:r w:rsidR="006A660B" w:rsidRPr="003D49EB">
        <w:t>.</w:t>
      </w:r>
      <w:r w:rsidRPr="003D49EB">
        <w:t xml:space="preserve"> Los beneficiarios de estas medidas disponen de un plazo de seis meses, contado a partir de la notificación de la presente Sentencia, para confirmar al Estado su anuencia a recibir atención psicológica y/o psiquiátrica</w:t>
      </w:r>
      <w:r w:rsidR="006A660B" w:rsidRPr="003D49EB">
        <w:t>.</w:t>
      </w:r>
      <w:r w:rsidRPr="003D49EB">
        <w:t xml:space="preserve"> A su vez, el Estado dispondrá del plazo de tres meses, contado a partir de la recepción de dicha solicitud, para brindar de manera efectiva la atención psicológica y/o psiquiátrica solicitada.</w:t>
      </w:r>
    </w:p>
    <w:p w14:paraId="1E2FA2E9" w14:textId="77777777" w:rsidR="003F0886" w:rsidRPr="003D49EB" w:rsidRDefault="003F0886" w:rsidP="009A4683">
      <w:pPr>
        <w:rPr>
          <w:szCs w:val="20"/>
        </w:rPr>
      </w:pPr>
    </w:p>
    <w:p w14:paraId="3759A91A" w14:textId="4C259B32" w:rsidR="00C257FF" w:rsidRPr="003D49EB" w:rsidRDefault="003B2C88" w:rsidP="009A4683">
      <w:pPr>
        <w:pStyle w:val="Caso"/>
        <w:spacing w:after="100" w:afterAutospacing="1"/>
      </w:pPr>
      <w:r w:rsidRPr="003D49EB">
        <w:t>Corte IDH. Caso Azul Rojas Marín y otra Vs. Perú. Excepciones Preliminares, Fondo, Reparaciones y Costas. Sentencia de 12 de marzo de 2020. Serie C No. 402.</w:t>
      </w:r>
    </w:p>
    <w:p w14:paraId="4CA572B0" w14:textId="2A5A5065" w:rsidR="003B2C88" w:rsidRDefault="003B2C88" w:rsidP="009A4683">
      <w:r w:rsidRPr="003D49EB">
        <w:t xml:space="preserve">236. La Corte ha constatado las graves afectaciones a la integridad personal sufridas por la </w:t>
      </w:r>
      <w:proofErr w:type="spellStart"/>
      <w:r w:rsidRPr="003D49EB">
        <w:t>señora</w:t>
      </w:r>
      <w:proofErr w:type="spellEnd"/>
      <w:r w:rsidRPr="003D49EB">
        <w:t xml:space="preserve"> Rojas </w:t>
      </w:r>
      <w:proofErr w:type="spellStart"/>
      <w:r w:rsidRPr="003D49EB">
        <w:t>Marín</w:t>
      </w:r>
      <w:proofErr w:type="spellEnd"/>
      <w:r w:rsidRPr="003D49EB">
        <w:t xml:space="preserve"> como consecuencia de los hechos de violencia y tortura sexual del presente caso </w:t>
      </w:r>
      <w:r w:rsidR="00632C28">
        <w:t>[...]</w:t>
      </w:r>
      <w:r w:rsidRPr="003D49EB">
        <w:t xml:space="preserve">. Por tanto, la Corte considera que es preciso disponer una medida de </w:t>
      </w:r>
      <w:proofErr w:type="spellStart"/>
      <w:r w:rsidRPr="003D49EB">
        <w:t>reparación</w:t>
      </w:r>
      <w:proofErr w:type="spellEnd"/>
      <w:r w:rsidRPr="003D49EB">
        <w:t xml:space="preserve"> que brinde una atención adecuada a los padecimientos </w:t>
      </w:r>
      <w:proofErr w:type="spellStart"/>
      <w:r w:rsidRPr="003D49EB">
        <w:t>físicos</w:t>
      </w:r>
      <w:proofErr w:type="spellEnd"/>
      <w:r w:rsidRPr="003D49EB">
        <w:t xml:space="preserve">, </w:t>
      </w:r>
      <w:proofErr w:type="spellStart"/>
      <w:r w:rsidRPr="003D49EB">
        <w:t>psicológicos</w:t>
      </w:r>
      <w:proofErr w:type="spellEnd"/>
      <w:r w:rsidRPr="003D49EB">
        <w:t xml:space="preserve"> o </w:t>
      </w:r>
      <w:proofErr w:type="spellStart"/>
      <w:r w:rsidRPr="003D49EB">
        <w:t>psiquiátricos</w:t>
      </w:r>
      <w:proofErr w:type="spellEnd"/>
      <w:r w:rsidRPr="003D49EB">
        <w:t xml:space="preserve"> sufridos por la </w:t>
      </w:r>
      <w:proofErr w:type="spellStart"/>
      <w:r w:rsidRPr="003D49EB">
        <w:t>víctima</w:t>
      </w:r>
      <w:proofErr w:type="spellEnd"/>
      <w:r w:rsidRPr="003D49EB">
        <w:t xml:space="preserve"> que atienda a sus especificidades y antecedentes. Esta Corte ordena al Estado brindar gratuitamente, de forma prioritaria, tratamiento </w:t>
      </w:r>
      <w:proofErr w:type="spellStart"/>
      <w:r w:rsidRPr="003D49EB">
        <w:t>médico</w:t>
      </w:r>
      <w:proofErr w:type="spellEnd"/>
      <w:r w:rsidRPr="003D49EB">
        <w:t xml:space="preserve"> para Azul Rojas </w:t>
      </w:r>
      <w:proofErr w:type="spellStart"/>
      <w:r w:rsidRPr="003D49EB">
        <w:t>Marín</w:t>
      </w:r>
      <w:proofErr w:type="spellEnd"/>
      <w:r w:rsidRPr="003D49EB">
        <w:t xml:space="preserve">, el cual </w:t>
      </w:r>
      <w:proofErr w:type="spellStart"/>
      <w:r w:rsidRPr="003D49EB">
        <w:t>debera</w:t>
      </w:r>
      <w:proofErr w:type="spellEnd"/>
      <w:r w:rsidRPr="003D49EB">
        <w:t xml:space="preserve">́ incluir la </w:t>
      </w:r>
      <w:proofErr w:type="spellStart"/>
      <w:r w:rsidRPr="003D49EB">
        <w:t>provisión</w:t>
      </w:r>
      <w:proofErr w:type="spellEnd"/>
      <w:r w:rsidRPr="003D49EB">
        <w:t xml:space="preserve"> de medicamentos y, en su caso, transporte y otros gastos directamente relacionados y necesarios. Asimismo, </w:t>
      </w:r>
      <w:proofErr w:type="spellStart"/>
      <w:r w:rsidRPr="003D49EB">
        <w:t>debera</w:t>
      </w:r>
      <w:proofErr w:type="spellEnd"/>
      <w:r w:rsidRPr="003D49EB">
        <w:t xml:space="preserve">́ prestarse, en la medida de lo posible, en los centros </w:t>
      </w:r>
      <w:proofErr w:type="spellStart"/>
      <w:r w:rsidRPr="003D49EB">
        <w:t>más</w:t>
      </w:r>
      <w:proofErr w:type="spellEnd"/>
      <w:r w:rsidRPr="003D49EB">
        <w:t xml:space="preserve"> cercanos a su lugar de residencia, por el tiempo que sea necesario. Al proveer el tratamiento </w:t>
      </w:r>
      <w:proofErr w:type="spellStart"/>
      <w:r w:rsidRPr="003D49EB">
        <w:t>psicológico</w:t>
      </w:r>
      <w:proofErr w:type="spellEnd"/>
      <w:r w:rsidRPr="003D49EB">
        <w:t xml:space="preserve"> y/o </w:t>
      </w:r>
      <w:proofErr w:type="spellStart"/>
      <w:r w:rsidRPr="003D49EB">
        <w:t>psiquiátrico</w:t>
      </w:r>
      <w:proofErr w:type="spellEnd"/>
      <w:r w:rsidRPr="003D49EB">
        <w:t xml:space="preserve"> se debe considerar, </w:t>
      </w:r>
      <w:proofErr w:type="spellStart"/>
      <w:r w:rsidRPr="003D49EB">
        <w:t>además</w:t>
      </w:r>
      <w:proofErr w:type="spellEnd"/>
      <w:r w:rsidRPr="003D49EB">
        <w:t xml:space="preserve">, </w:t>
      </w:r>
      <w:r w:rsidRPr="003D49EB">
        <w:lastRenderedPageBreak/>
        <w:t xml:space="preserve">las circunstancias y necesidades particulares de la </w:t>
      </w:r>
      <w:proofErr w:type="spellStart"/>
      <w:r w:rsidRPr="003D49EB">
        <w:t>víctima</w:t>
      </w:r>
      <w:proofErr w:type="spellEnd"/>
      <w:r w:rsidRPr="003D49EB">
        <w:t xml:space="preserve">, </w:t>
      </w:r>
      <w:proofErr w:type="spellStart"/>
      <w:r w:rsidRPr="003D49EB">
        <w:t>según</w:t>
      </w:r>
      <w:proofErr w:type="spellEnd"/>
      <w:r w:rsidRPr="003D49EB">
        <w:t xml:space="preserve"> lo que se acuerde con ella y </w:t>
      </w:r>
      <w:proofErr w:type="spellStart"/>
      <w:r w:rsidRPr="003D49EB">
        <w:t>después</w:t>
      </w:r>
      <w:proofErr w:type="spellEnd"/>
      <w:r w:rsidRPr="003D49EB">
        <w:t xml:space="preserve"> de una </w:t>
      </w:r>
      <w:proofErr w:type="spellStart"/>
      <w:r w:rsidRPr="003D49EB">
        <w:t>evaluación</w:t>
      </w:r>
      <w:proofErr w:type="spellEnd"/>
      <w:r w:rsidRPr="003D49EB">
        <w:t xml:space="preserve"> individual.</w:t>
      </w:r>
    </w:p>
    <w:p w14:paraId="48D20EEF" w14:textId="77777777" w:rsidR="003F0886" w:rsidRPr="003D49EB" w:rsidRDefault="003F0886" w:rsidP="009A4683"/>
    <w:p w14:paraId="7090F16D" w14:textId="749BF872" w:rsidR="003B2C88" w:rsidRPr="003D49EB" w:rsidRDefault="003B2C88" w:rsidP="009A4683">
      <w:pPr>
        <w:rPr>
          <w:szCs w:val="20"/>
        </w:rPr>
      </w:pPr>
      <w:r w:rsidRPr="003D49EB">
        <w:t xml:space="preserve">237. La beneficiaria de esta medida dispone de un plazo de seis meses, contado a partir de la </w:t>
      </w:r>
      <w:proofErr w:type="spellStart"/>
      <w:r w:rsidRPr="003D49EB">
        <w:t>notificación</w:t>
      </w:r>
      <w:proofErr w:type="spellEnd"/>
      <w:r w:rsidRPr="003D49EB">
        <w:t xml:space="preserve"> de la presente Sentencia, para confirmar al Estado su anuencia a recibir atención </w:t>
      </w:r>
      <w:proofErr w:type="spellStart"/>
      <w:r w:rsidRPr="003D49EB">
        <w:t>psicológica</w:t>
      </w:r>
      <w:proofErr w:type="spellEnd"/>
      <w:r w:rsidRPr="003D49EB">
        <w:t xml:space="preserve"> y/o </w:t>
      </w:r>
      <w:proofErr w:type="spellStart"/>
      <w:r w:rsidRPr="003D49EB">
        <w:t>psiquiátrica</w:t>
      </w:r>
      <w:proofErr w:type="spellEnd"/>
      <w:r w:rsidRPr="003D49EB">
        <w:t xml:space="preserve">. A su vez, el Estado </w:t>
      </w:r>
      <w:proofErr w:type="spellStart"/>
      <w:r w:rsidRPr="003D49EB">
        <w:t>dispondra</w:t>
      </w:r>
      <w:proofErr w:type="spellEnd"/>
      <w:r w:rsidRPr="003D49EB">
        <w:t xml:space="preserve">́ del plazo de tres meses, contado a partir de la </w:t>
      </w:r>
      <w:proofErr w:type="spellStart"/>
      <w:r w:rsidRPr="003D49EB">
        <w:t>recepción</w:t>
      </w:r>
      <w:proofErr w:type="spellEnd"/>
      <w:r w:rsidRPr="003D49EB">
        <w:t xml:space="preserve"> de dicha solicitud, para brindar de manera efectiva la atención </w:t>
      </w:r>
      <w:proofErr w:type="spellStart"/>
      <w:r w:rsidRPr="003D49EB">
        <w:t>psicológica</w:t>
      </w:r>
      <w:proofErr w:type="spellEnd"/>
      <w:r w:rsidRPr="003D49EB">
        <w:t xml:space="preserve"> y/o </w:t>
      </w:r>
      <w:proofErr w:type="spellStart"/>
      <w:r w:rsidRPr="003D49EB">
        <w:t>psiquiátrica</w:t>
      </w:r>
      <w:proofErr w:type="spellEnd"/>
      <w:r w:rsidRPr="003D49EB">
        <w:t xml:space="preserve"> solicitada.</w:t>
      </w:r>
    </w:p>
    <w:p w14:paraId="05B91A3F" w14:textId="33743170" w:rsidR="003B1015" w:rsidRDefault="003B1015" w:rsidP="009A4683">
      <w:pPr>
        <w:pStyle w:val="Ttulo2"/>
      </w:pPr>
      <w:bookmarkStart w:id="93" w:name="_Toc530498006"/>
      <w:bookmarkStart w:id="94" w:name="_Toc88915006"/>
      <w:r w:rsidRPr="003D49EB">
        <w:t>Proyecto de vida</w:t>
      </w:r>
      <w:bookmarkEnd w:id="93"/>
      <w:bookmarkEnd w:id="94"/>
    </w:p>
    <w:p w14:paraId="0B995455" w14:textId="77777777" w:rsidR="00C72CC1" w:rsidRPr="00C72CC1" w:rsidRDefault="00C72CC1" w:rsidP="00C72CC1">
      <w:pPr>
        <w:rPr>
          <w:lang w:val="es-CR"/>
        </w:rPr>
      </w:pPr>
    </w:p>
    <w:p w14:paraId="77233B5C" w14:textId="6ED89038" w:rsidR="00C72CC1" w:rsidRDefault="00C72CC1" w:rsidP="009A4683">
      <w:pPr>
        <w:rPr>
          <w:rFonts w:eastAsia="Calibri"/>
          <w:b/>
          <w:szCs w:val="20"/>
        </w:rPr>
      </w:pPr>
      <w:r w:rsidRPr="00C72CC1">
        <w:rPr>
          <w:rFonts w:eastAsia="Calibri"/>
          <w:b/>
          <w:szCs w:val="20"/>
        </w:rPr>
        <w:t>Corte IDH. Caso Gutiérrez Soler Vs. Colombia. Sentencia de 12 de septiembre de 2005. Serie C No. 132</w:t>
      </w:r>
      <w:r>
        <w:rPr>
          <w:rFonts w:eastAsia="Calibri"/>
          <w:b/>
          <w:szCs w:val="20"/>
        </w:rPr>
        <w:t>.</w:t>
      </w:r>
    </w:p>
    <w:p w14:paraId="0149F427" w14:textId="77777777" w:rsidR="00C72CC1" w:rsidRDefault="00C72CC1" w:rsidP="009A4683">
      <w:pPr>
        <w:rPr>
          <w:rFonts w:eastAsia="Calibri"/>
          <w:b/>
          <w:szCs w:val="20"/>
        </w:rPr>
      </w:pPr>
    </w:p>
    <w:p w14:paraId="4A9781D7" w14:textId="0D282F46" w:rsidR="003B1015" w:rsidRDefault="003B1015" w:rsidP="009A4683">
      <w:r w:rsidRPr="003D49EB">
        <w:t>88.</w:t>
      </w:r>
      <w:r w:rsidRPr="003D49EB">
        <w:tab/>
        <w:t>El Tribunal considera que los hechos violatorios en contra del señor Wilson Gutiérrez Soler impidieron la realización de sus expectativas de desarrollo personal y vocacional, factibles en condiciones normales, y causaron daños irreparables a su vida, obligándolo a truncar sus lazos familiares y trasladarse al extranjero, en condiciones de soledad, penuria económica y quebranto físico y psicológico.</w:t>
      </w:r>
      <w:r w:rsidR="008B18CE" w:rsidRPr="003D49EB">
        <w:t xml:space="preserve"> </w:t>
      </w:r>
      <w:r w:rsidRPr="003D49EB">
        <w:t xml:space="preserve">Tal como el señor Gutiérrez Soler manifestó, las torturas y los hechos subsiguientes tuvieron consecuencias graves, a saber: </w:t>
      </w:r>
    </w:p>
    <w:p w14:paraId="59AA3F43" w14:textId="77777777" w:rsidR="00C72CC1" w:rsidRPr="003D49EB" w:rsidRDefault="00C72CC1" w:rsidP="009A4683"/>
    <w:p w14:paraId="315CFDDB" w14:textId="77777777" w:rsidR="003B1015" w:rsidRPr="003D49EB" w:rsidRDefault="003B1015" w:rsidP="009A4683">
      <w:pPr>
        <w:pStyle w:val="NormalNumbered"/>
        <w:spacing w:line="240" w:lineRule="auto"/>
      </w:pPr>
      <w:r w:rsidRPr="003D49EB">
        <w:t xml:space="preserve">definitivamente esto </w:t>
      </w:r>
      <w:proofErr w:type="spellStart"/>
      <w:r w:rsidRPr="003D49EB">
        <w:t>acab</w:t>
      </w:r>
      <w:proofErr w:type="spellEnd"/>
      <w:r w:rsidRPr="003D49EB">
        <w:t>[</w:t>
      </w:r>
      <w:proofErr w:type="spellStart"/>
      <w:r w:rsidRPr="003D49EB">
        <w:t>ó</w:t>
      </w:r>
      <w:proofErr w:type="spellEnd"/>
      <w:r w:rsidRPr="003D49EB">
        <w:t>] mi vida – y no sólo la mía – la de mi hijo, la de mi esposa […]. Mi familia se perdió, el vínculo familiar de padres-hijos se perdió […].</w:t>
      </w:r>
      <w:r w:rsidR="008B18CE" w:rsidRPr="003D49EB">
        <w:t xml:space="preserve"> </w:t>
      </w:r>
      <w:r w:rsidRPr="003D49EB">
        <w:t>No solamente me quitaron mi propio valor, sino me quitaron mi familia, mis padres.</w:t>
      </w:r>
      <w:r w:rsidR="008B18CE" w:rsidRPr="003D49EB">
        <w:t xml:space="preserve"> </w:t>
      </w:r>
    </w:p>
    <w:p w14:paraId="578391D9" w14:textId="77777777" w:rsidR="003B1015" w:rsidRPr="003D49EB" w:rsidRDefault="003B1015" w:rsidP="009A4683">
      <w:r w:rsidRPr="003D49EB">
        <w:t>Asimismo, está probado que la forma específica de tortura que la víctima sufrió no sólo ha dejado cicatrices físicas, sino también ha disminuido de manera permanente su autoestima y su capacidad de realizar y gozar relaciones afectivas íntimas.</w:t>
      </w:r>
    </w:p>
    <w:p w14:paraId="6F69BCEB" w14:textId="77777777" w:rsidR="00C72CC1" w:rsidRDefault="00C72CC1" w:rsidP="009A4683"/>
    <w:p w14:paraId="7F9E2AC5" w14:textId="7349C078" w:rsidR="00C257FF" w:rsidRPr="003D49EB" w:rsidRDefault="003B1015" w:rsidP="009A4683">
      <w:pPr>
        <w:rPr>
          <w:szCs w:val="22"/>
        </w:rPr>
      </w:pPr>
      <w:r w:rsidRPr="003D49EB">
        <w:t>89.</w:t>
      </w:r>
      <w:r w:rsidRPr="003D49EB">
        <w:tab/>
        <w:t>Por las anteriores consideraciones, la Corte reconoce la ocurrencia de un daño al “proyecto de vida” del señor Wilson Gutiérrez Soler, derivado de la violación de sus derechos humanos.</w:t>
      </w:r>
      <w:r w:rsidR="008B18CE" w:rsidRPr="003D49EB">
        <w:t xml:space="preserve"> </w:t>
      </w:r>
      <w:r w:rsidRPr="003D49EB">
        <w:t>Como en otros casos, no obstante, el Tribunal decide no cuantificarlo en términos económicos, ya que la condena que se hace en otros puntos de la presente Sentencia contribuye a compensar al señor Wilson Gutiérrez Soler por sus d</w:t>
      </w:r>
      <w:r w:rsidR="00984FCA" w:rsidRPr="003D49EB">
        <w:t>años materiales e inmateriales […]</w:t>
      </w:r>
      <w:r w:rsidRPr="003D49EB">
        <w:t>.</w:t>
      </w:r>
      <w:r w:rsidR="008B18CE" w:rsidRPr="003D49EB">
        <w:t xml:space="preserve"> </w:t>
      </w:r>
      <w:r w:rsidRPr="003D49EB">
        <w:t>La naturaleza compleja e íntegra del daño al “proyecto de vida” exige medidas de satisfacción y garantías de no repeti</w:t>
      </w:r>
      <w:r w:rsidR="00984FCA" w:rsidRPr="003D49EB">
        <w:t xml:space="preserve">ción […] </w:t>
      </w:r>
      <w:r w:rsidRPr="003D49EB">
        <w:t>que van más allá de la esfera económica</w:t>
      </w:r>
      <w:r w:rsidR="006A660B" w:rsidRPr="003D49EB">
        <w:t>.</w:t>
      </w:r>
      <w:r w:rsidR="008B18CE" w:rsidRPr="003D49EB">
        <w:t xml:space="preserve"> </w:t>
      </w:r>
      <w:r w:rsidRPr="003D49EB">
        <w:t>Sin perjuicio de ello, el Tribunal estima que ninguna forma de reparación podría devolverle o proporcionarle las opciones de realización personal de las que se vio injustamente privado el señor Wilson Gutiérrez Soler.</w:t>
      </w:r>
    </w:p>
    <w:p w14:paraId="71DBC54B" w14:textId="0366F15C" w:rsidR="003C683C" w:rsidRPr="003D49EB" w:rsidRDefault="003C683C" w:rsidP="009A4683">
      <w:pPr>
        <w:pStyle w:val="Ttulo2"/>
      </w:pPr>
      <w:bookmarkStart w:id="95" w:name="_Toc530498007"/>
      <w:bookmarkStart w:id="96" w:name="_Toc88915007"/>
      <w:r w:rsidRPr="003D49EB">
        <w:t>Garantías de no repetición</w:t>
      </w:r>
      <w:bookmarkEnd w:id="95"/>
      <w:bookmarkEnd w:id="96"/>
    </w:p>
    <w:p w14:paraId="78015D39" w14:textId="200878D1" w:rsidR="00C72CC1" w:rsidRDefault="007C2303" w:rsidP="008A5B5C">
      <w:pPr>
        <w:pStyle w:val="Ttulo3"/>
        <w:rPr>
          <w:caps w:val="0"/>
        </w:rPr>
      </w:pPr>
      <w:bookmarkStart w:id="97" w:name="_Toc530498008"/>
      <w:bookmarkStart w:id="98" w:name="_Toc88915008"/>
      <w:r w:rsidRPr="003D49EB">
        <w:t>A)</w:t>
      </w:r>
      <w:r w:rsidR="003C683C" w:rsidRPr="003D49EB">
        <w:t xml:space="preserve"> </w:t>
      </w:r>
      <w:r w:rsidRPr="003D49EB">
        <w:rPr>
          <w:caps w:val="0"/>
        </w:rPr>
        <w:t>Implementación del protocolos de actuación</w:t>
      </w:r>
      <w:bookmarkEnd w:id="97"/>
      <w:bookmarkEnd w:id="98"/>
    </w:p>
    <w:p w14:paraId="000FBE99" w14:textId="77777777" w:rsidR="008A5B5C" w:rsidRPr="008A5B5C" w:rsidRDefault="008A5B5C" w:rsidP="008A5B5C"/>
    <w:p w14:paraId="1A656EFA" w14:textId="5ECE6C0A" w:rsidR="00C72CC1" w:rsidRDefault="00C72CC1" w:rsidP="009A4683">
      <w:pPr>
        <w:rPr>
          <w:rFonts w:eastAsia="Calibri"/>
          <w:b/>
          <w:szCs w:val="20"/>
        </w:rPr>
      </w:pPr>
      <w:r w:rsidRPr="00C72CC1">
        <w:rPr>
          <w:rFonts w:eastAsia="Calibri"/>
          <w:b/>
          <w:szCs w:val="20"/>
        </w:rPr>
        <w:t>Corte IDH. Caso Gutiérrez Soler Vs. Colombia. Sentencia de 12 de septiembre de 2005. Serie C No. 132</w:t>
      </w:r>
      <w:r>
        <w:rPr>
          <w:rFonts w:eastAsia="Calibri"/>
          <w:b/>
          <w:szCs w:val="20"/>
        </w:rPr>
        <w:t>.</w:t>
      </w:r>
      <w:r w:rsidRPr="00C72CC1">
        <w:rPr>
          <w:rFonts w:eastAsia="Calibri"/>
          <w:b/>
          <w:szCs w:val="20"/>
        </w:rPr>
        <w:t xml:space="preserve"> </w:t>
      </w:r>
    </w:p>
    <w:p w14:paraId="1F88D134" w14:textId="77777777" w:rsidR="00C72CC1" w:rsidRDefault="00C72CC1" w:rsidP="009A4683">
      <w:pPr>
        <w:rPr>
          <w:rFonts w:eastAsia="Calibri"/>
          <w:b/>
          <w:szCs w:val="20"/>
        </w:rPr>
      </w:pPr>
    </w:p>
    <w:p w14:paraId="16A26769" w14:textId="3D93C037" w:rsidR="009F232F" w:rsidRDefault="009F232F" w:rsidP="009A4683">
      <w:r w:rsidRPr="003D49EB">
        <w:t>109.</w:t>
      </w:r>
      <w:r w:rsidRPr="003D49EB">
        <w:tab/>
        <w:t>La Corte observa que la perito Ma</w:t>
      </w:r>
      <w:r w:rsidR="00140DC1" w:rsidRPr="003D49EB">
        <w:t xml:space="preserve">ría Cristina </w:t>
      </w:r>
      <w:proofErr w:type="spellStart"/>
      <w:r w:rsidR="00140DC1" w:rsidRPr="003D49EB">
        <w:t>Nunes</w:t>
      </w:r>
      <w:proofErr w:type="spellEnd"/>
      <w:r w:rsidR="00140DC1" w:rsidRPr="003D49EB">
        <w:t xml:space="preserve"> de </w:t>
      </w:r>
      <w:proofErr w:type="spellStart"/>
      <w:r w:rsidR="00140DC1" w:rsidRPr="003D49EB">
        <w:t>Mendonça</w:t>
      </w:r>
      <w:proofErr w:type="spellEnd"/>
      <w:r w:rsidR="00140DC1" w:rsidRPr="003D49EB">
        <w:t xml:space="preserve"> […] </w:t>
      </w:r>
      <w:r w:rsidRPr="003D49EB">
        <w:t>refirió que los exámenes practicados al señor Wilson Gutiérrez Soler son incompletos, ya que no estuvieron acompañados de registros fotográficos, así como tampoco se realizó un examen de lesiones internas.</w:t>
      </w:r>
      <w:r w:rsidR="008B18CE" w:rsidRPr="003D49EB">
        <w:t xml:space="preserve"> </w:t>
      </w:r>
      <w:r w:rsidRPr="003D49EB">
        <w:t xml:space="preserve">La perito indicó que dichas omisiones incidieron en la interpretación posterior de los exámenes y en el resultado de los </w:t>
      </w:r>
      <w:r w:rsidRPr="003D49EB">
        <w:lastRenderedPageBreak/>
        <w:t>procesos internos que se adelantaron por estos hechos.</w:t>
      </w:r>
      <w:r w:rsidR="008B18CE" w:rsidRPr="003D49EB">
        <w:t xml:space="preserve"> </w:t>
      </w:r>
      <w:r w:rsidRPr="003D49EB">
        <w:t>Asimismo, destacó la importancia de que se apliquen a casos de tortura los parámetros contenidos en el Protocolo de Estambul, pues éste describe la forma como deben realizarse los exámenes médicos y elaborarse los dictámenes respecto de víctimas de tortura o tratos crueles, inhumanos y degradantes. En razón de ello, la perito precisó que la observancia de dichos parámetros evita que tales hechos pasen desapercibidos y queden en la impunidad.</w:t>
      </w:r>
    </w:p>
    <w:p w14:paraId="6841CC34" w14:textId="77777777" w:rsidR="003F0886" w:rsidRPr="003D49EB" w:rsidRDefault="003F0886" w:rsidP="009A4683"/>
    <w:p w14:paraId="34CDF16A" w14:textId="5C4EC54C" w:rsidR="00C257FF" w:rsidRDefault="009F232F" w:rsidP="009A4683">
      <w:r w:rsidRPr="003D49EB">
        <w:t>110.</w:t>
      </w:r>
      <w:r w:rsidRPr="003D49EB">
        <w:tab/>
        <w:t>En tal sentido, la Corte estima que la difusión e implementación de los parámetros establecidos en el Protocolo de Estambul puede contribuir eficazmente a la protección del derecho a la integridad personal en Colombia. Por ello, considera que el Estado debe adoptar un programa de formación que tenga en cuenta dichas normas internacionales, el cual debe estar dirigido a los médicos que cumplen sus funciones en los centros de detención oficiales y a los funcionarios del Instituto Nacional de Medicina Legal y Ciencias Forenses, así como a los fiscales y jueces encargados de la investigación y el juzgamiento de hechos como los que han afectado al señor Wilson Gutiérrez Soler, con el fin de que dichos funcionarios cuenten con los elementos técnicos y científicos necesarios para evaluar posibles situaciones de tortura o tratos crueles, inhumanos o degradantes. Asimismo, el Tribunal considera necesario que dicho programa de formación incluya el caso del señor Wilson Gutiérrez Soler como una medida dirigida a prevenir la repetición de los hechos.</w:t>
      </w:r>
    </w:p>
    <w:p w14:paraId="54F3D1F8" w14:textId="77777777" w:rsidR="004D2ABD" w:rsidRPr="003D49EB" w:rsidRDefault="004D2ABD" w:rsidP="009A4683"/>
    <w:p w14:paraId="5BB33291" w14:textId="6D068AE3" w:rsidR="003B1015" w:rsidRPr="003D49EB" w:rsidRDefault="004D2ABD" w:rsidP="009A4683">
      <w:pPr>
        <w:pStyle w:val="Caso"/>
        <w:tabs>
          <w:tab w:val="clear" w:pos="6042"/>
        </w:tabs>
        <w:spacing w:after="100" w:afterAutospacing="1"/>
        <w:rPr>
          <w:b w:val="0"/>
        </w:rPr>
      </w:pPr>
      <w:r w:rsidRPr="004D2ABD">
        <w:t xml:space="preserve">Corte IDH. Caso </w:t>
      </w:r>
      <w:proofErr w:type="spellStart"/>
      <w:r w:rsidRPr="004D2ABD">
        <w:t>Baldeón</w:t>
      </w:r>
      <w:proofErr w:type="spellEnd"/>
      <w:r w:rsidRPr="004D2ABD">
        <w:t xml:space="preserve"> García Vs. Perú. Fondo, Reparaciones y Costas. Sentencia de 6 de abril de 2006. Serie C No. 147.</w:t>
      </w:r>
      <w:r w:rsidR="009F232F" w:rsidRPr="003D49EB">
        <w:t xml:space="preserve"> </w:t>
      </w:r>
    </w:p>
    <w:p w14:paraId="04A7D453" w14:textId="77777777" w:rsidR="009F232F" w:rsidRPr="003D49EB" w:rsidRDefault="009F232F" w:rsidP="009A4683">
      <w:r w:rsidRPr="003D49EB">
        <w:t>199.</w:t>
      </w:r>
      <w:r w:rsidRPr="003D49EB">
        <w:tab/>
        <w:t xml:space="preserve">Tomando en cuenta lo señalado por el Estado en el párrafo anterior, este Tribunal considera que el Estado debe emprender con seriedad, en un plazo razonable, todas las acciones necesarias para identificar, juzgar y sancionar a todos los autores materiales e intelectuales de las violaciones cometidas en perjuicio del señor Bernabé </w:t>
      </w:r>
      <w:proofErr w:type="spellStart"/>
      <w:r w:rsidRPr="003D49EB">
        <w:t>Baldeón</w:t>
      </w:r>
      <w:proofErr w:type="spellEnd"/>
      <w:r w:rsidRPr="003D49EB">
        <w:t xml:space="preserve"> García, para los efectos penales y cualesquiera otros que pudieran resultar de la investigación de los hechos. Los familiares de la víctima o sus representantes deberán tener pleno acceso y capacidad de actuar en todas las etapas e instancias de los procesos penales internos instaurados en el presente caso, de acuerdo con la ley interna y la Convención Americana. Los resultados de estos procesos deberán ser públicamente divulgados por el Estado, de manera tal que la sociedad peruana pueda conocer la verdad acerca de los hechos del presente caso.</w:t>
      </w:r>
    </w:p>
    <w:p w14:paraId="28E8EDB5" w14:textId="77777777" w:rsidR="003F0886" w:rsidRDefault="003F0886" w:rsidP="009A4683"/>
    <w:p w14:paraId="358919FE" w14:textId="3F43D902" w:rsidR="003B1015" w:rsidRDefault="009F232F" w:rsidP="009A4683">
      <w:r w:rsidRPr="003D49EB">
        <w:t>200.</w:t>
      </w:r>
      <w:r w:rsidRPr="003D49EB">
        <w:tab/>
        <w:t>Los referidos procedimientos, además, deben tomar en consideración las normas internacionales de documentación e interpretación de los elementos de prueba forense respecto de la comisión de actos de tortura y particularmente las definidas en el Manual para la investigación y documentación eficaces de la tortura y otros tratos o penas crueles, inhumanos o degradantes (“el Protocolo de Estambul”)</w:t>
      </w:r>
      <w:r w:rsidR="003C683C" w:rsidRPr="003D49EB">
        <w:t>.</w:t>
      </w:r>
    </w:p>
    <w:p w14:paraId="5A7216B9" w14:textId="77777777" w:rsidR="008C6BA4" w:rsidRPr="003D49EB" w:rsidRDefault="008C6BA4" w:rsidP="009A4683"/>
    <w:p w14:paraId="67B6F4B2" w14:textId="5CABB985" w:rsidR="00CB4ABA" w:rsidRPr="003D49EB" w:rsidRDefault="00BD210B" w:rsidP="009A4683">
      <w:pPr>
        <w:pStyle w:val="Caso"/>
        <w:tabs>
          <w:tab w:val="clear" w:pos="6042"/>
        </w:tabs>
        <w:spacing w:after="100" w:afterAutospacing="1"/>
        <w:rPr>
          <w:rFonts w:cs="Verdana"/>
          <w:b w:val="0"/>
          <w:bCs/>
        </w:rPr>
      </w:pPr>
      <w:r w:rsidRPr="003D49EB">
        <w:rPr>
          <w:rFonts w:cs="Verdana"/>
          <w:bCs/>
        </w:rPr>
        <w:t>Corte IDH. Caso Fernández Ortega y otros Vs. México. Excepción Preliminar, Fondo, Reparaciones y Costas. Sentencia de 30 de agosto de 2010. Serie C No. 215</w:t>
      </w:r>
      <w:r w:rsidR="00CB4ABA" w:rsidRPr="003D49EB">
        <w:rPr>
          <w:rFonts w:cs="Verdana"/>
          <w:bCs/>
        </w:rPr>
        <w:t>.</w:t>
      </w:r>
    </w:p>
    <w:p w14:paraId="70D63F2E" w14:textId="28B98100" w:rsidR="00CB4ABA" w:rsidRDefault="00CB4ABA" w:rsidP="009A4683">
      <w:r w:rsidRPr="003D49EB">
        <w:t>255.</w:t>
      </w:r>
      <w:r w:rsidRPr="003D49EB">
        <w:tab/>
        <w:t xml:space="preserve">El Tribunal toma nota y valora lo informado por el Estado sobre la existencia de los instrumentos mencionados y las actividades que se han venido realizando en las entidades federativas respecto de algunos de ellos. Sin embargo, la Corte no cuenta con el documento de “contextualización nacional” del Protocolo de Estambul ni cuenta con información suficiente sobre su aplicación en el estado de Guerrero. Por otra parte, la Corte observa positivamente la existencia de la Norma Oficial Mexicana NOM-046-SSA2-2005, la cual contiene criterios aplicables para la prevención y atención de violencia sexual y contra las mujeres y estándares de detección e investigación para el personal de salud. Sin embargo, el Tribunal nota </w:t>
      </w:r>
      <w:r w:rsidRPr="003D49EB">
        <w:lastRenderedPageBreak/>
        <w:t>que a pesar que en su introducción señala que “con la elaboración de esta Norma Oficial Mexicana, [el Estado] da cumplimiento a los compromisos adquiridos en los foros internacionales” y que la misma habría resultado de un acuerdo ante la Comisión Interamericana, el artículo 8 de dicha norma establece que la misma “no tiene concordancia con lineamientos o recomendaciones mexicanas e internacionales”, es decir, que no se adecuaría a estándares internacionales. La Comisión Interamericana y los representantes no se pronunciaron sobre ninguno de los instrumentos señalados por el Estado.</w:t>
      </w:r>
    </w:p>
    <w:p w14:paraId="6F96AFCB" w14:textId="77777777" w:rsidR="003D6807" w:rsidRPr="003D49EB" w:rsidRDefault="003D6807" w:rsidP="009A4683"/>
    <w:p w14:paraId="6642C4D7" w14:textId="02E2F3F0" w:rsidR="00CB4ABA" w:rsidRDefault="00CB4ABA" w:rsidP="009A4683">
      <w:r w:rsidRPr="003D49EB">
        <w:t>256.</w:t>
      </w:r>
      <w:r w:rsidRPr="003D49EB">
        <w:tab/>
        <w:t xml:space="preserve">La Corte ha ordenado en otros casos adecuar, teniendo en cuenta los estándares internacionales, los parámetros para investigar y realizar el análisis forense. En el presente caso el Tribunal considera necesario que el Estado continúe con el proceso de estandarización de un protocolo de actuación, para el ámbito federal y del estado de Guerrero, respecto de la atención e investigación de violaciones sexuales considerando, en lo pertinente, los parámetros establecidos en el Protocolo de Estambul y en las Directrices de la Organización Mundial de la Salud antes indicados. </w:t>
      </w:r>
    </w:p>
    <w:p w14:paraId="57B4F4F5" w14:textId="77777777" w:rsidR="003D6807" w:rsidRPr="003D49EB" w:rsidRDefault="003D6807" w:rsidP="009A4683"/>
    <w:p w14:paraId="2A865322" w14:textId="3C476749" w:rsidR="00CB4ABA" w:rsidRPr="003D49EB" w:rsidRDefault="005A2A26" w:rsidP="009A4683">
      <w:pPr>
        <w:pStyle w:val="Caso"/>
        <w:spacing w:after="100" w:afterAutospacing="1"/>
        <w:rPr>
          <w:rFonts w:cs="Verdana"/>
          <w:b w:val="0"/>
          <w:bCs/>
        </w:rPr>
      </w:pPr>
      <w:r w:rsidRPr="003D49EB">
        <w:rPr>
          <w:rFonts w:cs="Verdana"/>
          <w:bCs/>
        </w:rPr>
        <w:t>Corte IDH. Caso Espinoza Gonzáles Vs. Perú. Excepciones Preliminares, Fondo, Reparaciones y Costas. Sentencia de 20 de noviembre de 2014. Serie C No. 289.</w:t>
      </w:r>
    </w:p>
    <w:p w14:paraId="7E300FD2" w14:textId="542652BE" w:rsidR="00CB4ABA" w:rsidRDefault="00CB4ABA" w:rsidP="009A4683">
      <w:r w:rsidRPr="003D49EB">
        <w:t>322.</w:t>
      </w:r>
      <w:r w:rsidRPr="003D49EB">
        <w:tab/>
        <w:t>La Corte valora los esfuerzos del Estado para combatir la violencia por razón de género. Estos avances, en especial los judiciales, constituyen indicadores estructurales relacionados con la adopción de normas que, en principio, tienen como objetivo enfrentar la violencia y discriminación contra la mujer. Sin embargo, el Perú no aportó información a la Corte sobre la efectividad de las medidas adoptadas. De igual modo, es menester que se incluyan en los protocolos de investigación en el Perú los estándares establecidos en esta Sentencia. En virtud de lo anterior, la Corte ordena al Estado del Perú, en un plazo razonable, desarrollar protocolos de investigación para que los casos de tortura, violación sexual y otras formas de violencia sexual sean debidamente investigados y juzgados de conformidad con los estándares indicados en los párrafos 248, 249, 251, 252, 255 y 256 de esta Sentencia, los cuales se refieren a la recaudación de prueba en casos de tortura y violencia sexual, y en particular, a la recopilación de declaraciones y la realización de evaluaciones médicas y psicológicas.</w:t>
      </w:r>
    </w:p>
    <w:p w14:paraId="5D41178B" w14:textId="77777777" w:rsidR="003D6807" w:rsidRPr="003D49EB" w:rsidRDefault="003D6807" w:rsidP="009A4683"/>
    <w:p w14:paraId="270A8CEE" w14:textId="77777777" w:rsidR="00FF1546" w:rsidRPr="003D49EB" w:rsidRDefault="00FF1546" w:rsidP="009A4683">
      <w:pPr>
        <w:pStyle w:val="Caso"/>
        <w:spacing w:after="100" w:afterAutospacing="1"/>
        <w:rPr>
          <w:rFonts w:cs="Verdana"/>
        </w:rPr>
      </w:pPr>
      <w:r w:rsidRPr="003D49EB">
        <w:rPr>
          <w:rFonts w:cs="Verdana"/>
        </w:rPr>
        <w:t>Corte IDH. Caso López Soto y otros Vs. Venezuela. Fondo, Reparaciones y Costas. Sentencia de 26 de septiembre de 2018. Serie C No. 362.</w:t>
      </w:r>
    </w:p>
    <w:p w14:paraId="13B959CD" w14:textId="42FC3585" w:rsidR="00FF1546" w:rsidRDefault="00FF1546" w:rsidP="009A4683">
      <w:r w:rsidRPr="003D49EB">
        <w:t>332.</w:t>
      </w:r>
      <w:r w:rsidRPr="003D49EB">
        <w:tab/>
        <w:t>En consecuencia, la Corte estima conveniente ordenar al Estado que adopte, implemente y fiscalice protocolos que establezcan criterios claros y uniformes, tanto para la investigación como para la atención integral de actos de violencia que tengan como víctima a una mujer. Estos instrumentos deberán ajustarse a los lineamientos establecidos en el Protocolo de Estambul, el Manual sobre la Prevención e Investigación efectiva de Ejecuciones Extrajudiciales, Arbitrarias y Sumarias de Naciones Unidas y las directrices de la Organización Mundial de la Salud, así como en la jurisprudencia de este Tribunal. Estos protocolos deberán estar dirigidos al personal de la administración de justicia y del ámbito de la salud, pública o privada, que de alguna manera, intervenga en la investigación, tramitación y/o atención de casos de mujeres víctimas de alguno de los tipos de violencia señalados en la Ley Orgánica sobre el Derecho de las Mujeres a una Vida Libre de Violencia.</w:t>
      </w:r>
    </w:p>
    <w:p w14:paraId="609E0EEC" w14:textId="77777777" w:rsidR="003D6807" w:rsidRPr="003D49EB" w:rsidRDefault="003D6807" w:rsidP="009A4683"/>
    <w:p w14:paraId="1182AB07" w14:textId="25310524" w:rsidR="00FC7585" w:rsidRPr="003D49EB" w:rsidRDefault="00FC7585" w:rsidP="009A4683">
      <w:pPr>
        <w:pStyle w:val="Caso"/>
        <w:spacing w:after="100" w:afterAutospacing="1"/>
        <w:rPr>
          <w:rFonts w:cs="Verdana"/>
        </w:rPr>
      </w:pPr>
      <w:r w:rsidRPr="003D49EB">
        <w:rPr>
          <w:rFonts w:cs="Verdana"/>
        </w:rPr>
        <w:t>Corte IDH. Caso Mujeres Víctimas de Tortura Sexual en Atenco Vs. México. Excepción Preliminar, Fondo, Reparaciones y Costas. Sentencia de 28 de noviembre de 2018. Serie C No. 371.</w:t>
      </w:r>
    </w:p>
    <w:p w14:paraId="57E585ED" w14:textId="2AAF6B3F" w:rsidR="00FC7585" w:rsidRDefault="00FC7585" w:rsidP="009A4683">
      <w:r w:rsidRPr="003D49EB">
        <w:lastRenderedPageBreak/>
        <w:t>360.</w:t>
      </w:r>
      <w:r w:rsidRPr="003D49EB">
        <w:tab/>
        <w:t>La Corte observa que el Estado creó, en septiembre de 2015, un Mecanismo de Seguimiento de Casos de Tortura Sexual cometida contra Mujeres. México informó que el funcionamiento de este Mecanismo de Seguimiento “contempla la emisión de un dictamen conjunto con recomendaciones sobre los casos revisados, a fin de que las autoridades competentes actúen aplicando los más altos estándares internacionales en materia de derechos humanos de las mujeres, o reciban asistencia técnica para avanzar en la investigación de tortura sexual”, con el objetivo de revisar y atender los casos de mujeres denunciantes de tortura sexual en México. Sin perjuicio de que el Tribunal reconoce las acciones llevadas a cabo como consecuencia del mecanismo, la Corte considera pertinente ordenar al Estado que, en un plazo de dos años, elabore un plan de fortalecimiento calendarizado del Mecanismo de Seguimiento de Casos de Tortura Sexual cometida contra Mujeres, que incluya la asignación de recursos para el cumplimiento de sus funciones en el territorio nacional, y establezca plazos anuales para la presentación de informes</w:t>
      </w:r>
      <w:r w:rsidR="006A660B" w:rsidRPr="003D49EB">
        <w:t>.</w:t>
      </w:r>
      <w:r w:rsidRPr="003D49EB">
        <w:t xml:space="preserve"> En particular, el Estado deberá incluir dentro de las funciones del mecanismo la realización de un diagnóstico del fenómeno de la tortura sexual a mujeres en el país y formular propuestas de políticas públicas de manera periódica.</w:t>
      </w:r>
    </w:p>
    <w:p w14:paraId="26B21EDD" w14:textId="77777777" w:rsidR="003D6807" w:rsidRPr="003D49EB" w:rsidRDefault="003D6807" w:rsidP="009A4683"/>
    <w:p w14:paraId="28201533" w14:textId="1A56C8FF" w:rsidR="008F6B5B" w:rsidRDefault="008F6B5B" w:rsidP="009A4683">
      <w:pPr>
        <w:pStyle w:val="Caso"/>
      </w:pPr>
      <w:r w:rsidRPr="003D49EB">
        <w:t>Corte IDH. Caso Azul Rojas Marín y otra Vs. Perú. Excepciones Preliminares, Fondo, Reparaciones y Costas. Sentencia de 12 de marzo de 2020. Serie C No. 402.</w:t>
      </w:r>
    </w:p>
    <w:p w14:paraId="0E69A7C5" w14:textId="77777777" w:rsidR="003D6807" w:rsidRPr="003D49EB" w:rsidRDefault="003D6807" w:rsidP="009A4683">
      <w:pPr>
        <w:pStyle w:val="Caso"/>
      </w:pPr>
    </w:p>
    <w:p w14:paraId="1F83F2B7" w14:textId="0655EED6" w:rsidR="008F6B5B" w:rsidRDefault="008F6B5B" w:rsidP="009A4683">
      <w:pPr>
        <w:rPr>
          <w:szCs w:val="20"/>
        </w:rPr>
      </w:pPr>
      <w:r w:rsidRPr="003D49EB">
        <w:rPr>
          <w:szCs w:val="20"/>
        </w:rPr>
        <w:t xml:space="preserve">242. En consecuencia, la Corte considera conveniente ordenar al Estado adoptar, en el plazo de dos </w:t>
      </w:r>
      <w:proofErr w:type="spellStart"/>
      <w:r w:rsidRPr="003D49EB">
        <w:rPr>
          <w:szCs w:val="20"/>
        </w:rPr>
        <w:t>años</w:t>
      </w:r>
      <w:proofErr w:type="spellEnd"/>
      <w:r w:rsidRPr="003D49EB">
        <w:rPr>
          <w:szCs w:val="20"/>
        </w:rPr>
        <w:t xml:space="preserve"> contados a partir de la </w:t>
      </w:r>
      <w:proofErr w:type="spellStart"/>
      <w:r w:rsidRPr="003D49EB">
        <w:rPr>
          <w:szCs w:val="20"/>
        </w:rPr>
        <w:t>notificación</w:t>
      </w:r>
      <w:proofErr w:type="spellEnd"/>
      <w:r w:rsidRPr="003D49EB">
        <w:rPr>
          <w:szCs w:val="20"/>
        </w:rPr>
        <w:t xml:space="preserve"> de la presente Sentencia, un protocolo de </w:t>
      </w:r>
      <w:proofErr w:type="spellStart"/>
      <w:r w:rsidRPr="003D49EB">
        <w:rPr>
          <w:szCs w:val="20"/>
        </w:rPr>
        <w:t>investigación</w:t>
      </w:r>
      <w:proofErr w:type="spellEnd"/>
      <w:r w:rsidRPr="003D49EB">
        <w:rPr>
          <w:szCs w:val="20"/>
        </w:rPr>
        <w:t xml:space="preserve"> y </w:t>
      </w:r>
      <w:proofErr w:type="spellStart"/>
      <w:r w:rsidRPr="003D49EB">
        <w:rPr>
          <w:szCs w:val="20"/>
        </w:rPr>
        <w:t>administración</w:t>
      </w:r>
      <w:proofErr w:type="spellEnd"/>
      <w:r w:rsidRPr="003D49EB">
        <w:rPr>
          <w:szCs w:val="20"/>
        </w:rPr>
        <w:t xml:space="preserve"> de justicia durante los procesos penales para casos de personas LGBTI </w:t>
      </w:r>
      <w:proofErr w:type="spellStart"/>
      <w:r w:rsidRPr="003D49EB">
        <w:rPr>
          <w:szCs w:val="20"/>
        </w:rPr>
        <w:t>víctimas</w:t>
      </w:r>
      <w:proofErr w:type="spellEnd"/>
      <w:r w:rsidRPr="003D49EB">
        <w:rPr>
          <w:szCs w:val="20"/>
        </w:rPr>
        <w:t xml:space="preserve"> de violencia. El protocolo debe tener </w:t>
      </w:r>
      <w:proofErr w:type="spellStart"/>
      <w:r w:rsidRPr="003D49EB">
        <w:rPr>
          <w:szCs w:val="20"/>
        </w:rPr>
        <w:t>carácter</w:t>
      </w:r>
      <w:proofErr w:type="spellEnd"/>
      <w:r w:rsidRPr="003D49EB">
        <w:rPr>
          <w:szCs w:val="20"/>
        </w:rPr>
        <w:t xml:space="preserve"> vinculante de acuerdo con la normativa interna. Este protocolo </w:t>
      </w:r>
      <w:proofErr w:type="spellStart"/>
      <w:r w:rsidRPr="003D49EB">
        <w:rPr>
          <w:szCs w:val="20"/>
        </w:rPr>
        <w:t>debera</w:t>
      </w:r>
      <w:proofErr w:type="spellEnd"/>
      <w:r w:rsidRPr="003D49EB">
        <w:rPr>
          <w:szCs w:val="20"/>
        </w:rPr>
        <w:t xml:space="preserve">́ estar dirigido a todos los funcionarios </w:t>
      </w:r>
      <w:proofErr w:type="spellStart"/>
      <w:r w:rsidRPr="003D49EB">
        <w:rPr>
          <w:szCs w:val="20"/>
        </w:rPr>
        <w:t>públicos</w:t>
      </w:r>
      <w:proofErr w:type="spellEnd"/>
      <w:r w:rsidRPr="003D49EB">
        <w:rPr>
          <w:szCs w:val="20"/>
        </w:rPr>
        <w:t xml:space="preserve"> que intervengan en la </w:t>
      </w:r>
      <w:proofErr w:type="spellStart"/>
      <w:r w:rsidRPr="003D49EB">
        <w:rPr>
          <w:szCs w:val="20"/>
        </w:rPr>
        <w:t>investigación</w:t>
      </w:r>
      <w:proofErr w:type="spellEnd"/>
      <w:r w:rsidRPr="003D49EB">
        <w:rPr>
          <w:szCs w:val="20"/>
        </w:rPr>
        <w:t xml:space="preserve"> y </w:t>
      </w:r>
      <w:proofErr w:type="spellStart"/>
      <w:r w:rsidRPr="003D49EB">
        <w:rPr>
          <w:szCs w:val="20"/>
        </w:rPr>
        <w:t>tramitación</w:t>
      </w:r>
      <w:proofErr w:type="spellEnd"/>
      <w:r w:rsidRPr="003D49EB">
        <w:rPr>
          <w:szCs w:val="20"/>
        </w:rPr>
        <w:t xml:space="preserve"> de procesos penales en casos de personas LGBTI </w:t>
      </w:r>
      <w:proofErr w:type="spellStart"/>
      <w:r w:rsidRPr="003D49EB">
        <w:rPr>
          <w:szCs w:val="20"/>
        </w:rPr>
        <w:t>víctimas</w:t>
      </w:r>
      <w:proofErr w:type="spellEnd"/>
      <w:r w:rsidRPr="003D49EB">
        <w:rPr>
          <w:szCs w:val="20"/>
        </w:rPr>
        <w:t xml:space="preserve"> de violencia, </w:t>
      </w:r>
      <w:proofErr w:type="spellStart"/>
      <w:r w:rsidRPr="003D49EB">
        <w:rPr>
          <w:szCs w:val="20"/>
        </w:rPr>
        <w:t>asi</w:t>
      </w:r>
      <w:proofErr w:type="spellEnd"/>
      <w:r w:rsidRPr="003D49EB">
        <w:rPr>
          <w:szCs w:val="20"/>
        </w:rPr>
        <w:t xml:space="preserve">́ como al personal de salud </w:t>
      </w:r>
      <w:proofErr w:type="spellStart"/>
      <w:r w:rsidRPr="003D49EB">
        <w:rPr>
          <w:szCs w:val="20"/>
        </w:rPr>
        <w:t>público</w:t>
      </w:r>
      <w:proofErr w:type="spellEnd"/>
      <w:r w:rsidRPr="003D49EB">
        <w:rPr>
          <w:szCs w:val="20"/>
        </w:rPr>
        <w:t xml:space="preserve"> y privado que participe en dichas investigaciones. Dicho protocolo </w:t>
      </w:r>
      <w:proofErr w:type="spellStart"/>
      <w:r w:rsidRPr="003D49EB">
        <w:rPr>
          <w:szCs w:val="20"/>
        </w:rPr>
        <w:t>debera</w:t>
      </w:r>
      <w:proofErr w:type="spellEnd"/>
      <w:r w:rsidRPr="003D49EB">
        <w:rPr>
          <w:szCs w:val="20"/>
        </w:rPr>
        <w:t>́ incluir la obligación de que los agentes estatales se abstengan de hacer uso de presunciones y estereotipos discriminatorios al momento de recibir, procesar e investigar las denuncias.</w:t>
      </w:r>
    </w:p>
    <w:p w14:paraId="29B8390C" w14:textId="77777777" w:rsidR="003D6807" w:rsidRPr="003D49EB" w:rsidRDefault="003D6807" w:rsidP="009A4683">
      <w:pPr>
        <w:rPr>
          <w:szCs w:val="20"/>
        </w:rPr>
      </w:pPr>
    </w:p>
    <w:p w14:paraId="2C1B8B8A" w14:textId="24031B31" w:rsidR="008F6B5B" w:rsidRPr="003D49EB" w:rsidRDefault="008F6B5B" w:rsidP="009A4683">
      <w:pPr>
        <w:rPr>
          <w:szCs w:val="20"/>
        </w:rPr>
      </w:pPr>
      <w:r w:rsidRPr="003D49EB">
        <w:rPr>
          <w:szCs w:val="20"/>
        </w:rPr>
        <w:t xml:space="preserve">243. En la </w:t>
      </w:r>
      <w:proofErr w:type="spellStart"/>
      <w:r w:rsidRPr="003D49EB">
        <w:rPr>
          <w:szCs w:val="20"/>
        </w:rPr>
        <w:t>elaboración</w:t>
      </w:r>
      <w:proofErr w:type="spellEnd"/>
      <w:r w:rsidRPr="003D49EB">
        <w:rPr>
          <w:szCs w:val="20"/>
        </w:rPr>
        <w:t xml:space="preserve"> del protocolo el Estado </w:t>
      </w:r>
      <w:proofErr w:type="spellStart"/>
      <w:r w:rsidRPr="003D49EB">
        <w:rPr>
          <w:szCs w:val="20"/>
        </w:rPr>
        <w:t>debera</w:t>
      </w:r>
      <w:proofErr w:type="spellEnd"/>
      <w:r w:rsidRPr="003D49EB">
        <w:rPr>
          <w:szCs w:val="20"/>
        </w:rPr>
        <w:t xml:space="preserve">́ tener en cuenta los criterios establecidos en los instrumentos internacionales en materia de tortura, </w:t>
      </w:r>
      <w:proofErr w:type="spellStart"/>
      <w:r w:rsidRPr="003D49EB">
        <w:rPr>
          <w:szCs w:val="20"/>
        </w:rPr>
        <w:t>asi</w:t>
      </w:r>
      <w:proofErr w:type="spellEnd"/>
      <w:r w:rsidRPr="003D49EB">
        <w:rPr>
          <w:szCs w:val="20"/>
        </w:rPr>
        <w:t xml:space="preserve">́ como los </w:t>
      </w:r>
      <w:proofErr w:type="spellStart"/>
      <w:r w:rsidRPr="003D49EB">
        <w:rPr>
          <w:szCs w:val="20"/>
        </w:rPr>
        <w:t>estándares</w:t>
      </w:r>
      <w:proofErr w:type="spellEnd"/>
      <w:r w:rsidRPr="003D49EB">
        <w:rPr>
          <w:szCs w:val="20"/>
        </w:rPr>
        <w:t xml:space="preserve"> desarrollados en esta Sentencia y en la jurisprudencia de la Corte. En este sentido, dicho protocolo </w:t>
      </w:r>
      <w:proofErr w:type="spellStart"/>
      <w:r w:rsidRPr="003D49EB">
        <w:rPr>
          <w:szCs w:val="20"/>
        </w:rPr>
        <w:t>debera</w:t>
      </w:r>
      <w:proofErr w:type="spellEnd"/>
      <w:r w:rsidRPr="003D49EB">
        <w:rPr>
          <w:szCs w:val="20"/>
        </w:rPr>
        <w:t xml:space="preserve">́ tener en </w:t>
      </w:r>
      <w:proofErr w:type="spellStart"/>
      <w:r w:rsidRPr="003D49EB">
        <w:rPr>
          <w:szCs w:val="20"/>
        </w:rPr>
        <w:t>consideración</w:t>
      </w:r>
      <w:proofErr w:type="spellEnd"/>
      <w:r w:rsidRPr="003D49EB">
        <w:rPr>
          <w:szCs w:val="20"/>
        </w:rPr>
        <w:t xml:space="preserve"> que la debida diligencia en casos de violencia sexual y tortura contra personas LGBTI implica la </w:t>
      </w:r>
      <w:proofErr w:type="spellStart"/>
      <w:r w:rsidRPr="003D49EB">
        <w:rPr>
          <w:szCs w:val="20"/>
        </w:rPr>
        <w:t>adopción</w:t>
      </w:r>
      <w:proofErr w:type="spellEnd"/>
      <w:r w:rsidRPr="003D49EB">
        <w:rPr>
          <w:szCs w:val="20"/>
        </w:rPr>
        <w:t xml:space="preserve"> de medidas especiales y el desarrollo de un proceso con miras a evitar su </w:t>
      </w:r>
      <w:proofErr w:type="spellStart"/>
      <w:r w:rsidRPr="003D49EB">
        <w:rPr>
          <w:szCs w:val="20"/>
        </w:rPr>
        <w:t>revictimización</w:t>
      </w:r>
      <w:proofErr w:type="spellEnd"/>
      <w:r w:rsidRPr="003D49EB">
        <w:rPr>
          <w:szCs w:val="20"/>
        </w:rPr>
        <w:t xml:space="preserve">, por lo que </w:t>
      </w:r>
      <w:proofErr w:type="spellStart"/>
      <w:r w:rsidRPr="003D49EB">
        <w:rPr>
          <w:szCs w:val="20"/>
        </w:rPr>
        <w:t>debera</w:t>
      </w:r>
      <w:proofErr w:type="spellEnd"/>
      <w:r w:rsidRPr="003D49EB">
        <w:rPr>
          <w:szCs w:val="20"/>
        </w:rPr>
        <w:t xml:space="preserve">́ incluir, como </w:t>
      </w:r>
      <w:proofErr w:type="spellStart"/>
      <w:r w:rsidRPr="003D49EB">
        <w:rPr>
          <w:szCs w:val="20"/>
        </w:rPr>
        <w:t>mínimo</w:t>
      </w:r>
      <w:proofErr w:type="spellEnd"/>
      <w:r w:rsidRPr="003D49EB">
        <w:rPr>
          <w:szCs w:val="20"/>
        </w:rPr>
        <w:t xml:space="preserve"> los </w:t>
      </w:r>
      <w:proofErr w:type="spellStart"/>
      <w:r w:rsidRPr="003D49EB">
        <w:rPr>
          <w:szCs w:val="20"/>
        </w:rPr>
        <w:t>estándares</w:t>
      </w:r>
      <w:proofErr w:type="spellEnd"/>
      <w:r w:rsidRPr="003D49EB">
        <w:rPr>
          <w:szCs w:val="20"/>
        </w:rPr>
        <w:t xml:space="preserve"> desarrollados en los </w:t>
      </w:r>
      <w:proofErr w:type="spellStart"/>
      <w:r w:rsidRPr="003D49EB">
        <w:rPr>
          <w:szCs w:val="20"/>
        </w:rPr>
        <w:t>párrafos</w:t>
      </w:r>
      <w:proofErr w:type="spellEnd"/>
      <w:r w:rsidRPr="003D49EB">
        <w:rPr>
          <w:szCs w:val="20"/>
        </w:rPr>
        <w:t xml:space="preserve"> 178 a 204 de la presente Sentencia. Respecto del personal de salud, </w:t>
      </w:r>
      <w:proofErr w:type="spellStart"/>
      <w:r w:rsidRPr="003D49EB">
        <w:rPr>
          <w:szCs w:val="20"/>
        </w:rPr>
        <w:t>público</w:t>
      </w:r>
      <w:proofErr w:type="spellEnd"/>
      <w:r w:rsidRPr="003D49EB">
        <w:rPr>
          <w:szCs w:val="20"/>
        </w:rPr>
        <w:t xml:space="preserve"> o privado, el protocolo </w:t>
      </w:r>
      <w:proofErr w:type="spellStart"/>
      <w:r w:rsidRPr="003D49EB">
        <w:rPr>
          <w:szCs w:val="20"/>
        </w:rPr>
        <w:t>debera</w:t>
      </w:r>
      <w:proofErr w:type="spellEnd"/>
      <w:r w:rsidRPr="003D49EB">
        <w:rPr>
          <w:szCs w:val="20"/>
        </w:rPr>
        <w:t xml:space="preserve">́ incluir, conforme con los </w:t>
      </w:r>
      <w:proofErr w:type="spellStart"/>
      <w:r w:rsidRPr="003D49EB">
        <w:rPr>
          <w:szCs w:val="20"/>
        </w:rPr>
        <w:t>estándares</w:t>
      </w:r>
      <w:proofErr w:type="spellEnd"/>
      <w:r w:rsidRPr="003D49EB">
        <w:rPr>
          <w:szCs w:val="20"/>
        </w:rPr>
        <w:t xml:space="preserve"> desarrollados en los </w:t>
      </w:r>
      <w:proofErr w:type="spellStart"/>
      <w:r w:rsidRPr="003D49EB">
        <w:rPr>
          <w:szCs w:val="20"/>
        </w:rPr>
        <w:t>párrafos</w:t>
      </w:r>
      <w:proofErr w:type="spellEnd"/>
      <w:r w:rsidRPr="003D49EB">
        <w:rPr>
          <w:szCs w:val="20"/>
        </w:rPr>
        <w:t xml:space="preserve"> 187 a 193 y 198 a 204 de la presente Sentencia, al menos los siguientes lineamientos: i) los </w:t>
      </w:r>
      <w:proofErr w:type="spellStart"/>
      <w:r w:rsidRPr="003D49EB">
        <w:rPr>
          <w:szCs w:val="20"/>
        </w:rPr>
        <w:t>exámenes</w:t>
      </w:r>
      <w:proofErr w:type="spellEnd"/>
      <w:r w:rsidRPr="003D49EB">
        <w:rPr>
          <w:szCs w:val="20"/>
        </w:rPr>
        <w:t xml:space="preserve"> </w:t>
      </w:r>
      <w:proofErr w:type="spellStart"/>
      <w:r w:rsidRPr="003D49EB">
        <w:rPr>
          <w:szCs w:val="20"/>
        </w:rPr>
        <w:t>médicos</w:t>
      </w:r>
      <w:proofErr w:type="spellEnd"/>
      <w:r w:rsidRPr="003D49EB">
        <w:rPr>
          <w:szCs w:val="20"/>
        </w:rPr>
        <w:t xml:space="preserve"> practicados a la presunta </w:t>
      </w:r>
      <w:proofErr w:type="spellStart"/>
      <w:r w:rsidRPr="003D49EB">
        <w:rPr>
          <w:szCs w:val="20"/>
        </w:rPr>
        <w:t>víctima</w:t>
      </w:r>
      <w:proofErr w:type="spellEnd"/>
      <w:r w:rsidRPr="003D49EB">
        <w:rPr>
          <w:szCs w:val="20"/>
        </w:rPr>
        <w:t xml:space="preserve"> deben ser realizados con consentimiento previo e informado, sin la presencia de agentes de seguridad u otros agentes estatales, </w:t>
      </w:r>
      <w:proofErr w:type="spellStart"/>
      <w:r w:rsidRPr="003D49EB">
        <w:rPr>
          <w:szCs w:val="20"/>
        </w:rPr>
        <w:t>evitándose</w:t>
      </w:r>
      <w:proofErr w:type="spellEnd"/>
      <w:r w:rsidRPr="003D49EB">
        <w:rPr>
          <w:szCs w:val="20"/>
        </w:rPr>
        <w:t xml:space="preserve">, en la medida de lo posible, </w:t>
      </w:r>
      <w:proofErr w:type="spellStart"/>
      <w:r w:rsidRPr="003D49EB">
        <w:rPr>
          <w:szCs w:val="20"/>
        </w:rPr>
        <w:t>más</w:t>
      </w:r>
      <w:proofErr w:type="spellEnd"/>
      <w:r w:rsidRPr="003D49EB">
        <w:rPr>
          <w:szCs w:val="20"/>
        </w:rPr>
        <w:t xml:space="preserve"> de una </w:t>
      </w:r>
      <w:proofErr w:type="spellStart"/>
      <w:r w:rsidRPr="003D49EB">
        <w:rPr>
          <w:szCs w:val="20"/>
        </w:rPr>
        <w:t>evaluación</w:t>
      </w:r>
      <w:proofErr w:type="spellEnd"/>
      <w:r w:rsidRPr="003D49EB">
        <w:rPr>
          <w:szCs w:val="20"/>
        </w:rPr>
        <w:t xml:space="preserve"> </w:t>
      </w:r>
      <w:proofErr w:type="spellStart"/>
      <w:r w:rsidRPr="003D49EB">
        <w:rPr>
          <w:szCs w:val="20"/>
        </w:rPr>
        <w:t>física</w:t>
      </w:r>
      <w:proofErr w:type="spellEnd"/>
      <w:r w:rsidRPr="003D49EB">
        <w:rPr>
          <w:szCs w:val="20"/>
        </w:rPr>
        <w:t xml:space="preserve">; ii) al tomar conocimiento de actos de </w:t>
      </w:r>
      <w:proofErr w:type="spellStart"/>
      <w:r w:rsidRPr="003D49EB">
        <w:rPr>
          <w:szCs w:val="20"/>
        </w:rPr>
        <w:t>violación</w:t>
      </w:r>
      <w:proofErr w:type="spellEnd"/>
      <w:r w:rsidRPr="003D49EB">
        <w:rPr>
          <w:szCs w:val="20"/>
        </w:rPr>
        <w:t xml:space="preserve"> sexual, es necesario que se realice de inmediato un examen </w:t>
      </w:r>
      <w:proofErr w:type="spellStart"/>
      <w:r w:rsidRPr="003D49EB">
        <w:rPr>
          <w:szCs w:val="20"/>
        </w:rPr>
        <w:t>médico</w:t>
      </w:r>
      <w:proofErr w:type="spellEnd"/>
      <w:r w:rsidRPr="003D49EB">
        <w:rPr>
          <w:szCs w:val="20"/>
        </w:rPr>
        <w:t xml:space="preserve"> y </w:t>
      </w:r>
      <w:proofErr w:type="spellStart"/>
      <w:r w:rsidRPr="003D49EB">
        <w:rPr>
          <w:szCs w:val="20"/>
        </w:rPr>
        <w:t>psicológico</w:t>
      </w:r>
      <w:proofErr w:type="spellEnd"/>
      <w:r w:rsidRPr="003D49EB">
        <w:rPr>
          <w:szCs w:val="20"/>
        </w:rPr>
        <w:t xml:space="preserve"> completo y detallado por personal </w:t>
      </w:r>
      <w:proofErr w:type="spellStart"/>
      <w:r w:rsidRPr="003D49EB">
        <w:rPr>
          <w:szCs w:val="20"/>
        </w:rPr>
        <w:t>idóneo</w:t>
      </w:r>
      <w:proofErr w:type="spellEnd"/>
      <w:r w:rsidRPr="003D49EB">
        <w:rPr>
          <w:szCs w:val="20"/>
        </w:rPr>
        <w:t xml:space="preserve"> y capacitado, en lo posible del sexo que la </w:t>
      </w:r>
      <w:proofErr w:type="spellStart"/>
      <w:r w:rsidRPr="003D49EB">
        <w:rPr>
          <w:szCs w:val="20"/>
        </w:rPr>
        <w:t>víctima</w:t>
      </w:r>
      <w:proofErr w:type="spellEnd"/>
      <w:r w:rsidRPr="003D49EB">
        <w:rPr>
          <w:szCs w:val="20"/>
        </w:rPr>
        <w:t xml:space="preserve"> indique, </w:t>
      </w:r>
      <w:proofErr w:type="spellStart"/>
      <w:r w:rsidRPr="003D49EB">
        <w:rPr>
          <w:szCs w:val="20"/>
        </w:rPr>
        <w:t>ofreciéndole</w:t>
      </w:r>
      <w:proofErr w:type="spellEnd"/>
      <w:r w:rsidRPr="003D49EB">
        <w:rPr>
          <w:szCs w:val="20"/>
        </w:rPr>
        <w:t xml:space="preserve"> que sea </w:t>
      </w:r>
      <w:proofErr w:type="spellStart"/>
      <w:r w:rsidRPr="003D49EB">
        <w:rPr>
          <w:szCs w:val="20"/>
        </w:rPr>
        <w:t>acompañada</w:t>
      </w:r>
      <w:proofErr w:type="spellEnd"/>
      <w:r w:rsidRPr="003D49EB">
        <w:rPr>
          <w:szCs w:val="20"/>
        </w:rPr>
        <w:t xml:space="preserve"> por alguien de su confianza si </w:t>
      </w:r>
      <w:proofErr w:type="spellStart"/>
      <w:r w:rsidRPr="003D49EB">
        <w:rPr>
          <w:szCs w:val="20"/>
        </w:rPr>
        <w:t>asi</w:t>
      </w:r>
      <w:proofErr w:type="spellEnd"/>
      <w:r w:rsidRPr="003D49EB">
        <w:rPr>
          <w:szCs w:val="20"/>
        </w:rPr>
        <w:t xml:space="preserve">́ lo desea; iii) dicho examen </w:t>
      </w:r>
      <w:proofErr w:type="spellStart"/>
      <w:r w:rsidRPr="003D49EB">
        <w:rPr>
          <w:szCs w:val="20"/>
        </w:rPr>
        <w:t>debera</w:t>
      </w:r>
      <w:proofErr w:type="spellEnd"/>
      <w:r w:rsidRPr="003D49EB">
        <w:rPr>
          <w:szCs w:val="20"/>
        </w:rPr>
        <w:t xml:space="preserve">́ ser realizado de conformidad con protocolos dirigidos </w:t>
      </w:r>
      <w:proofErr w:type="spellStart"/>
      <w:r w:rsidRPr="003D49EB">
        <w:rPr>
          <w:szCs w:val="20"/>
        </w:rPr>
        <w:t>específicamente</w:t>
      </w:r>
      <w:proofErr w:type="spellEnd"/>
      <w:r w:rsidRPr="003D49EB">
        <w:rPr>
          <w:szCs w:val="20"/>
        </w:rPr>
        <w:t xml:space="preserve"> a documentar evidencias en casos de violencia sexual, y iv) en los peritajes </w:t>
      </w:r>
      <w:proofErr w:type="spellStart"/>
      <w:r w:rsidRPr="003D49EB">
        <w:rPr>
          <w:szCs w:val="20"/>
        </w:rPr>
        <w:t>psicológicos</w:t>
      </w:r>
      <w:proofErr w:type="spellEnd"/>
      <w:r w:rsidRPr="003D49EB">
        <w:rPr>
          <w:szCs w:val="20"/>
        </w:rPr>
        <w:t xml:space="preserve"> y/o </w:t>
      </w:r>
      <w:proofErr w:type="spellStart"/>
      <w:r w:rsidRPr="003D49EB">
        <w:rPr>
          <w:szCs w:val="20"/>
        </w:rPr>
        <w:t>psiquiátricos</w:t>
      </w:r>
      <w:proofErr w:type="spellEnd"/>
      <w:r w:rsidRPr="003D49EB">
        <w:rPr>
          <w:szCs w:val="20"/>
        </w:rPr>
        <w:t xml:space="preserve">, los </w:t>
      </w:r>
      <w:proofErr w:type="spellStart"/>
      <w:r w:rsidRPr="003D49EB">
        <w:rPr>
          <w:szCs w:val="20"/>
        </w:rPr>
        <w:t>médicos</w:t>
      </w:r>
      <w:proofErr w:type="spellEnd"/>
      <w:r w:rsidRPr="003D49EB">
        <w:rPr>
          <w:szCs w:val="20"/>
        </w:rPr>
        <w:t xml:space="preserve"> </w:t>
      </w:r>
      <w:proofErr w:type="spellStart"/>
      <w:r w:rsidRPr="003D49EB">
        <w:rPr>
          <w:szCs w:val="20"/>
        </w:rPr>
        <w:t>deberán</w:t>
      </w:r>
      <w:proofErr w:type="spellEnd"/>
      <w:r w:rsidRPr="003D49EB">
        <w:rPr>
          <w:szCs w:val="20"/>
        </w:rPr>
        <w:t xml:space="preserve"> abstenerse de indagar sobre los antecedentes sexuales de la </w:t>
      </w:r>
      <w:proofErr w:type="spellStart"/>
      <w:r w:rsidRPr="003D49EB">
        <w:rPr>
          <w:szCs w:val="20"/>
        </w:rPr>
        <w:t>víctima</w:t>
      </w:r>
      <w:proofErr w:type="spellEnd"/>
      <w:r w:rsidRPr="003D49EB">
        <w:rPr>
          <w:szCs w:val="20"/>
        </w:rPr>
        <w:t xml:space="preserve"> y, en general, utilizar estereotipos de </w:t>
      </w:r>
      <w:proofErr w:type="spellStart"/>
      <w:r w:rsidRPr="003D49EB">
        <w:rPr>
          <w:szCs w:val="20"/>
        </w:rPr>
        <w:t>orientación</w:t>
      </w:r>
      <w:proofErr w:type="spellEnd"/>
      <w:r w:rsidRPr="003D49EB">
        <w:rPr>
          <w:szCs w:val="20"/>
        </w:rPr>
        <w:t xml:space="preserve"> sexual o </w:t>
      </w:r>
      <w:proofErr w:type="spellStart"/>
      <w:r w:rsidRPr="003D49EB">
        <w:rPr>
          <w:szCs w:val="20"/>
        </w:rPr>
        <w:t>expresión</w:t>
      </w:r>
      <w:proofErr w:type="spellEnd"/>
      <w:r w:rsidRPr="003D49EB">
        <w:rPr>
          <w:szCs w:val="20"/>
        </w:rPr>
        <w:t xml:space="preserve"> de </w:t>
      </w:r>
      <w:proofErr w:type="spellStart"/>
      <w:r w:rsidRPr="003D49EB">
        <w:rPr>
          <w:szCs w:val="20"/>
        </w:rPr>
        <w:t>género</w:t>
      </w:r>
      <w:proofErr w:type="spellEnd"/>
      <w:r w:rsidRPr="003D49EB">
        <w:rPr>
          <w:szCs w:val="20"/>
        </w:rPr>
        <w:t>.</w:t>
      </w:r>
    </w:p>
    <w:p w14:paraId="14DBEEA4" w14:textId="052D7827" w:rsidR="00E90A44" w:rsidRDefault="007C2303" w:rsidP="009A4683">
      <w:pPr>
        <w:pStyle w:val="Ttulo3"/>
        <w:rPr>
          <w:caps w:val="0"/>
        </w:rPr>
      </w:pPr>
      <w:bookmarkStart w:id="99" w:name="_Toc530498009"/>
      <w:bookmarkStart w:id="100" w:name="_Toc88915009"/>
      <w:r w:rsidRPr="003D49EB">
        <w:lastRenderedPageBreak/>
        <w:t>B)</w:t>
      </w:r>
      <w:r w:rsidR="00E90A44" w:rsidRPr="003D49EB">
        <w:t xml:space="preserve"> </w:t>
      </w:r>
      <w:r w:rsidRPr="003D49EB">
        <w:t>A</w:t>
      </w:r>
      <w:r w:rsidRPr="003D49EB">
        <w:rPr>
          <w:caps w:val="0"/>
        </w:rPr>
        <w:t>daptar legislación nacional</w:t>
      </w:r>
      <w:bookmarkEnd w:id="99"/>
      <w:bookmarkEnd w:id="100"/>
    </w:p>
    <w:p w14:paraId="3C673387" w14:textId="77777777" w:rsidR="003C3808" w:rsidRPr="003C3808" w:rsidRDefault="003C3808" w:rsidP="003C3808"/>
    <w:p w14:paraId="545ECD16" w14:textId="0B8B0B40" w:rsidR="00140DC1" w:rsidRPr="003D49EB" w:rsidRDefault="003C3808" w:rsidP="009A4683">
      <w:pPr>
        <w:spacing w:after="100" w:afterAutospacing="1"/>
        <w:rPr>
          <w:b/>
          <w:bCs/>
          <w:szCs w:val="20"/>
        </w:rPr>
      </w:pPr>
      <w:r w:rsidRPr="00B32B2B">
        <w:rPr>
          <w:b/>
          <w:szCs w:val="20"/>
        </w:rPr>
        <w:t xml:space="preserve">Corte IDH. Caso </w:t>
      </w:r>
      <w:proofErr w:type="spellStart"/>
      <w:r w:rsidRPr="00B32B2B">
        <w:rPr>
          <w:b/>
          <w:szCs w:val="20"/>
        </w:rPr>
        <w:t>Kawas</w:t>
      </w:r>
      <w:proofErr w:type="spellEnd"/>
      <w:r w:rsidRPr="00B32B2B">
        <w:rPr>
          <w:b/>
          <w:szCs w:val="20"/>
        </w:rPr>
        <w:t xml:space="preserve"> Fernández Vs. Honduras. Fondo, Reparaciones y Costas. Sentencia de 3 de abril de 2009. Serie C No. 196</w:t>
      </w:r>
      <w:r w:rsidR="00140DC1" w:rsidRPr="003D49EB">
        <w:rPr>
          <w:b/>
          <w:bCs/>
          <w:szCs w:val="20"/>
        </w:rPr>
        <w:t>.</w:t>
      </w:r>
    </w:p>
    <w:p w14:paraId="53EEB815" w14:textId="1B7148C5" w:rsidR="00140DC1" w:rsidRDefault="00140DC1" w:rsidP="009A4683">
      <w:r w:rsidRPr="003D49EB">
        <w:t xml:space="preserve">213. </w:t>
      </w:r>
      <w:r w:rsidRPr="003D49EB">
        <w:tab/>
        <w:t>El Tribunal valora positivamente la creación del “Grupo de Investigación para las Muertes de Ambientalistas” adscrita a la Secretaría de Estado en el Despacho de Seguridad como respuesta a los hechos de violencia generados en contra de ese grupo […]. No obstante, reitera que las amenazas y los atentados a la integridad y a la vida de los defensores de derechos humanos y la impunidad de este tipo de estos hechos, son particularmente graves en una sociedad democrática. De conformidad con la obligación general de respetar y garantizar los derechos establecida en el artículo 1.1 de la Convención, al Estado tiene el deber de adoptar medidas de carácter legislativo, administrativo o judicial, o el perfeccionamiento de las existentes, que garanticen la libre realización de las actividades de los defensores del medio ambiente; la protección inmediata a los defensores del medio ambiente ante el peligro o amenazas que se susciten con motivo de su labor, y la investigación inmediata, seria y eficaz de los actos que pongan en peligro la vida o la integridad de los defensores ambientalistas, con motivo de su trabajo.</w:t>
      </w:r>
    </w:p>
    <w:p w14:paraId="64016503" w14:textId="77777777" w:rsidR="003D6807" w:rsidRPr="003D49EB" w:rsidRDefault="003D6807" w:rsidP="009A4683"/>
    <w:p w14:paraId="0818D779" w14:textId="61AC8C3C" w:rsidR="00E90A44" w:rsidRPr="003D49EB" w:rsidRDefault="003D6807" w:rsidP="009A4683">
      <w:pPr>
        <w:spacing w:after="100" w:afterAutospacing="1"/>
        <w:ind w:right="-7"/>
        <w:rPr>
          <w:b/>
          <w:bCs/>
          <w:szCs w:val="20"/>
          <w:shd w:val="clear" w:color="auto" w:fill="FFFFFF"/>
        </w:rPr>
      </w:pPr>
      <w:r w:rsidRPr="00BB58A8">
        <w:rPr>
          <w:b/>
          <w:bCs/>
          <w:szCs w:val="20"/>
          <w:shd w:val="clear" w:color="auto" w:fill="FFFFFF"/>
        </w:rPr>
        <w:t xml:space="preserve">Corte IDH. Caso </w:t>
      </w:r>
      <w:proofErr w:type="spellStart"/>
      <w:r w:rsidRPr="00BB58A8">
        <w:rPr>
          <w:b/>
          <w:bCs/>
          <w:szCs w:val="20"/>
          <w:shd w:val="clear" w:color="auto" w:fill="FFFFFF"/>
        </w:rPr>
        <w:t>Nadege</w:t>
      </w:r>
      <w:proofErr w:type="spellEnd"/>
      <w:r w:rsidRPr="00BB58A8">
        <w:rPr>
          <w:b/>
          <w:bCs/>
          <w:szCs w:val="20"/>
          <w:shd w:val="clear" w:color="auto" w:fill="FFFFFF"/>
        </w:rPr>
        <w:t xml:space="preserve"> </w:t>
      </w:r>
      <w:proofErr w:type="spellStart"/>
      <w:r w:rsidRPr="00BB58A8">
        <w:rPr>
          <w:b/>
          <w:bCs/>
          <w:szCs w:val="20"/>
          <w:shd w:val="clear" w:color="auto" w:fill="FFFFFF"/>
        </w:rPr>
        <w:t>Dorzema</w:t>
      </w:r>
      <w:proofErr w:type="spellEnd"/>
      <w:r w:rsidRPr="00BB58A8">
        <w:rPr>
          <w:b/>
          <w:bCs/>
          <w:szCs w:val="20"/>
          <w:shd w:val="clear" w:color="auto" w:fill="FFFFFF"/>
        </w:rPr>
        <w:t xml:space="preserve"> y otros Vs. República Dominicana. Fondo, Reparaciones y Costas. Sentencia de 24 de octubre de 2012. Serie C No. 251</w:t>
      </w:r>
      <w:r w:rsidR="005D2592" w:rsidRPr="003D49EB">
        <w:rPr>
          <w:b/>
          <w:bCs/>
          <w:szCs w:val="20"/>
          <w:shd w:val="clear" w:color="auto" w:fill="FFFFFF"/>
        </w:rPr>
        <w:t>.</w:t>
      </w:r>
    </w:p>
    <w:p w14:paraId="3C0EE844" w14:textId="77777777" w:rsidR="00025383" w:rsidRPr="003D49EB" w:rsidRDefault="00025383" w:rsidP="009A4683">
      <w:r w:rsidRPr="003D49EB">
        <w:rPr>
          <w:rFonts w:cs="Arial"/>
          <w:lang w:val="es-ES_tradnl"/>
        </w:rPr>
        <w:t>274.</w:t>
      </w:r>
      <w:r w:rsidRPr="003D49EB">
        <w:rPr>
          <w:rFonts w:cs="Arial"/>
          <w:lang w:val="es-ES_tradnl"/>
        </w:rPr>
        <w:tab/>
        <w:t>L</w:t>
      </w:r>
      <w:r w:rsidRPr="003D49EB">
        <w:t xml:space="preserve">a Corte recuerda que el Estado debe prevenir la recurrencia de violaciones a los derechos humanos como las ocurridas en el presente caso y, por eso, adoptar todas las medidas legales, administrativas y de otra índole que sean necesarias para evitar que hechos similares vuelvan a ocurrir en el futuro, en cumplimiento de sus deberes de prevención y garantía de los derechos fundamentales reconocidos por la Convención Americana. En particular, de conformidad con el artículo 2 de la Convención, el Estado tiene el deber de adoptar las medidas necesarias para hacer efectivo el ejercicio de los derechos y libertades reconocidos en la Convención. </w:t>
      </w:r>
    </w:p>
    <w:p w14:paraId="38D13A82" w14:textId="77777777" w:rsidR="003D6807" w:rsidRDefault="003D6807" w:rsidP="009A4683">
      <w:pPr>
        <w:rPr>
          <w:rFonts w:cs="Verdana"/>
        </w:rPr>
      </w:pPr>
    </w:p>
    <w:p w14:paraId="22F15218" w14:textId="338CBA3B" w:rsidR="00025383" w:rsidRPr="003D49EB" w:rsidRDefault="00025383" w:rsidP="009A4683">
      <w:pPr>
        <w:rPr>
          <w:rFonts w:cs="Verdana"/>
        </w:rPr>
      </w:pPr>
      <w:r w:rsidRPr="003D49EB">
        <w:rPr>
          <w:rFonts w:cs="Verdana"/>
        </w:rPr>
        <w:t>275.</w:t>
      </w:r>
      <w:r w:rsidRPr="003D49EB">
        <w:rPr>
          <w:rFonts w:cs="Verdana"/>
        </w:rPr>
        <w:tab/>
        <w:t>En particular, el Estado deberá, en un plazo razonable, adecuar su legislación interna a la Convención Americana, incorporando los estándares internacionales sobre el uso de la fuerza por los funcionarios encargados de aplicar la ley,</w:t>
      </w:r>
      <w:r w:rsidRPr="003D49EB">
        <w:t xml:space="preserve"> de acuerdo con los principios de legalidad, proporcionalidad, necesidad y excepcionalidad, así como los criterios de uso diferenciado y progresivo de la fuerza. Dicha legislación </w:t>
      </w:r>
      <w:r w:rsidRPr="003D49EB">
        <w:rPr>
          <w:rFonts w:cs="Verdana"/>
        </w:rPr>
        <w:t>deberá contener las especificaciones señaladas en el capítulo VII-1 de la presente Sentencia.</w:t>
      </w:r>
    </w:p>
    <w:p w14:paraId="7CC6F8B1" w14:textId="2FFE6B50" w:rsidR="00C72CC1" w:rsidRDefault="007C2303" w:rsidP="008A5B5C">
      <w:pPr>
        <w:pStyle w:val="Ttulo3"/>
        <w:rPr>
          <w:caps w:val="0"/>
        </w:rPr>
      </w:pPr>
      <w:bookmarkStart w:id="101" w:name="_Toc530498010"/>
      <w:bookmarkStart w:id="102" w:name="_Toc88915010"/>
      <w:r w:rsidRPr="003D49EB">
        <w:t>C)</w:t>
      </w:r>
      <w:r w:rsidR="00D666CC" w:rsidRPr="003D49EB">
        <w:t xml:space="preserve"> </w:t>
      </w:r>
      <w:r w:rsidRPr="003D49EB">
        <w:t>O</w:t>
      </w:r>
      <w:r w:rsidRPr="003D49EB">
        <w:rPr>
          <w:caps w:val="0"/>
        </w:rPr>
        <w:t>bligación de investigar</w:t>
      </w:r>
      <w:bookmarkEnd w:id="101"/>
      <w:bookmarkEnd w:id="102"/>
    </w:p>
    <w:p w14:paraId="4E679E39" w14:textId="77777777" w:rsidR="008A5B5C" w:rsidRPr="008A5B5C" w:rsidRDefault="008A5B5C" w:rsidP="008A5B5C"/>
    <w:p w14:paraId="5352D64B" w14:textId="7CD97667" w:rsidR="00C72CC1" w:rsidRDefault="00C72CC1" w:rsidP="009A4683">
      <w:pPr>
        <w:rPr>
          <w:rFonts w:eastAsia="Calibri" w:cs="Verdana"/>
          <w:b/>
          <w:szCs w:val="20"/>
        </w:rPr>
      </w:pPr>
      <w:r w:rsidRPr="00C72CC1">
        <w:rPr>
          <w:rFonts w:eastAsia="Calibri" w:cs="Verdana"/>
          <w:b/>
          <w:szCs w:val="20"/>
        </w:rPr>
        <w:t>Corte IDH. Caso Gutiérrez Soler Vs. Colombia. Sentencia de 12 de septiembre de 2005. Serie C No. 132</w:t>
      </w:r>
      <w:r w:rsidR="005C6B23">
        <w:rPr>
          <w:rFonts w:eastAsia="Calibri" w:cs="Verdana"/>
          <w:b/>
          <w:szCs w:val="20"/>
        </w:rPr>
        <w:t>.</w:t>
      </w:r>
      <w:r w:rsidRPr="00C72CC1">
        <w:rPr>
          <w:rFonts w:eastAsia="Calibri" w:cs="Verdana"/>
          <w:b/>
          <w:szCs w:val="20"/>
        </w:rPr>
        <w:t xml:space="preserve"> </w:t>
      </w:r>
    </w:p>
    <w:p w14:paraId="4550B282" w14:textId="77777777" w:rsidR="00C72CC1" w:rsidRDefault="00C72CC1" w:rsidP="009A4683">
      <w:pPr>
        <w:rPr>
          <w:rFonts w:eastAsia="Calibri" w:cs="Verdana"/>
          <w:b/>
          <w:szCs w:val="20"/>
        </w:rPr>
      </w:pPr>
    </w:p>
    <w:p w14:paraId="06278F1A" w14:textId="3DA05138" w:rsidR="003B1015" w:rsidRDefault="003B1015" w:rsidP="009A4683">
      <w:r w:rsidRPr="003D49EB">
        <w:t>95.</w:t>
      </w:r>
      <w:r w:rsidRPr="003D49EB">
        <w:tab/>
        <w:t>De esta manera, todavía prevalece, once años después de los hechos, la impunidad de los autores de los mismos.</w:t>
      </w:r>
      <w:r w:rsidR="008B18CE" w:rsidRPr="003D49EB">
        <w:t xml:space="preserve"> </w:t>
      </w:r>
      <w:r w:rsidRPr="003D49EB">
        <w:t>La Corte ha definido la impunidad como la falta en su conjunto de investigación, persecución, captura, enjuiciamiento y condena de los responsables de las violaciones de los derechos protegidos por la Convención Americana.</w:t>
      </w:r>
      <w:r w:rsidR="008B18CE" w:rsidRPr="003D49EB">
        <w:t xml:space="preserve"> </w:t>
      </w:r>
      <w:r w:rsidRPr="003D49EB">
        <w:t>El Estado está obligado a combatir esta situación por todos los medios disponibles, ya que ésta propicia la repetición crónica de las violaciones de derechos humanos y la total indefensión de las víctimas y de sus familiares.</w:t>
      </w:r>
    </w:p>
    <w:p w14:paraId="4A58984D" w14:textId="77777777" w:rsidR="005C6B23" w:rsidRPr="003D49EB" w:rsidRDefault="005C6B23" w:rsidP="009A4683"/>
    <w:p w14:paraId="36A992F7" w14:textId="77777777" w:rsidR="003B1015" w:rsidRPr="003D49EB" w:rsidRDefault="003B1015" w:rsidP="009A4683">
      <w:r w:rsidRPr="003D49EB">
        <w:t>96.</w:t>
      </w:r>
      <w:r w:rsidRPr="003D49EB">
        <w:tab/>
        <w:t>Por lo anterior, el Estado debe investigar efectivamente los hechos del presente caso con el fin de identificar, juzgar y sancionar a los autores de la detención y torturas al señor Wilson Gutiérrez Soler.</w:t>
      </w:r>
      <w:r w:rsidR="008B18CE" w:rsidRPr="003D49EB">
        <w:t xml:space="preserve"> </w:t>
      </w:r>
      <w:r w:rsidRPr="003D49EB">
        <w:t xml:space="preserve">Los resultados de este proceso deberán </w:t>
      </w:r>
      <w:r w:rsidRPr="003D49EB">
        <w:lastRenderedPageBreak/>
        <w:t>ser públicamente divulgados por el Estado, de manera tal que la sociedad colombiana pueda conocer la verdad acerca de los hechos de este caso.</w:t>
      </w:r>
    </w:p>
    <w:p w14:paraId="41956B54" w14:textId="77777777" w:rsidR="005C6B23" w:rsidRDefault="005C6B23" w:rsidP="004D2ABD"/>
    <w:p w14:paraId="0F910818" w14:textId="43D79C56" w:rsidR="00C72CC1" w:rsidRDefault="003B1015" w:rsidP="004D2ABD">
      <w:r w:rsidRPr="003D49EB">
        <w:t>97.</w:t>
      </w:r>
      <w:r w:rsidRPr="003D49EB">
        <w:tab/>
        <w:t>Asimismo, es preciso que tribunales penales ordinarios competentes investiguen y sancionen a los miembros de la fuerza pública que participan en casos de violaciones a derechos humanos.</w:t>
      </w:r>
      <w:r w:rsidR="008B18CE" w:rsidRPr="003D49EB">
        <w:t xml:space="preserve"> </w:t>
      </w:r>
      <w:r w:rsidRPr="003D49EB">
        <w:t>Por otra parte, el Estado deberá abstenerse de recurrir a figuras como la amnistía, el indulto, la prescripción y el establecimiento de excluyentes de responsabilidad, así como medidas que pretendan impedir la persecución penal o suprimir los efectos de una sentencia condenatoria.</w:t>
      </w:r>
    </w:p>
    <w:p w14:paraId="42D466BF" w14:textId="77777777" w:rsidR="004D2ABD" w:rsidRPr="004D2ABD" w:rsidRDefault="004D2ABD" w:rsidP="004D2ABD"/>
    <w:p w14:paraId="6C2F86E4" w14:textId="77E9E705" w:rsidR="009F232F" w:rsidRPr="003D49EB" w:rsidRDefault="004D2ABD" w:rsidP="009A4683">
      <w:pPr>
        <w:pStyle w:val="Caso"/>
        <w:spacing w:after="100" w:afterAutospacing="1"/>
        <w:rPr>
          <w:rFonts w:cs="Verdana"/>
          <w:b w:val="0"/>
        </w:rPr>
      </w:pPr>
      <w:r w:rsidRPr="004D2ABD">
        <w:rPr>
          <w:rFonts w:cs="Verdana"/>
        </w:rPr>
        <w:t xml:space="preserve">Corte IDH. Caso </w:t>
      </w:r>
      <w:proofErr w:type="spellStart"/>
      <w:r w:rsidRPr="004D2ABD">
        <w:rPr>
          <w:rFonts w:cs="Verdana"/>
        </w:rPr>
        <w:t>Baldeón</w:t>
      </w:r>
      <w:proofErr w:type="spellEnd"/>
      <w:r w:rsidRPr="004D2ABD">
        <w:rPr>
          <w:rFonts w:cs="Verdana"/>
        </w:rPr>
        <w:t xml:space="preserve"> García Vs. Perú. Fondo, Reparaciones y Costas. Sentencia de 6 de abril de 2006. Serie C No. 147.</w:t>
      </w:r>
      <w:r w:rsidR="009F232F" w:rsidRPr="003D49EB">
        <w:rPr>
          <w:rFonts w:cs="Verdana"/>
        </w:rPr>
        <w:t xml:space="preserve"> </w:t>
      </w:r>
    </w:p>
    <w:p w14:paraId="0495DD95" w14:textId="5EA3F815" w:rsidR="004D2ABD" w:rsidRDefault="009F232F" w:rsidP="005C6B23">
      <w:r w:rsidRPr="003D49EB">
        <w:t>199.</w:t>
      </w:r>
      <w:r w:rsidRPr="003D49EB">
        <w:tab/>
        <w:t xml:space="preserve">Tomando en cuenta lo señalado por el Estado en el párrafo anterior, este Tribunal considera que el Estado debe emprender con seriedad, en un plazo razonable, todas las acciones necesarias para identificar, juzgar y sancionar a todos los autores materiales e intelectuales de las violaciones cometidas en perjuicio del señor Bernabé </w:t>
      </w:r>
      <w:proofErr w:type="spellStart"/>
      <w:r w:rsidRPr="003D49EB">
        <w:t>Baldeón</w:t>
      </w:r>
      <w:proofErr w:type="spellEnd"/>
      <w:r w:rsidRPr="003D49EB">
        <w:t xml:space="preserve"> García, para los efectos penales y cualesquiera otros que pudieran resultar de la investigación de los hechos. Los familiares de la víctima o sus representantes deberán tener pleno acceso y capacidad de actuar en todas las etapas e instancias de los procesos penales internos instaurados en el presente caso, de acuerdo con la ley interna y la Convención Americana. Los resultados de estos procesos deberán ser públicamente divulgados por el Estado, de manera tal que la sociedad peruana pueda conocer la verdad acerca de los hechos del presente caso.</w:t>
      </w:r>
    </w:p>
    <w:p w14:paraId="53711718" w14:textId="77777777" w:rsidR="005C6B23" w:rsidRPr="005C6B23" w:rsidRDefault="005C6B23" w:rsidP="005C6B23"/>
    <w:p w14:paraId="7A9A9334" w14:textId="348FC8EA" w:rsidR="000B208A" w:rsidRPr="003D49EB" w:rsidRDefault="000B208A" w:rsidP="009A4683">
      <w:pPr>
        <w:pStyle w:val="Caso"/>
        <w:tabs>
          <w:tab w:val="clear" w:pos="6042"/>
        </w:tabs>
        <w:spacing w:after="100" w:afterAutospacing="1"/>
        <w:rPr>
          <w:rFonts w:cs="Verdana"/>
          <w:b w:val="0"/>
        </w:rPr>
      </w:pPr>
      <w:r w:rsidRPr="003D49EB">
        <w:rPr>
          <w:rFonts w:cs="Verdana"/>
        </w:rPr>
        <w:t xml:space="preserve">Caso </w:t>
      </w:r>
      <w:proofErr w:type="spellStart"/>
      <w:r w:rsidRPr="003D49EB">
        <w:rPr>
          <w:rFonts w:cs="Verdana"/>
        </w:rPr>
        <w:t>Ximenes</w:t>
      </w:r>
      <w:proofErr w:type="spellEnd"/>
      <w:r w:rsidRPr="003D49EB">
        <w:rPr>
          <w:rFonts w:cs="Verdana"/>
        </w:rPr>
        <w:t xml:space="preserve"> </w:t>
      </w:r>
      <w:proofErr w:type="spellStart"/>
      <w:r w:rsidRPr="003D49EB">
        <w:rPr>
          <w:rFonts w:cs="Verdana"/>
        </w:rPr>
        <w:t>Lopes</w:t>
      </w:r>
      <w:proofErr w:type="spellEnd"/>
      <w:r w:rsidRPr="003D49EB">
        <w:rPr>
          <w:rFonts w:cs="Verdana"/>
        </w:rPr>
        <w:t xml:space="preserve"> Vs. Brasil. Sentencia de 4 de julio de 2006. Serie C No. 149</w:t>
      </w:r>
      <w:r w:rsidR="005C6B23">
        <w:rPr>
          <w:rFonts w:cs="Verdana"/>
        </w:rPr>
        <w:t>.</w:t>
      </w:r>
    </w:p>
    <w:p w14:paraId="19828B07" w14:textId="65EE1650" w:rsidR="00FE0DAB" w:rsidRPr="003D49EB" w:rsidRDefault="000B208A" w:rsidP="00FE0DAB">
      <w:pPr>
        <w:rPr>
          <w:b/>
          <w:szCs w:val="20"/>
        </w:rPr>
      </w:pPr>
      <w:r w:rsidRPr="003D49EB">
        <w:t>246.</w:t>
      </w:r>
      <w:r w:rsidRPr="003D49EB">
        <w:tab/>
        <w:t xml:space="preserve">En consecuencia, los familiares de las víctimas tienen el derecho, y los Estados la correspondiente obligación, a que lo sucedido sea efectivamente investigado por las autoridades </w:t>
      </w:r>
      <w:r w:rsidRPr="003D49EB">
        <w:rPr>
          <w:szCs w:val="20"/>
        </w:rPr>
        <w:t>estatales, de que se siga un proceso contra los presuntos responsables de estos ilícitos y, en su caso, de que se les impong</w:t>
      </w:r>
      <w:r w:rsidR="001C2511" w:rsidRPr="003D49EB">
        <w:rPr>
          <w:szCs w:val="20"/>
        </w:rPr>
        <w:t>an las sanciones pertinentes</w:t>
      </w:r>
      <w:r w:rsidR="008B18CE" w:rsidRPr="003D49EB">
        <w:rPr>
          <w:szCs w:val="20"/>
        </w:rPr>
        <w:t xml:space="preserve"> </w:t>
      </w:r>
      <w:r w:rsidR="001C2511" w:rsidRPr="003D49EB">
        <w:rPr>
          <w:szCs w:val="20"/>
        </w:rPr>
        <w:t>[...]</w:t>
      </w:r>
      <w:r w:rsidRPr="003D49EB">
        <w:rPr>
          <w:szCs w:val="20"/>
        </w:rPr>
        <w:t>.</w:t>
      </w:r>
    </w:p>
    <w:p w14:paraId="3922DFEE" w14:textId="77777777" w:rsidR="005C6B23" w:rsidRDefault="005C6B23" w:rsidP="00FE0DAB">
      <w:pPr>
        <w:rPr>
          <w:szCs w:val="20"/>
        </w:rPr>
      </w:pPr>
    </w:p>
    <w:p w14:paraId="1728EECD" w14:textId="0B1B80A5" w:rsidR="00FE0DAB" w:rsidRPr="003D49EB" w:rsidRDefault="000B208A" w:rsidP="00FE0DAB">
      <w:pPr>
        <w:rPr>
          <w:szCs w:val="20"/>
        </w:rPr>
      </w:pPr>
      <w:r w:rsidRPr="003D49EB">
        <w:rPr>
          <w:szCs w:val="20"/>
        </w:rPr>
        <w:t>247.</w:t>
      </w:r>
      <w:r w:rsidRPr="003D49EB">
        <w:rPr>
          <w:szCs w:val="20"/>
        </w:rPr>
        <w:tab/>
        <w:t xml:space="preserve">En el presente caso la Corte estableció que, transcurridos más de seis años de los hechos, los autores de los tratos crueles, inhumanos y degradantes así como de la muerte del señor </w:t>
      </w:r>
      <w:proofErr w:type="spellStart"/>
      <w:r w:rsidRPr="003D49EB">
        <w:rPr>
          <w:szCs w:val="20"/>
        </w:rPr>
        <w:t>Damião</w:t>
      </w:r>
      <w:proofErr w:type="spellEnd"/>
      <w:r w:rsidRPr="003D49EB">
        <w:rPr>
          <w:szCs w:val="20"/>
        </w:rPr>
        <w:t xml:space="preserve"> </w:t>
      </w:r>
      <w:proofErr w:type="spellStart"/>
      <w:r w:rsidRPr="003D49EB">
        <w:rPr>
          <w:szCs w:val="20"/>
        </w:rPr>
        <w:t>Ximenes</w:t>
      </w:r>
      <w:proofErr w:type="spellEnd"/>
      <w:r w:rsidRPr="003D49EB">
        <w:rPr>
          <w:szCs w:val="20"/>
        </w:rPr>
        <w:t xml:space="preserve"> </w:t>
      </w:r>
      <w:proofErr w:type="spellStart"/>
      <w:r w:rsidRPr="003D49EB">
        <w:rPr>
          <w:szCs w:val="20"/>
        </w:rPr>
        <w:t>Lopes</w:t>
      </w:r>
      <w:proofErr w:type="spellEnd"/>
      <w:r w:rsidRPr="003D49EB">
        <w:rPr>
          <w:szCs w:val="20"/>
        </w:rPr>
        <w:t xml:space="preserve"> no han sido responsabilizados, prevaleciendo la impunidad.</w:t>
      </w:r>
    </w:p>
    <w:p w14:paraId="2BDB8091" w14:textId="77777777" w:rsidR="005C6B23" w:rsidRDefault="005C6B23" w:rsidP="00FE0DAB">
      <w:pPr>
        <w:rPr>
          <w:szCs w:val="20"/>
        </w:rPr>
      </w:pPr>
    </w:p>
    <w:p w14:paraId="69DCCAB3" w14:textId="09F58AD3" w:rsidR="00FE0DAB" w:rsidRDefault="000B208A" w:rsidP="00FE0DAB">
      <w:r w:rsidRPr="003D49EB">
        <w:rPr>
          <w:szCs w:val="20"/>
        </w:rPr>
        <w:t>248.</w:t>
      </w:r>
      <w:r w:rsidRPr="003D49EB">
        <w:rPr>
          <w:szCs w:val="20"/>
        </w:rPr>
        <w:tab/>
        <w:t>La Corte advierte que el Estado debe garantizar que en un plazo razonable el proceso interno tendiente a investigar y sancionar a los responsables de los hechos de este caso surta sus debidos</w:t>
      </w:r>
      <w:r w:rsidRPr="003D49EB">
        <w:t xml:space="preserve"> efectos, dando aplicabilidad directa en el derecho interno a la normativa de protección de la Convención Americana.</w:t>
      </w:r>
    </w:p>
    <w:p w14:paraId="497E0187" w14:textId="77777777" w:rsidR="00356F86" w:rsidRPr="003D49EB" w:rsidRDefault="00356F86" w:rsidP="00FE0DAB"/>
    <w:p w14:paraId="79D1218F" w14:textId="20D99568" w:rsidR="00356F86" w:rsidRDefault="00356F86" w:rsidP="009A4683">
      <w:pPr>
        <w:rPr>
          <w:b/>
          <w:szCs w:val="20"/>
          <w:lang w:val="es-CR"/>
        </w:rPr>
      </w:pPr>
      <w:r w:rsidRPr="00356F86">
        <w:rPr>
          <w:b/>
          <w:szCs w:val="20"/>
          <w:lang w:val="es-CR"/>
        </w:rPr>
        <w:t xml:space="preserve">Corte IDH. Caso Vargas </w:t>
      </w:r>
      <w:proofErr w:type="spellStart"/>
      <w:r w:rsidRPr="00356F86">
        <w:rPr>
          <w:b/>
          <w:szCs w:val="20"/>
          <w:lang w:val="es-CR"/>
        </w:rPr>
        <w:t>Areco</w:t>
      </w:r>
      <w:proofErr w:type="spellEnd"/>
      <w:r w:rsidRPr="00356F86">
        <w:rPr>
          <w:b/>
          <w:szCs w:val="20"/>
          <w:lang w:val="es-CR"/>
        </w:rPr>
        <w:t xml:space="preserve"> Vs. Paraguay. Sentencia de 26 de septiembre de 2006. Serie C No. 155</w:t>
      </w:r>
      <w:r>
        <w:rPr>
          <w:b/>
          <w:szCs w:val="20"/>
          <w:lang w:val="es-CR"/>
        </w:rPr>
        <w:t>.</w:t>
      </w:r>
    </w:p>
    <w:p w14:paraId="3DDA1915" w14:textId="77777777" w:rsidR="00356F86" w:rsidRDefault="00356F86" w:rsidP="009A4683">
      <w:pPr>
        <w:rPr>
          <w:b/>
          <w:szCs w:val="20"/>
          <w:lang w:val="es-CR"/>
        </w:rPr>
      </w:pPr>
    </w:p>
    <w:p w14:paraId="4F8E890F" w14:textId="6701745E" w:rsidR="009F232F" w:rsidRPr="003D49EB" w:rsidRDefault="009F232F" w:rsidP="009A4683">
      <w:r w:rsidRPr="003D49EB">
        <w:t>155.</w:t>
      </w:r>
      <w:r w:rsidRPr="003D49EB">
        <w:tab/>
        <w:t>Al respecto, la Corte reitera la obligación del Estado de emprender con seriedad, en un plazo razonable, todas las acciones necesarias para identificar, determinar la responsabilidad y sancionar a todos los responsables de las violaciones cometidas en el presente caso, para los efectos penales y cualesquiera otros que pudieran resultar de la investigación de los hechos.</w:t>
      </w:r>
      <w:r w:rsidR="008B18CE" w:rsidRPr="003D49EB">
        <w:t xml:space="preserve"> </w:t>
      </w:r>
      <w:r w:rsidRPr="003D49EB">
        <w:t xml:space="preserve">A tal efecto, deberá adoptar todas las medidas judiciales y administrativas necesarias con el fin de reabrir la investigación por los hechos del presente caso. Dichas investigaciones deberán tener por materia los hechos relacionados con la supuesta tortura del niño Vargas </w:t>
      </w:r>
      <w:proofErr w:type="spellStart"/>
      <w:r w:rsidRPr="003D49EB">
        <w:t>Areco</w:t>
      </w:r>
      <w:proofErr w:type="spellEnd"/>
      <w:r w:rsidRPr="003D49EB">
        <w:t>.</w:t>
      </w:r>
      <w:r w:rsidR="008B18CE" w:rsidRPr="003D49EB">
        <w:t xml:space="preserve"> </w:t>
      </w:r>
      <w:r w:rsidRPr="003D49EB">
        <w:t xml:space="preserve">Los familiares de Gerardo Vargas </w:t>
      </w:r>
      <w:proofErr w:type="spellStart"/>
      <w:r w:rsidRPr="003D49EB">
        <w:t>Areco</w:t>
      </w:r>
      <w:proofErr w:type="spellEnd"/>
      <w:r w:rsidRPr="003D49EB">
        <w:t xml:space="preserve"> o sus representantes deberán tener pleno </w:t>
      </w:r>
      <w:r w:rsidRPr="003D49EB">
        <w:lastRenderedPageBreak/>
        <w:t>acceso y capacidad de actuar en todas las etapas e instancias de los correspondientes procesos, de acuerdo con la ley interna y la Convención Americana, sin descargar sobre los familiares el impulso procesal. Asimismo, el Estado debe asegurar el cumplimiento efectivo de la decisión que adopten las instancias internas, en acatamiento de esta obligación.</w:t>
      </w:r>
    </w:p>
    <w:p w14:paraId="0C472816" w14:textId="77777777" w:rsidR="00356F86" w:rsidRDefault="00356F86" w:rsidP="009A4683"/>
    <w:p w14:paraId="2A2CDBAB" w14:textId="730119C9" w:rsidR="009F232F" w:rsidRPr="003D49EB" w:rsidRDefault="009F232F" w:rsidP="009A4683">
      <w:r w:rsidRPr="003D49EB">
        <w:t>156.</w:t>
      </w:r>
      <w:r w:rsidRPr="003D49EB">
        <w:tab/>
        <w:t>Para los efectos de esta obligación, es pertinente señalar, conforme a la jurisprudencia constante de la Corte, sustentada en el derecho internacional, que ninguna ley ni disposición de derecho interno puede impedir a un Estado cumplir el deber, reconocido por la Corte, de investigar y sancionar a los responsables de ciertas violaciones de derechos humanos, como las de este caso</w:t>
      </w:r>
    </w:p>
    <w:p w14:paraId="7E38DAE9" w14:textId="77777777" w:rsidR="00FE0DAB" w:rsidRPr="003D49EB" w:rsidRDefault="00FE0DAB" w:rsidP="009A4683"/>
    <w:p w14:paraId="1526C1A3" w14:textId="77777777" w:rsidR="005C6B23" w:rsidRDefault="00FE0DAB" w:rsidP="009A4683">
      <w:pPr>
        <w:rPr>
          <w:b/>
          <w:bCs/>
          <w:szCs w:val="20"/>
        </w:rPr>
      </w:pPr>
      <w:r w:rsidRPr="003D49EB">
        <w:rPr>
          <w:b/>
          <w:bCs/>
          <w:szCs w:val="20"/>
        </w:rPr>
        <w:t>Corte IDH. Caso Bueno Alves Vs. Argentina. Fondo, Reparaciones y Costas. Sentencia de 11 de mayo de 2007. Serie C No. 164.</w:t>
      </w:r>
    </w:p>
    <w:p w14:paraId="5942C06D" w14:textId="1EE01232" w:rsidR="00FE0DAB" w:rsidRPr="003D49EB" w:rsidRDefault="00FE0DAB" w:rsidP="009A4683">
      <w:pPr>
        <w:rPr>
          <w:b/>
          <w:bCs/>
          <w:szCs w:val="20"/>
        </w:rPr>
      </w:pPr>
      <w:r w:rsidRPr="003D49EB">
        <w:rPr>
          <w:b/>
          <w:bCs/>
          <w:szCs w:val="20"/>
        </w:rPr>
        <w:t xml:space="preserve"> </w:t>
      </w:r>
    </w:p>
    <w:p w14:paraId="4AC13CCD" w14:textId="19350195" w:rsidR="008E5712" w:rsidRDefault="008E5712" w:rsidP="009A4683">
      <w:r w:rsidRPr="003D49EB">
        <w:t>211.</w:t>
      </w:r>
      <w:r w:rsidRPr="003D49EB">
        <w:tab/>
        <w:t>Teniendo en cuenta lo anterior, así como la jurisprudencia de este Tribunal, la Corte dispone que el Estado debe realizar inmediatamente las debidas investigaciones para determinar las correspondientes responsabilidades por los hechos de este caso y aplicar las consecuencias que la ley prevea. El Estado debe asegurar que la víctima tenga pleno acceso y capacidad de actuar en todas las etapas e instancias de dichas investigaciones y procesos, de acuerdo con la ley interna y las normas de la Convención Americana.</w:t>
      </w:r>
    </w:p>
    <w:p w14:paraId="218A7637" w14:textId="77777777" w:rsidR="00C95B34" w:rsidRPr="003D49EB" w:rsidRDefault="00C95B34" w:rsidP="009A4683"/>
    <w:p w14:paraId="72466BF2" w14:textId="3E965784" w:rsidR="00D666CC" w:rsidRPr="003D49EB" w:rsidRDefault="00C95B34" w:rsidP="009A4683">
      <w:pPr>
        <w:pStyle w:val="Caso"/>
        <w:tabs>
          <w:tab w:val="clear" w:pos="6042"/>
        </w:tabs>
        <w:spacing w:after="100" w:afterAutospacing="1"/>
        <w:rPr>
          <w:rFonts w:cs="Verdana"/>
          <w:b w:val="0"/>
        </w:rPr>
      </w:pPr>
      <w:bookmarkStart w:id="103" w:name="_Toc439145876"/>
      <w:bookmarkStart w:id="104" w:name="_Toc439147826"/>
      <w:r w:rsidRPr="00C95B34">
        <w:rPr>
          <w:rFonts w:cs="Verdana"/>
        </w:rPr>
        <w:t>Corte IDH. Caso Maldonado Vargas y otros Vs. Chile. Fondo, Reparaciones y Costas. Sentencia de 2 de septiembre de 2015. Serie C No. 300.</w:t>
      </w:r>
      <w:bookmarkEnd w:id="103"/>
      <w:bookmarkEnd w:id="104"/>
    </w:p>
    <w:p w14:paraId="12A81D33" w14:textId="0ADF49E8" w:rsidR="00D666CC" w:rsidRDefault="00D666CC" w:rsidP="009A4683">
      <w:r w:rsidRPr="003D49EB">
        <w:t>155.</w:t>
      </w:r>
      <w:r w:rsidRPr="003D49EB">
        <w:tab/>
        <w:t>[…] Como consecuencia de lo anterior, este Tribunal dispone que el Estado debe continuar y concluir, eficazmente, en un plazo razonable y con las debidas diligencias, las investigaciones relacionadas con los hechos de tortura en perjuicio de las víctimas de este caso, con el objetivo de identificar, y en su caso procesar y sancionar a los responsables.</w:t>
      </w:r>
    </w:p>
    <w:p w14:paraId="33230BE5" w14:textId="77777777" w:rsidR="005C6B23" w:rsidRPr="003D49EB" w:rsidRDefault="005C6B23" w:rsidP="009A4683"/>
    <w:p w14:paraId="5674F1C9" w14:textId="628C1606" w:rsidR="00D666CC" w:rsidRDefault="00D666CC" w:rsidP="009A4683">
      <w:r w:rsidRPr="003D49EB">
        <w:t>156.</w:t>
      </w:r>
      <w:r w:rsidRPr="003D49EB">
        <w:tab/>
        <w:t xml:space="preserve">En particular, para tales efectos, el Estado deberá: a) asegurar el pleno acceso y capacidad de actuar de las víctimas y sus familiares en todas las etapas de estas investigaciones, de acuerdo con la ley interna y las normas de la Convención Americana; b) por tratarse de una violación grave de derechos humanos y en consideración de las particularidades y el contexto en que ocurrieron los hechos, el Estado debe abstenerse de recurrir a figuras como la amnistía en beneficio de los autores, así como ninguna otra disposición análoga, la prescripción, irretroactividad de la ley penal, cosa juzgada, </w:t>
      </w:r>
      <w:r w:rsidRPr="003D49EB">
        <w:rPr>
          <w:i/>
        </w:rPr>
        <w:t xml:space="preserve">ne bis in </w:t>
      </w:r>
      <w:proofErr w:type="spellStart"/>
      <w:r w:rsidRPr="003D49EB">
        <w:rPr>
          <w:i/>
        </w:rPr>
        <w:t>idem</w:t>
      </w:r>
      <w:proofErr w:type="spellEnd"/>
      <w:r w:rsidRPr="003D49EB">
        <w:t xml:space="preserve"> o cualquier eximente similar de responsabilidad, para excusarse de esta obligación; c) garantizar que las investigaciones y procesos por los hechos del presente caso se mantengan, en todo momento, bajo conocimiento de la jurisdicción ordinaria, y d) divulgar públicamente los resultados de los procesos para que la sociedad chilena conozca la determinación judicial de los hechos objeto del presente caso. Del mismo modo el Estado deberá divulgar el resultado de una eventual revisión de las condenas de las 12 víctimas de este caso en un medio de difusión interno de las Fuerzas Armadas de Chile con la finalidad que el mismo sea conocido por todos sus miembros.</w:t>
      </w:r>
    </w:p>
    <w:p w14:paraId="3335C91C" w14:textId="77777777" w:rsidR="005C6B23" w:rsidRPr="003D49EB" w:rsidRDefault="005C6B23" w:rsidP="009A4683"/>
    <w:p w14:paraId="4A7D169C" w14:textId="07982E98" w:rsidR="00FC7585" w:rsidRPr="003D49EB" w:rsidRDefault="00FC7585" w:rsidP="009A4683">
      <w:pPr>
        <w:pStyle w:val="Caso"/>
      </w:pPr>
      <w:r w:rsidRPr="003D49EB">
        <w:t>Corte IDH. Caso Mujeres Víctimas de Tortura Sexual en Atenco Vs. México. Excepción Preliminar, Fondo, Reparaciones y Costas. Sentencia de 28 de noviembre de 2018. Serie C No. 371.</w:t>
      </w:r>
    </w:p>
    <w:p w14:paraId="57C0A79E" w14:textId="77777777" w:rsidR="005C6B23" w:rsidRDefault="005C6B23" w:rsidP="009A4683"/>
    <w:p w14:paraId="6172D044" w14:textId="14EB37B6" w:rsidR="00FC7585" w:rsidRDefault="00FC7585" w:rsidP="009A4683">
      <w:r w:rsidRPr="003D49EB">
        <w:t>338.</w:t>
      </w:r>
      <w:r w:rsidRPr="003D49EB">
        <w:tab/>
        <w:t xml:space="preserve">La Corte declaró en la presente Sentencia, inter alia, que el Estado incumplió con el deber de investigar los actos de tortura y violencia sexual sufridos por las once mujeres víctimas del presente caso. Ello debido al retardo injustificado de 12 años </w:t>
      </w:r>
      <w:r w:rsidRPr="003D49EB">
        <w:lastRenderedPageBreak/>
        <w:t xml:space="preserve">desde el momento en que ocurrieron los hechos; a la falta de diligencia en el procesamiento de las denuncias y la recolección de la prueba; a la omisión de investigación de todos los posibles autores y el seguimiento de líneas lógicas de investigación, y a la ausencia de una perspectiva de género en las investigaciones aunado a un tratamiento estereotipado por parte de las autoridades a cargo de la investigación. Si bien esta Corte valora positivamente los avances hasta ahora alcanzados por el Estado con el fin de esclarecer los hechos, a la luz de sus conclusiones en esta Sentencia, dispone que el Estado deberá, en un plazo razonable y por medio de funcionarios capacitados en atención a víctimas de discriminación y violencia por razón de género, continuar e iniciar las investigaciones amplias, sistemáticas y minuciosas que sean necesarias para determinar, juzgar, y, en su caso, sancionar a los responsables de la violencia y tortura sexual sufrida por las once mujeres víctimas de este caso. Asimismo, deberá investigar los posibles vínculos entre los responsables directos y sus superiores jerárquicos en la comisión de los actos de tortura, violencia sexual y violación sexual, individualizando los responsables en todos los niveles de decisión sean federales, estaduales o municipales. </w:t>
      </w:r>
    </w:p>
    <w:p w14:paraId="1EC4F665" w14:textId="77777777" w:rsidR="005C6B23" w:rsidRPr="003D49EB" w:rsidRDefault="005C6B23" w:rsidP="009A4683"/>
    <w:p w14:paraId="744042D3" w14:textId="4796F698" w:rsidR="00FC7585" w:rsidRPr="003D49EB" w:rsidRDefault="00FC7585" w:rsidP="009A4683">
      <w:r w:rsidRPr="003D49EB">
        <w:t>339.</w:t>
      </w:r>
      <w:r w:rsidRPr="003D49EB">
        <w:tab/>
        <w:t>Esta Corte considera, además, que el Estado debe, dentro de un plazo razonable, determinar, por intermedio de las instituciones públicas competentes, las eventuales responsabilidades de los funcionarios que contribuyeron con su actuación a la comisión de actos de revictimización y violencia institucional en perjuicio de las once mujeres y, en la medida que corresponda, aplicar las consecuencias previstas en el ordenamiento jurídico interno</w:t>
      </w:r>
      <w:r w:rsidR="006A660B" w:rsidRPr="003D49EB">
        <w:t>,</w:t>
      </w:r>
      <w:r w:rsidRPr="003D49EB">
        <w:t xml:space="preserve"> penales o no penales. De acuerdo con su jurisprudencia constante</w:t>
      </w:r>
      <w:r w:rsidR="006A660B" w:rsidRPr="003D49EB">
        <w:t>,</w:t>
      </w:r>
      <w:r w:rsidRPr="003D49EB">
        <w:t xml:space="preserve"> la Corte estima que el Estado debe asegurar el pleno acceso y capacidad de actuar de las víctimas o sus familiares en todas las etapas de la investigación y el juzgamiento de los responsables, de acuerdo con la ley interna y las normas de la Convención Americana. De igual manera, los resultados judiciales definitivos de los procesos correspondientes deberán ser públicamente divulgados, para que la sociedad mexicana conozca los hechos objeto del presente caso, así como a sus responsables, previa consulta a las víctimas sobre aquellos aspectos que pudieren afectar su intimidad o privacidad.</w:t>
      </w:r>
    </w:p>
    <w:p w14:paraId="5F6C9811" w14:textId="052D39CA" w:rsidR="003C683C" w:rsidRDefault="007C2303" w:rsidP="009A4683">
      <w:pPr>
        <w:pStyle w:val="Ttulo3"/>
        <w:rPr>
          <w:caps w:val="0"/>
        </w:rPr>
      </w:pPr>
      <w:bookmarkStart w:id="105" w:name="_Toc530498011"/>
      <w:bookmarkStart w:id="106" w:name="_Toc88915011"/>
      <w:r w:rsidRPr="003D49EB">
        <w:t>D)</w:t>
      </w:r>
      <w:r w:rsidR="003C683C" w:rsidRPr="003D49EB">
        <w:t xml:space="preserve"> R</w:t>
      </w:r>
      <w:r w:rsidRPr="003D49EB">
        <w:rPr>
          <w:caps w:val="0"/>
        </w:rPr>
        <w:t>ealizar capacitaciones</w:t>
      </w:r>
      <w:bookmarkEnd w:id="105"/>
      <w:bookmarkEnd w:id="106"/>
      <w:r w:rsidRPr="003D49EB">
        <w:rPr>
          <w:caps w:val="0"/>
        </w:rPr>
        <w:t xml:space="preserve"> </w:t>
      </w:r>
    </w:p>
    <w:p w14:paraId="330EBD98" w14:textId="77777777" w:rsidR="005C6B23" w:rsidRPr="005C6B23" w:rsidRDefault="005C6B23" w:rsidP="005C6B23"/>
    <w:p w14:paraId="64129B2A" w14:textId="578C476F" w:rsidR="003C683C" w:rsidRPr="003D49EB" w:rsidRDefault="003C683C" w:rsidP="009A4683">
      <w:pPr>
        <w:pStyle w:val="Caso"/>
        <w:tabs>
          <w:tab w:val="clear" w:pos="6042"/>
        </w:tabs>
        <w:spacing w:after="100" w:afterAutospacing="1"/>
        <w:rPr>
          <w:rFonts w:cs="Verdana"/>
          <w:b w:val="0"/>
        </w:rPr>
      </w:pPr>
      <w:r w:rsidRPr="003D49EB">
        <w:rPr>
          <w:rFonts w:cs="Verdana"/>
        </w:rPr>
        <w:t xml:space="preserve">Caso </w:t>
      </w:r>
      <w:proofErr w:type="spellStart"/>
      <w:r w:rsidRPr="003D49EB">
        <w:rPr>
          <w:rFonts w:cs="Verdana"/>
        </w:rPr>
        <w:t>Ximenes</w:t>
      </w:r>
      <w:proofErr w:type="spellEnd"/>
      <w:r w:rsidRPr="003D49EB">
        <w:rPr>
          <w:rFonts w:cs="Verdana"/>
        </w:rPr>
        <w:t xml:space="preserve"> </w:t>
      </w:r>
      <w:proofErr w:type="spellStart"/>
      <w:r w:rsidRPr="003D49EB">
        <w:rPr>
          <w:rFonts w:cs="Verdana"/>
        </w:rPr>
        <w:t>Lopes</w:t>
      </w:r>
      <w:proofErr w:type="spellEnd"/>
      <w:r w:rsidRPr="003D49EB">
        <w:rPr>
          <w:rFonts w:cs="Verdana"/>
        </w:rPr>
        <w:t xml:space="preserve"> Vs. Brasil. Sentencia de 4 de julio de 2006. Serie C No. 149</w:t>
      </w:r>
      <w:r w:rsidR="005C6B23">
        <w:rPr>
          <w:rFonts w:cs="Verdana"/>
        </w:rPr>
        <w:t>.</w:t>
      </w:r>
    </w:p>
    <w:p w14:paraId="38D7960A" w14:textId="703B40CF" w:rsidR="003C683C" w:rsidRDefault="003C683C" w:rsidP="009A4683">
      <w:r w:rsidRPr="003D49EB">
        <w:t>250.</w:t>
      </w:r>
      <w:r w:rsidRPr="003D49EB">
        <w:tab/>
        <w:t xml:space="preserve">Quedó probado en el presente caso que al momento de los hechos no existía una adecuada atención para el tratamiento e internación de personas con discapacidad mental, como en el caso de la Casa de Reposo </w:t>
      </w:r>
      <w:proofErr w:type="spellStart"/>
      <w:r w:rsidRPr="003D49EB">
        <w:t>Guararapes</w:t>
      </w:r>
      <w:proofErr w:type="spellEnd"/>
      <w:r w:rsidRPr="003D49EB">
        <w:t>, institución que brindaba ese servicio dentro del Sistema Único de Salud.</w:t>
      </w:r>
      <w:r w:rsidR="008B18CE" w:rsidRPr="003D49EB">
        <w:t xml:space="preserve"> </w:t>
      </w:r>
      <w:r w:rsidRPr="003D49EB">
        <w:t>Si bien se destaca el hecho de que el Estado ha adoptado diversas medidas destinadas a mejorar esa atención, este Tribunal considera que el Estado debe continuar desarrollando un programa de formación y capacitación para el personal médico, psiquiátrico, psicológico, de enfermería, auxiliares de enfermería y para todas aquellas personas vinculadas con la atención de Salud Mental, en particular, sobre los principios que deben regir el trato a ser ofrecido a las personas que padecen de discapacidad mental, conforme a los estándares internacionales en la materia y aquellos establecidos en la presente Sentencia [...].</w:t>
      </w:r>
    </w:p>
    <w:p w14:paraId="2C3225A2" w14:textId="77777777" w:rsidR="003C3808" w:rsidRPr="003D49EB" w:rsidRDefault="003C3808" w:rsidP="009A4683"/>
    <w:p w14:paraId="7927A287" w14:textId="7BF56E42" w:rsidR="003C3808" w:rsidRDefault="003C3808" w:rsidP="009A4683">
      <w:pPr>
        <w:rPr>
          <w:b/>
          <w:szCs w:val="20"/>
        </w:rPr>
      </w:pPr>
      <w:r w:rsidRPr="00B32B2B">
        <w:rPr>
          <w:b/>
          <w:szCs w:val="20"/>
        </w:rPr>
        <w:t xml:space="preserve">Corte IDH. Caso </w:t>
      </w:r>
      <w:proofErr w:type="spellStart"/>
      <w:r w:rsidRPr="00B32B2B">
        <w:rPr>
          <w:b/>
          <w:szCs w:val="20"/>
        </w:rPr>
        <w:t>Kawas</w:t>
      </w:r>
      <w:proofErr w:type="spellEnd"/>
      <w:r w:rsidRPr="00B32B2B">
        <w:rPr>
          <w:b/>
          <w:szCs w:val="20"/>
        </w:rPr>
        <w:t xml:space="preserve"> Fernández Vs. Honduras. Fondo, Reparaciones y Costas. Sentencia de 3 de abril de 2009. Serie C No. 196</w:t>
      </w:r>
      <w:r w:rsidR="00DE70B4">
        <w:rPr>
          <w:b/>
          <w:szCs w:val="20"/>
        </w:rPr>
        <w:t>.</w:t>
      </w:r>
    </w:p>
    <w:p w14:paraId="2321E066" w14:textId="77777777" w:rsidR="003C3808" w:rsidRDefault="003C3808" w:rsidP="009A4683">
      <w:pPr>
        <w:rPr>
          <w:b/>
          <w:szCs w:val="20"/>
        </w:rPr>
      </w:pPr>
    </w:p>
    <w:p w14:paraId="45F589F9" w14:textId="30F2A108" w:rsidR="003C683C" w:rsidRDefault="003C683C" w:rsidP="009A4683">
      <w:r w:rsidRPr="003D49EB">
        <w:t xml:space="preserve">214. </w:t>
      </w:r>
      <w:r w:rsidRPr="003D49EB">
        <w:tab/>
        <w:t xml:space="preserve">En esta línea, y como una forma de contribuir a que hechos como los del presente caso no se repitan, la Corte estima conveniente ordenar al Estado la </w:t>
      </w:r>
      <w:r w:rsidRPr="003D49EB">
        <w:lastRenderedPageBreak/>
        <w:t>realización de una campaña nacional de concientización y sensibilización, dirigida a funcionarios de seguridad, operadores de justicia y población general, sobre la importancia de la labor que realizan los defensores del medio ambiente en Honduras y de sus aportes en la defensa de los derechos humanos. El Estado contará con un plazo máximo de dos años a partir de la notificación de la presente Sentencia para su ejecución.</w:t>
      </w:r>
    </w:p>
    <w:p w14:paraId="67188A58" w14:textId="77777777" w:rsidR="003C3808" w:rsidRPr="003D49EB" w:rsidRDefault="003C3808" w:rsidP="009A4683"/>
    <w:p w14:paraId="77BAF3F0" w14:textId="65AA80B8" w:rsidR="003C683C" w:rsidRPr="003D49EB" w:rsidRDefault="00BD210B" w:rsidP="009A4683">
      <w:pPr>
        <w:pStyle w:val="Caso"/>
        <w:tabs>
          <w:tab w:val="clear" w:pos="6042"/>
        </w:tabs>
        <w:spacing w:after="100" w:afterAutospacing="1"/>
        <w:rPr>
          <w:rFonts w:cs="Verdana"/>
          <w:b w:val="0"/>
          <w:bCs/>
        </w:rPr>
      </w:pPr>
      <w:r w:rsidRPr="003D49EB">
        <w:rPr>
          <w:rFonts w:cs="Verdana"/>
          <w:bCs/>
        </w:rPr>
        <w:t>Corte IDH. Caso Fernández Ortega y otros Vs. México. Excepción Preliminar, Fondo, Reparaciones y Costas. Sentencia de 30 de agosto de 2010. Serie C No. 215.</w:t>
      </w:r>
    </w:p>
    <w:p w14:paraId="5A2D4043" w14:textId="2978FC00" w:rsidR="003C683C" w:rsidRDefault="003C683C" w:rsidP="009A4683">
      <w:r w:rsidRPr="003D49EB">
        <w:t>259.</w:t>
      </w:r>
      <w:r w:rsidRPr="003D49EB">
        <w:tab/>
        <w:t xml:space="preserve">La Corte valora positivamente la existencia de diversas acciones y cursos de capacitación desarrollados por el Estado. Al respecto, considera que los mismos deben incluir, en lo pertinente, el estudio de las disposiciones previstas en el Protocolo de Estambul y en las Directrices de la Organización Mundial de la Salud, y deben poner énfasis en la atención de presuntas víctimas de violación sexual, particularmente cuando pertenecen a grupos en situación de mayor vulnerabilidad como las mujeres indígenas. </w:t>
      </w:r>
    </w:p>
    <w:p w14:paraId="21684D1D" w14:textId="77777777" w:rsidR="005C1CCD" w:rsidRPr="003D49EB" w:rsidRDefault="005C1CCD" w:rsidP="009A4683"/>
    <w:p w14:paraId="150730C5" w14:textId="39632575" w:rsidR="003C683C" w:rsidRDefault="003C683C" w:rsidP="009A4683">
      <w:r w:rsidRPr="003D49EB">
        <w:t>260.</w:t>
      </w:r>
      <w:r w:rsidRPr="003D49EB">
        <w:tab/>
        <w:t>Como lo ha hecho anteriormente, el Tribunal dispone que el Estado continúe implementando programas y cursos permanentes de capacitación sobre investigación diligente en casos de violencia sexual contra las mujeres, que incluyan una perspectiva de género y etnicidad. Dichos cursos deberán impartirse a los funcionarios federales y del estado de Guerrero, particularmente a integrantes del Ministerio Público, del Poder Judicial, de la Policía así como a personal del sector salud con competencia en este tipo de casos y que por motivo de sus funciones constituyan la línea de atención primaria a mujeres víctimas de violencia.</w:t>
      </w:r>
    </w:p>
    <w:p w14:paraId="2BA0BDC4" w14:textId="77777777" w:rsidR="005C1CCD" w:rsidRPr="003D49EB" w:rsidRDefault="005C1CCD" w:rsidP="009A4683"/>
    <w:p w14:paraId="4FE6B4A8" w14:textId="60523490" w:rsidR="003C683C" w:rsidRPr="003D49EB" w:rsidRDefault="005A2A26" w:rsidP="009A4683">
      <w:pPr>
        <w:pStyle w:val="Caso"/>
        <w:tabs>
          <w:tab w:val="clear" w:pos="6042"/>
        </w:tabs>
        <w:spacing w:after="100" w:afterAutospacing="1"/>
        <w:rPr>
          <w:rFonts w:cs="Verdana"/>
          <w:b w:val="0"/>
        </w:rPr>
      </w:pPr>
      <w:r w:rsidRPr="003D49EB">
        <w:rPr>
          <w:rFonts w:cs="Verdana"/>
        </w:rPr>
        <w:t>Corte IDH. Caso Espinoza Gonzáles Vs. Perú. Excepciones Preliminares, Fondo, Reparaciones y Costas. Sentencia de 20 de noviembre de 2014. Serie C No. 289.</w:t>
      </w:r>
    </w:p>
    <w:p w14:paraId="60AD689F" w14:textId="4956E904" w:rsidR="003C683C" w:rsidRDefault="003C683C" w:rsidP="009A4683">
      <w:r w:rsidRPr="003D49EB">
        <w:t>326.</w:t>
      </w:r>
      <w:r w:rsidRPr="003D49EB">
        <w:tab/>
        <w:t>La Corte valora positivamente las medidas adoptadas por el Estado respecto a la formación en derechos humanos en diversas instituciones del Estado. Sin embargo, recuerda que la capacitación, como sistema de formación continua, se debe extender durante un lapso importante para cumplir sus objetivos. De igual modo y a la luz de la jurisprudencia de este Tribunal, advierte que una capacitación con perspectiva de género implica no solo un aprendizaje de las normas, sino debe generar que todos los funcionarios reconozcan la existencia de discriminación contra la mujer y las afectaciones que generan en éstas las ideas y valoraciones estereotipadas en lo que respecta al alcance y contenido de los derechos humanos.</w:t>
      </w:r>
    </w:p>
    <w:p w14:paraId="263619DE" w14:textId="77777777" w:rsidR="00A704D3" w:rsidRPr="003D49EB" w:rsidRDefault="00A704D3" w:rsidP="009A4683"/>
    <w:p w14:paraId="7793828F" w14:textId="77777777" w:rsidR="003C683C" w:rsidRPr="003D49EB" w:rsidRDefault="003C683C" w:rsidP="009A4683">
      <w:r w:rsidRPr="003D49EB">
        <w:t>327.</w:t>
      </w:r>
      <w:r w:rsidRPr="003D49EB">
        <w:tab/>
        <w:t xml:space="preserve">En razón de lo anterior, la Corte dispone que el Estado, en un plazo razonable, incorpore en los programas y cursos permanentes de educación y capacitación dirigidos a quienes están encargados de la persecución penal y su judicialización, los estándares establecidos en los párrafos 237 a 242, 248, 249, 251, 252, 255, 256, 258, 260, 266, 268 y 278 de esta Sentencia sobre: i) perspectiva de género para la debida diligencia en la conducción de averiguaciones previas y procesos judiciales relacionados con discriminación y violencia contra las mujeres por razones de género, en particular los actos de violencia y violación sexual, y ii) superación de estereotipos de género. </w:t>
      </w:r>
    </w:p>
    <w:p w14:paraId="7104B03E" w14:textId="048B2435" w:rsidR="003C683C" w:rsidRDefault="007C2303" w:rsidP="009A4683">
      <w:pPr>
        <w:pStyle w:val="Ttulo3"/>
        <w:rPr>
          <w:caps w:val="0"/>
        </w:rPr>
      </w:pPr>
      <w:bookmarkStart w:id="107" w:name="_Toc530498012"/>
      <w:bookmarkStart w:id="108" w:name="_Toc88915012"/>
      <w:r w:rsidRPr="003D49EB">
        <w:t>E)</w:t>
      </w:r>
      <w:r w:rsidR="003C683C" w:rsidRPr="003D49EB">
        <w:t xml:space="preserve"> O</w:t>
      </w:r>
      <w:r w:rsidRPr="003D49EB">
        <w:rPr>
          <w:caps w:val="0"/>
        </w:rPr>
        <w:t>ficina del ministerio público de atención a las mujeres víctimas de violencia</w:t>
      </w:r>
      <w:bookmarkEnd w:id="107"/>
      <w:bookmarkEnd w:id="108"/>
    </w:p>
    <w:p w14:paraId="68F8AE76" w14:textId="77777777" w:rsidR="00A704D3" w:rsidRPr="00A704D3" w:rsidRDefault="00A704D3" w:rsidP="00A704D3"/>
    <w:p w14:paraId="5855FBAD" w14:textId="77777777" w:rsidR="00A704D3" w:rsidRDefault="00BD210B" w:rsidP="009A4683">
      <w:pPr>
        <w:rPr>
          <w:rFonts w:eastAsia="Calibri" w:cs="Verdana"/>
          <w:b/>
          <w:bCs/>
          <w:szCs w:val="20"/>
        </w:rPr>
      </w:pPr>
      <w:r w:rsidRPr="003D49EB">
        <w:rPr>
          <w:rFonts w:eastAsia="Calibri" w:cs="Verdana"/>
          <w:b/>
          <w:bCs/>
          <w:szCs w:val="20"/>
        </w:rPr>
        <w:lastRenderedPageBreak/>
        <w:t>Corte IDH. Caso Fernández Ortega y otros Vs. México. Excepción Preliminar, Fondo, Reparaciones y Costas. Sentencia de 30 de agosto de 2010. Serie C No. 215.</w:t>
      </w:r>
    </w:p>
    <w:p w14:paraId="52E625A3" w14:textId="2749E153" w:rsidR="00BD210B" w:rsidRPr="003D49EB" w:rsidRDefault="00BD210B" w:rsidP="009A4683">
      <w:pPr>
        <w:rPr>
          <w:rFonts w:eastAsia="Calibri" w:cs="Verdana"/>
          <w:b/>
          <w:bCs/>
          <w:szCs w:val="20"/>
        </w:rPr>
      </w:pPr>
      <w:r w:rsidRPr="003D49EB">
        <w:rPr>
          <w:rFonts w:eastAsia="Calibri" w:cs="Verdana"/>
          <w:b/>
          <w:bCs/>
          <w:szCs w:val="20"/>
        </w:rPr>
        <w:t xml:space="preserve"> </w:t>
      </w:r>
    </w:p>
    <w:p w14:paraId="4071EAA2" w14:textId="478495EC" w:rsidR="003C683C" w:rsidRDefault="003C683C" w:rsidP="009A4683">
      <w:pPr>
        <w:rPr>
          <w:rStyle w:val="EnelmismoCar"/>
        </w:rPr>
      </w:pPr>
      <w:r w:rsidRPr="003D49EB">
        <w:t>277.</w:t>
      </w:r>
      <w:r w:rsidRPr="003D49EB">
        <w:tab/>
        <w:t xml:space="preserve">El Tribunal valora la información provista por el Estado y observa que los representantes no se han pronunciado sobre las diversas acciones, unidades móviles e instituciones referidas por México, ni aportaron información indicando eventuales falencias de las mismas. Con base en lo anterior, la Corte no cuenta con la información concreta y suficiente para evaluar la situación y ordenar la creación de la oficina solicitada por los representantes. Sin embargo, los servicios de atención a las mujeres víctimas de violencia sexual deben ser proporcionados por las instituciones indicadas por el Estado, entre otras, el Ministerio Público en Ayutla de los Libres, a través de la provisión de los recursos materiales y personales, cuyas actividades deben ser fortalecidas mediante las acciones de capacitación ordenadas en la presente Sentencia. </w:t>
      </w:r>
      <w:r w:rsidR="006E5C73">
        <w:rPr>
          <w:rStyle w:val="EnelmismoCar"/>
        </w:rPr>
        <w:t>En similar sentido, ver entre otros</w:t>
      </w:r>
      <w:r w:rsidRPr="003D49EB">
        <w:rPr>
          <w:rStyle w:val="EnelmismoCar"/>
        </w:rPr>
        <w:t>: Caso Rosendo Cantú y otra Vs. México. Excepción Preliminar, Fondo, Reparaciones y Costas. Sentencia de 31 de agosto de 2010, párr. 263.</w:t>
      </w:r>
    </w:p>
    <w:p w14:paraId="56831AD0" w14:textId="77777777" w:rsidR="00A704D3" w:rsidRPr="003D49EB" w:rsidRDefault="00A704D3" w:rsidP="009A4683">
      <w:pPr>
        <w:rPr>
          <w:rStyle w:val="EnelmismoCar"/>
        </w:rPr>
      </w:pPr>
    </w:p>
    <w:p w14:paraId="30BBA6A7" w14:textId="57AE73CA" w:rsidR="00C257FF" w:rsidRPr="003D49EB" w:rsidRDefault="003C683C" w:rsidP="009A4683">
      <w:pPr>
        <w:rPr>
          <w:rFonts w:cstheme="majorBidi"/>
          <w:b/>
          <w:i/>
          <w:szCs w:val="22"/>
        </w:rPr>
      </w:pPr>
      <w:r w:rsidRPr="003D49EB">
        <w:t>278.</w:t>
      </w:r>
      <w:r w:rsidRPr="003D49EB">
        <w:tab/>
        <w:t xml:space="preserve">Por último, la Corte observa que el diagnóstico realizado por la Secretaría de la Mujer del estado de Guerrero aportado por México identificó, entre otras barreras institucionales que dificultan la atención a la violencia en zonas indígenas y rurales, la concentración de dichos servicios en ciudades y la dificultad de acceso y traslado a la sede de los servicios de atención. Dicho diagnóstico recomendó, entre otras medidas, desconcentrar los servicios e impulsar servicios itinerantes de sensibilización y de capacitación en detección y atención a la violencia y mejorar el acceso a servicios telefónicos para las comunidades indígenas de Guerrero, para permitir una mejor atención de las mujeres víctimas de violencia. La Corte entiende que la primera de las medidas estaría siendo atendida con las unidades móviles informadas. Sin perjuicio de ello, la Corte valora dicho documento y estima útil indicar al Estado que analice la necesidad de avanzar en la implementación de esas dos recomendaciones en la zona donde ocurrieron los hechos del presente caso. </w:t>
      </w:r>
      <w:r w:rsidR="006E5C73">
        <w:rPr>
          <w:rStyle w:val="EnelmismoCar"/>
        </w:rPr>
        <w:t>En similar sentido, ver entre otros</w:t>
      </w:r>
      <w:r w:rsidRPr="003D49EB">
        <w:rPr>
          <w:rStyle w:val="EnelmismoCar"/>
        </w:rPr>
        <w:t>: Caso Rosendo Cantú y otra Vs. México. Excepción Preliminar, Fondo, Reparaciones y Costas. Sentencia de 31 de agosto de 2010, párr. 264.</w:t>
      </w:r>
      <w:r w:rsidRPr="003D49EB">
        <w:rPr>
          <w:b/>
          <w:i/>
        </w:rPr>
        <w:t xml:space="preserve"> </w:t>
      </w:r>
    </w:p>
    <w:p w14:paraId="29F52EE2" w14:textId="28A82FAE" w:rsidR="00D666CC" w:rsidRDefault="002329E6" w:rsidP="009A4683">
      <w:pPr>
        <w:pStyle w:val="Ttulo2"/>
      </w:pPr>
      <w:bookmarkStart w:id="109" w:name="_Toc530498013"/>
      <w:bookmarkStart w:id="110" w:name="_Toc88915013"/>
      <w:r w:rsidRPr="003D49EB">
        <w:t>Publicación de sentencia y acto de reconocimiento</w:t>
      </w:r>
      <w:bookmarkEnd w:id="109"/>
      <w:bookmarkEnd w:id="110"/>
    </w:p>
    <w:p w14:paraId="573A000D" w14:textId="77777777" w:rsidR="00C95B34" w:rsidRPr="00C95B34" w:rsidRDefault="00C95B34" w:rsidP="00C95B34">
      <w:pPr>
        <w:rPr>
          <w:lang w:val="es-CR"/>
        </w:rPr>
      </w:pPr>
    </w:p>
    <w:p w14:paraId="0BED8D0B" w14:textId="77777777" w:rsidR="00C95B34" w:rsidRDefault="00C95B34" w:rsidP="00C95B34">
      <w:pPr>
        <w:pStyle w:val="Caso"/>
      </w:pPr>
      <w:r w:rsidRPr="00C95B34">
        <w:t xml:space="preserve">Corte IDH. Caso Maldonado Vargas y otros Vs. Chile. Fondo, Reparaciones y Costas. Sentencia de 2 de septiembre de 2015. Serie C No. 300. </w:t>
      </w:r>
    </w:p>
    <w:p w14:paraId="04F0DD8F" w14:textId="77777777" w:rsidR="00C95B34" w:rsidRDefault="00C95B34" w:rsidP="009A4683">
      <w:pPr>
        <w:rPr>
          <w:rFonts w:eastAsia="Calibri" w:cs="Verdana"/>
          <w:b/>
          <w:szCs w:val="20"/>
        </w:rPr>
      </w:pPr>
    </w:p>
    <w:p w14:paraId="2F0A1C66" w14:textId="51A03A36" w:rsidR="00E90A44" w:rsidRDefault="00646B80" w:rsidP="009A4683">
      <w:pPr>
        <w:rPr>
          <w:rStyle w:val="EnelmismoCar"/>
        </w:rPr>
      </w:pPr>
      <w:r w:rsidRPr="003D49EB">
        <w:t>160.</w:t>
      </w:r>
      <w:r w:rsidRPr="003D49EB">
        <w:tab/>
        <w:t>La Corte dispone, como lo ha hecho en otros casos, que el Estado debe realizar un acto público de reconocimiento de responsabilidad internacional en el cual</w:t>
      </w:r>
      <w:r w:rsidRPr="003D49EB">
        <w:rPr>
          <w:i/>
        </w:rPr>
        <w:t xml:space="preserve"> </w:t>
      </w:r>
      <w:r w:rsidRPr="003D49EB">
        <w:t xml:space="preserve">deberá hacer referencia a las violaciones de derechos humanos declaradas en la presente Sentencia. La determinación de la fecha, el lugar y las modalidades del acto deberán ser acordados con las víctimas y sus presentantes. El acto deberá ser realizado en una ceremonia pública, con la presencia de altas autoridades del Estado. Para ello, el Estado cuenta con un plazo de un año, a partir de la notificación de la presente Sentencia. </w:t>
      </w:r>
      <w:r w:rsidRPr="003D49EB">
        <w:rPr>
          <w:lang w:val="es-EC"/>
        </w:rPr>
        <w:t xml:space="preserve">En cuanto a las autoridades estatales que deberán estar presentes o participar en dicho acto, el Tribunal, como lo ha hecho en otros casos, señala que deberán ser de alto rango. Corresponderá al Estado definir a quienes se encomienda tal tarea. Sin embargo, deberá existir representación del Poder Judicial en el acto. </w:t>
      </w:r>
      <w:r w:rsidR="006E5C73">
        <w:rPr>
          <w:rStyle w:val="EnelmismoCar"/>
        </w:rPr>
        <w:t>En similar sentido, ver entre otros</w:t>
      </w:r>
      <w:r w:rsidRPr="003D49EB">
        <w:rPr>
          <w:rStyle w:val="EnelmismoCar"/>
        </w:rPr>
        <w:t>: Caso González y otras (“Campo Algodonero”) Vs. México. Excepción Preliminar, Fondo, Reparaciones y Costas. Sente</w:t>
      </w:r>
      <w:r w:rsidR="009D0041" w:rsidRPr="003D49EB">
        <w:rPr>
          <w:rStyle w:val="EnelmismoCar"/>
        </w:rPr>
        <w:t>ncia de 16 de noviembre de 2009</w:t>
      </w:r>
      <w:r w:rsidRPr="003D49EB">
        <w:rPr>
          <w:rStyle w:val="EnelmismoCar"/>
        </w:rPr>
        <w:t>, párr. 469, y Caso Gonzales Lluy y otros Vs. Ecuador. Excepciones Preliminares, Fondo, Reparaciones y Costas. Sentencia de 01 de septiembre de 2015, párr. 368.</w:t>
      </w:r>
    </w:p>
    <w:p w14:paraId="20AF5240" w14:textId="77777777" w:rsidR="00C95B34" w:rsidRPr="003D49EB" w:rsidRDefault="00C95B34" w:rsidP="009A4683">
      <w:pPr>
        <w:rPr>
          <w:b/>
          <w:i/>
        </w:rPr>
      </w:pPr>
    </w:p>
    <w:p w14:paraId="31F04527" w14:textId="38586C0F" w:rsidR="00646B80" w:rsidRDefault="00646B80" w:rsidP="009A4683">
      <w:pPr>
        <w:rPr>
          <w:rStyle w:val="EnelmismoCar"/>
        </w:rPr>
      </w:pPr>
      <w:r w:rsidRPr="003D49EB">
        <w:lastRenderedPageBreak/>
        <w:t xml:space="preserve">162. </w:t>
      </w:r>
      <w:r w:rsidRPr="003D49EB">
        <w:tab/>
        <w:t xml:space="preserve">Con relación a esta medida, la Corte estima pertinente ordenar, como lo ha hecho en otros casos, que el Estado, en el plazo de seis meses, contado a partir de la notificación de la presente Sentencia, realice las siguientes publicaciones: a) el resumen oficial de esta Sentencia elaborado por la Corte, el cual deberá ser publicado en el Diario Oficial, en un diario de amplia circulación nacional de Chile, así como en un medio de difusión interno de la Fuerza Aérea de Chile con la finalidad que el mismo sea conocido por todos sus miembros, y b) la presente Sentencia en su integridad, disponible, al menos por un período de un año, en el sitio </w:t>
      </w:r>
      <w:r w:rsidRPr="003D49EB">
        <w:rPr>
          <w:i/>
        </w:rPr>
        <w:t>web</w:t>
      </w:r>
      <w:r w:rsidRPr="003D49EB">
        <w:t xml:space="preserve"> del Poder Judicial. </w:t>
      </w:r>
      <w:r w:rsidR="006E5C73">
        <w:rPr>
          <w:rStyle w:val="EnelmismoCar"/>
        </w:rPr>
        <w:t>En similar sentido, ver entre otros</w:t>
      </w:r>
      <w:r w:rsidRPr="003D49EB">
        <w:rPr>
          <w:rStyle w:val="EnelmismoCar"/>
        </w:rPr>
        <w:t>: Caso Cantoral Benavides Vs. Perú. Reparaciones y Costas. Sentencia de</w:t>
      </w:r>
      <w:r w:rsidR="009D0041" w:rsidRPr="003D49EB">
        <w:rPr>
          <w:rStyle w:val="EnelmismoCar"/>
        </w:rPr>
        <w:t xml:space="preserve"> 3 de diciembre de 2001, párr.</w:t>
      </w:r>
      <w:r w:rsidRPr="003D49EB">
        <w:rPr>
          <w:rStyle w:val="EnelmismoCar"/>
        </w:rPr>
        <w:t xml:space="preserve"> 79, y Caso </w:t>
      </w:r>
      <w:proofErr w:type="spellStart"/>
      <w:r w:rsidRPr="003D49EB">
        <w:rPr>
          <w:rStyle w:val="EnelmismoCar"/>
        </w:rPr>
        <w:t>Granier</w:t>
      </w:r>
      <w:proofErr w:type="spellEnd"/>
      <w:r w:rsidRPr="003D49EB">
        <w:rPr>
          <w:rStyle w:val="EnelmismoCar"/>
        </w:rPr>
        <w:t xml:space="preserve"> y otros (Radio Caracas Televisión) Vs. Venezuela. Excepciones Preliminares, Fondo, Reparaciones y Costas</w:t>
      </w:r>
      <w:r w:rsidR="009D0A73" w:rsidRPr="003D49EB">
        <w:rPr>
          <w:rStyle w:val="EnelmismoCar"/>
        </w:rPr>
        <w:t>. Sentencia de 22 de junio de 2015</w:t>
      </w:r>
      <w:r w:rsidRPr="003D49EB">
        <w:rPr>
          <w:rStyle w:val="EnelmismoCar"/>
        </w:rPr>
        <w:t>, párr. 386.</w:t>
      </w:r>
    </w:p>
    <w:p w14:paraId="2146ED17" w14:textId="77777777" w:rsidR="00A704D3" w:rsidRPr="003D49EB" w:rsidRDefault="00A704D3" w:rsidP="009A4683">
      <w:pPr>
        <w:rPr>
          <w:rStyle w:val="EnelmismoCar"/>
        </w:rPr>
      </w:pPr>
    </w:p>
    <w:p w14:paraId="237FF3B7" w14:textId="58D22B42" w:rsidR="00C257FF" w:rsidRPr="003D49EB" w:rsidRDefault="00646B80" w:rsidP="009A4683">
      <w:pPr>
        <w:rPr>
          <w:rFonts w:cstheme="majorBidi"/>
          <w:szCs w:val="22"/>
        </w:rPr>
      </w:pPr>
      <w:r w:rsidRPr="003D49EB">
        <w:t xml:space="preserve">164. En anteriores oportunidades, la Corte ha valorado favorablemente aquellos actos realizados por los Estados que tienen como efecto la recuperación de la memoria de las víctimas, y el reconocimiento de su dignidad. En ese sentido, siendo además que el Estado no ha presentado objeciones a estás solicitudes, la Corte ordena que el Estado debe, en el plazo de un año develar, en un lugar con acceso público a los miembros de la Academia de Guerra Aérea para que permanezca en ella, una placa con la inscripción de los nombres de las víctimas del presente caso con un breve texto narrando las circunstancias en que ocurrieron las violaciones a sus derechos humanos. </w:t>
      </w:r>
    </w:p>
    <w:p w14:paraId="7EB57CAF" w14:textId="7AF314E9" w:rsidR="002329E6" w:rsidRDefault="002329E6" w:rsidP="009A4683">
      <w:pPr>
        <w:pStyle w:val="Ttulo2"/>
      </w:pPr>
      <w:bookmarkStart w:id="111" w:name="_Toc530498014"/>
      <w:bookmarkStart w:id="112" w:name="_Toc88915014"/>
      <w:r w:rsidRPr="003D49EB">
        <w:t>Otorgamiento de becas</w:t>
      </w:r>
      <w:bookmarkEnd w:id="111"/>
      <w:bookmarkEnd w:id="112"/>
    </w:p>
    <w:p w14:paraId="5A7621F5" w14:textId="77777777" w:rsidR="00A704D3" w:rsidRPr="00A704D3" w:rsidRDefault="00A704D3" w:rsidP="00A704D3">
      <w:pPr>
        <w:rPr>
          <w:lang w:val="es-CR"/>
        </w:rPr>
      </w:pPr>
    </w:p>
    <w:p w14:paraId="75B6A55F" w14:textId="77777777" w:rsidR="00A704D3" w:rsidRDefault="00A869F1" w:rsidP="009A4683">
      <w:pPr>
        <w:rPr>
          <w:rFonts w:eastAsia="Calibri" w:cs="Verdana"/>
          <w:b/>
          <w:bCs/>
          <w:szCs w:val="20"/>
        </w:rPr>
      </w:pPr>
      <w:r w:rsidRPr="003D49EB">
        <w:rPr>
          <w:rFonts w:eastAsia="Calibri" w:cs="Verdana"/>
          <w:b/>
          <w:bCs/>
          <w:szCs w:val="20"/>
        </w:rPr>
        <w:t>Corte IDH. Caso Fernández Ortega y otros Vs. México. Excepción Preliminar, Fondo, Reparaciones y Costas. Sentencia de 30 de agosto de 2010. Serie C No. 215.</w:t>
      </w:r>
    </w:p>
    <w:p w14:paraId="54E470D3" w14:textId="293F1FE0" w:rsidR="00A869F1" w:rsidRPr="003D49EB" w:rsidRDefault="00A869F1" w:rsidP="009A4683">
      <w:pPr>
        <w:rPr>
          <w:rFonts w:eastAsia="Calibri" w:cs="Verdana"/>
          <w:b/>
          <w:bCs/>
          <w:szCs w:val="20"/>
        </w:rPr>
      </w:pPr>
      <w:r w:rsidRPr="003D49EB">
        <w:rPr>
          <w:rFonts w:eastAsia="Calibri" w:cs="Verdana"/>
          <w:b/>
          <w:bCs/>
          <w:szCs w:val="20"/>
        </w:rPr>
        <w:t xml:space="preserve"> </w:t>
      </w:r>
    </w:p>
    <w:p w14:paraId="44D43888" w14:textId="782DD974" w:rsidR="00F65AFB" w:rsidRDefault="002329E6" w:rsidP="009A4683">
      <w:r w:rsidRPr="003D49EB">
        <w:t>264.</w:t>
      </w:r>
      <w:r w:rsidRPr="003D49EB">
        <w:tab/>
        <w:t>La Corte ha establecido en la presente Sentencia que los hechos del caso generaron una afectación en los hijos de la señora Fernández Ortega que perdura en el tiempo y que ocasionó cambios significativos tanto en sus vidas como en sus relaciones personales y sociales, afectando su desarrollo personal […]. En atención a lo anterior, y teniendo en consideración lo solicitado por los representantes, como lo ha dispuesto en otros casos</w:t>
      </w:r>
      <w:r w:rsidR="006A660B" w:rsidRPr="003D49EB">
        <w:t>,</w:t>
      </w:r>
      <w:r w:rsidRPr="003D49EB">
        <w:t xml:space="preserve"> la Corte estima oportuno ordenar, como medida de satisfacción en el presente caso, que el Estado otorgue becas en instituciones públicas mexicanas, en beneficio de Noemí, Ana Luz, Colosio, Nélida y Neftalí, todos ellos de apellidos Prisciliano Fernández, que cubran todos los costos de su educación hasta la conclusión de sus estudios superiores, bien sean técnicos o universitarios. El cumplimiento de esta obligación por parte del Estado implica que los beneficiarios lleven a cabo ciertas acciones tendientes al ejercicio de su derecho a esta medida de reparación. Por lo tanto, quienes soliciten esta medida de reparación, o sus representantes legales, disponen de un plazo de seis meses, contados a partir de la notificación de la presente Sentencia, para que den a conocer al Estado sus solicitudes de becas.</w:t>
      </w:r>
    </w:p>
    <w:p w14:paraId="11FC34CC" w14:textId="77777777" w:rsidR="008A5B5C" w:rsidRPr="003D49EB" w:rsidRDefault="008A5B5C" w:rsidP="009A4683"/>
    <w:p w14:paraId="1C898131" w14:textId="5B42DD61" w:rsidR="00BA56F9" w:rsidRPr="003D49EB" w:rsidRDefault="00A869F1" w:rsidP="009A4683">
      <w:pPr>
        <w:pStyle w:val="Caso"/>
        <w:tabs>
          <w:tab w:val="clear" w:pos="6042"/>
        </w:tabs>
        <w:spacing w:after="100" w:afterAutospacing="1"/>
        <w:rPr>
          <w:rFonts w:cs="Verdana"/>
          <w:b w:val="0"/>
          <w:bCs/>
        </w:rPr>
      </w:pPr>
      <w:r w:rsidRPr="003D49EB">
        <w:rPr>
          <w:rFonts w:cs="Verdana"/>
          <w:bCs/>
        </w:rPr>
        <w:t>Corte IDH. Caso Rosendo Cantú y otra Vs. México. Excepción Preliminar, Fondo, Reparaciones y Costas. Sentencia de 31 de agosto de 2010. Serie C No. 216.</w:t>
      </w:r>
    </w:p>
    <w:p w14:paraId="78D91E33" w14:textId="11D278C4" w:rsidR="00C257FF" w:rsidRPr="003D49EB" w:rsidRDefault="00BA56F9" w:rsidP="009A4683">
      <w:pPr>
        <w:spacing w:after="100" w:afterAutospacing="1"/>
        <w:rPr>
          <w:rFonts w:eastAsia="Calibri" w:cs="Verdana"/>
          <w:szCs w:val="20"/>
        </w:rPr>
      </w:pPr>
      <w:r w:rsidRPr="003D49EB">
        <w:rPr>
          <w:rFonts w:eastAsia="Calibri" w:cs="Verdana"/>
          <w:szCs w:val="20"/>
        </w:rPr>
        <w:t>257.</w:t>
      </w:r>
      <w:r w:rsidRPr="003D49EB">
        <w:rPr>
          <w:rFonts w:eastAsia="Calibri" w:cs="Verdana"/>
          <w:szCs w:val="20"/>
        </w:rPr>
        <w:tab/>
        <w:t xml:space="preserve">La Corte ha establecido en la presente Sentencia que los hechos del caso generaron una afectación en la señora Rosendo Cantú y en su hija que perdura en el tiempo y que ocasionó cambios significativos tanto en sus vidas como en sus relaciones, afectando así su desarrollo personal […]. En atención a lo anterior, y teniendo en consideración lo solicitado por los representantes, como lo ha dispuesto el Tribunal en otros casos, la Corte estima oportuno ordenar, como medida de </w:t>
      </w:r>
      <w:r w:rsidRPr="003D49EB">
        <w:rPr>
          <w:rFonts w:eastAsia="Calibri" w:cs="Verdana"/>
          <w:szCs w:val="20"/>
        </w:rPr>
        <w:lastRenderedPageBreak/>
        <w:t xml:space="preserve">satisfacción, que el Estado otorgue becas en instituciones públicas mexicanas, en beneficio de la señora Rosendo Cantú y de su hija, </w:t>
      </w:r>
      <w:proofErr w:type="spellStart"/>
      <w:r w:rsidRPr="003D49EB">
        <w:rPr>
          <w:rFonts w:eastAsia="Calibri" w:cs="Verdana"/>
          <w:szCs w:val="20"/>
        </w:rPr>
        <w:t>Yenys</w:t>
      </w:r>
      <w:proofErr w:type="spellEnd"/>
      <w:r w:rsidRPr="003D49EB">
        <w:rPr>
          <w:rFonts w:eastAsia="Calibri" w:cs="Verdana"/>
          <w:szCs w:val="20"/>
        </w:rPr>
        <w:t xml:space="preserve"> Bernardino Rosendo, que cubran todos los costos de su educación hasta la conclusión de sus estudios superiores, bien sean técnicos o universitarios. El cumplimiento de esta obligación por parte del Estado implica que las beneficiarias lleven a cabo ciertas acciones orientadas al ejercicio de su derecho a esta medida de reparación. Por lo tanto, quienes soliciten esta medida de reparación, o sus representantes legales, disponen de un plazo de seis meses, contados a partir de la notificación de la presente Sentencia, para que den a conocer al E</w:t>
      </w:r>
      <w:r w:rsidR="00BF2C46" w:rsidRPr="003D49EB">
        <w:rPr>
          <w:rFonts w:eastAsia="Calibri" w:cs="Verdana"/>
          <w:szCs w:val="20"/>
        </w:rPr>
        <w:t>stado sus solicitudes de becas.</w:t>
      </w:r>
    </w:p>
    <w:p w14:paraId="3C688DE1" w14:textId="77777777" w:rsidR="00C257FF" w:rsidRPr="003D49EB" w:rsidRDefault="00C257FF" w:rsidP="009A4683">
      <w:pPr>
        <w:spacing w:after="100" w:afterAutospacing="1"/>
        <w:rPr>
          <w:rFonts w:eastAsia="Calibri" w:cs="Verdana"/>
          <w:szCs w:val="20"/>
        </w:rPr>
      </w:pPr>
    </w:p>
    <w:p w14:paraId="1217B440" w14:textId="77777777" w:rsidR="00C257FF" w:rsidRPr="003D49EB" w:rsidRDefault="00C257FF" w:rsidP="009A4683">
      <w:pPr>
        <w:spacing w:after="100" w:afterAutospacing="1"/>
        <w:rPr>
          <w:rFonts w:eastAsia="Calibri" w:cs="Verdana"/>
          <w:szCs w:val="20"/>
        </w:rPr>
      </w:pPr>
    </w:p>
    <w:p w14:paraId="326AC7FA" w14:textId="77777777" w:rsidR="00C257FF" w:rsidRPr="003D49EB" w:rsidRDefault="00C257FF" w:rsidP="009A4683">
      <w:pPr>
        <w:spacing w:after="100" w:afterAutospacing="1"/>
        <w:rPr>
          <w:rFonts w:eastAsia="Calibri" w:cs="Verdana"/>
          <w:szCs w:val="20"/>
        </w:rPr>
      </w:pPr>
    </w:p>
    <w:p w14:paraId="580E7411" w14:textId="0D772B45" w:rsidR="002B7434" w:rsidRPr="003D49EB" w:rsidRDefault="002B7434" w:rsidP="009A4683">
      <w:pPr>
        <w:spacing w:after="100" w:afterAutospacing="1"/>
        <w:rPr>
          <w:szCs w:val="20"/>
        </w:rPr>
      </w:pPr>
    </w:p>
    <w:p w14:paraId="30867D68" w14:textId="77777777" w:rsidR="003D49EB" w:rsidRPr="003D49EB" w:rsidRDefault="003D49EB">
      <w:pPr>
        <w:spacing w:after="100" w:afterAutospacing="1"/>
        <w:rPr>
          <w:szCs w:val="20"/>
        </w:rPr>
      </w:pPr>
    </w:p>
    <w:sectPr w:rsidR="003D49EB" w:rsidRPr="003D49EB" w:rsidSect="00495143">
      <w:headerReference w:type="default" r:id="rId12"/>
      <w:pgSz w:w="11900" w:h="16840" w:code="9"/>
      <w:pgMar w:top="1543"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56C50" w14:textId="77777777" w:rsidR="00BF4179" w:rsidRDefault="00BF4179" w:rsidP="0028583A">
      <w:r>
        <w:separator/>
      </w:r>
    </w:p>
  </w:endnote>
  <w:endnote w:type="continuationSeparator" w:id="0">
    <w:p w14:paraId="1B619706" w14:textId="77777777" w:rsidR="00BF4179" w:rsidRDefault="00BF4179" w:rsidP="00285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Batang">
    <w:altName w:val="바탕"/>
    <w:panose1 w:val="02030600000101010101"/>
    <w:charset w:val="81"/>
    <w:family w:val="roman"/>
    <w:notTrueType/>
    <w:pitch w:val="variable"/>
    <w:sig w:usb0="B00002AF" w:usb1="69D77CFB" w:usb2="00000030" w:usb3="00000000" w:csb0="0028009F" w:csb1="00000000"/>
  </w:font>
  <w:font w:name="Calibri">
    <w:panose1 w:val="020F0502020204030204"/>
    <w:charset w:val="00"/>
    <w:family w:val="swiss"/>
    <w:pitch w:val="variable"/>
    <w:sig w:usb0="E0002AFF" w:usb1="C000ACFF" w:usb2="00000009" w:usb3="00000000" w:csb0="000001FF" w:csb1="00000000"/>
  </w:font>
  <w:font w:name="Times">
    <w:panose1 w:val="0200050000000000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New York">
    <w:altName w:val="Times New Roman"/>
    <w:panose1 w:val="020B0604020202020204"/>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Baskerville Old Face">
    <w:panose1 w:val="02020602080505020303"/>
    <w:charset w:val="4D"/>
    <w:family w:val="roman"/>
    <w:pitch w:val="variable"/>
    <w:sig w:usb0="00000003" w:usb1="00000000" w:usb2="00000000" w:usb3="00000000" w:csb0="00000001" w:csb1="00000000"/>
  </w:font>
  <w:font w:name="Apple Chancery">
    <w:panose1 w:val="03020702040506060504"/>
    <w:charset w:val="B1"/>
    <w:family w:val="script"/>
    <w:pitch w:val="variable"/>
    <w:sig w:usb0="80000867" w:usb1="00000003" w:usb2="00000000" w:usb3="00000000" w:csb0="000001F3"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20B0604020202020204"/>
    <w:charset w:val="00"/>
    <w:family w:val="roman"/>
    <w:pitch w:val="variable"/>
    <w:sig w:usb0="00000003" w:usb1="00000000" w:usb2="00000000" w:usb3="00000000" w:csb0="00000001" w:csb1="00000000"/>
  </w:font>
  <w:font w:name="ヒラギノ角ゴ Pro W3">
    <w:altName w:val="MS Mincho"/>
    <w:panose1 w:val="020B0300000000000000"/>
    <w:charset w:val="80"/>
    <w:family w:val="auto"/>
    <w:pitch w:val="variable"/>
    <w:sig w:usb0="00000000" w:usb1="08070000" w:usb2="00000010" w:usb3="00000000" w:csb0="00020000" w:csb1="00000000"/>
  </w:font>
  <w:font w:name="FPNLKG+TimesNewRoman">
    <w:altName w:val="Times New Roman"/>
    <w:panose1 w:val="020B0604020202020204"/>
    <w:charset w:val="00"/>
    <w:family w:val="roman"/>
    <w:notTrueType/>
    <w:pitch w:val="default"/>
    <w:sig w:usb0="00000003" w:usb1="00000000" w:usb2="00000000" w:usb3="00000000" w:csb0="00000001" w:csb1="00000000"/>
  </w:font>
  <w:font w:name="TimesNewRomanPSMT">
    <w:altName w:val="Times New Roman"/>
    <w:panose1 w:val="02020603050405020304"/>
    <w:charset w:val="4D"/>
    <w:family w:val="roman"/>
    <w:notTrueType/>
    <w:pitch w:val="default"/>
    <w:sig w:usb0="03000000" w:usb1="00000000" w:usb2="00000000" w:usb3="00000000" w:csb0="00000001" w:csb1="00000000"/>
  </w:font>
  <w:font w:name="HiddenHorzOCR">
    <w:altName w:val="MS Mincho"/>
    <w:panose1 w:val="020B0604020202020204"/>
    <w:charset w:val="80"/>
    <w:family w:val="auto"/>
    <w:notTrueType/>
    <w:pitch w:val="default"/>
    <w:sig w:usb0="00000001" w:usb1="08070000" w:usb2="00000010" w:usb3="00000000" w:csb0="00020000" w:csb1="00000000"/>
  </w:font>
  <w:font w:name="TTE16D1F90t00">
    <w:altName w:val="Times New Roman"/>
    <w:panose1 w:val="020B0604020202020204"/>
    <w:charset w:val="4D"/>
    <w:family w:val="auto"/>
    <w:notTrueType/>
    <w:pitch w:val="default"/>
    <w:sig w:usb0="00000003" w:usb1="00000000" w:usb2="00000000" w:usb3="00000000" w:csb0="00000001" w:csb1="00000000"/>
  </w:font>
  <w:font w:name="TimesNewRoman">
    <w:panose1 w:val="020B0604020202020204"/>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97711" w14:textId="77777777" w:rsidR="00BF4179" w:rsidRDefault="00BF4179" w:rsidP="0028583A">
      <w:r>
        <w:separator/>
      </w:r>
    </w:p>
  </w:footnote>
  <w:footnote w:type="continuationSeparator" w:id="0">
    <w:p w14:paraId="4CC40824" w14:textId="77777777" w:rsidR="00BF4179" w:rsidRDefault="00BF4179" w:rsidP="0028583A">
      <w:r>
        <w:continuationSeparator/>
      </w:r>
    </w:p>
  </w:footnote>
  <w:footnote w:id="1">
    <w:p w14:paraId="56F042DD" w14:textId="324FD76E" w:rsidR="0094754F" w:rsidRPr="00C62A4E" w:rsidRDefault="0094754F"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Los hechos del caso ocurrieron el 21 de octubre de 1990 cuando Ernesto Rafael Castillo Páez, estudiante universitario de 22 años de edad, fue detenido por agentes de la Policía General en el Distrito de Villa El Salvador, Lima. Cuando fue detenido, los agentes lo golpearon y lo introdujeron en el baúl de un vehículo policial. Desde esa fecha no se tiene conocimiento de su paradero. Los familiares de Ernesto Rafael Castillo Páez iniciaron su búsqueda. Al no encontrarlo en las diversas dependencias policiales, presentaron una serie de recursos judiciales para localizarlo. No obstante, no se realizaron mayores investigaciones y no se pudo sancionar a los responsables.</w:t>
      </w:r>
      <w:r w:rsidR="006A660B" w:rsidRPr="00C62A4E">
        <w:rPr>
          <w:rFonts w:ascii="Verdana" w:hAnsi="Verdana"/>
          <w:sz w:val="16"/>
          <w:szCs w:val="16"/>
          <w:lang w:val="es-CL"/>
        </w:rPr>
        <w:t xml:space="preserve"> La Corte </w:t>
      </w:r>
      <w:proofErr w:type="spellStart"/>
      <w:r w:rsidR="006A660B" w:rsidRPr="00C62A4E">
        <w:rPr>
          <w:rFonts w:ascii="Verdana" w:hAnsi="Verdana"/>
          <w:sz w:val="16"/>
          <w:szCs w:val="16"/>
          <w:lang w:val="es-CL"/>
        </w:rPr>
        <w:t>decterminó</w:t>
      </w:r>
      <w:proofErr w:type="spellEnd"/>
      <w:r w:rsidR="006A660B" w:rsidRPr="00C62A4E">
        <w:rPr>
          <w:rFonts w:ascii="Verdana" w:hAnsi="Verdana"/>
          <w:sz w:val="16"/>
          <w:szCs w:val="16"/>
          <w:lang w:val="es-CL"/>
        </w:rPr>
        <w:t xml:space="preserve"> la violación de los siguientes derechos convencionales: </w:t>
      </w:r>
      <w:proofErr w:type="spellStart"/>
      <w:r w:rsidR="006A660B" w:rsidRPr="00C62A4E">
        <w:rPr>
          <w:rFonts w:ascii="Verdana" w:hAnsi="Verdana"/>
          <w:sz w:val="16"/>
          <w:szCs w:val="16"/>
          <w:lang w:val="es-CL"/>
        </w:rPr>
        <w:t>rtículo</w:t>
      </w:r>
      <w:proofErr w:type="spellEnd"/>
      <w:r w:rsidR="006A660B" w:rsidRPr="00C62A4E">
        <w:rPr>
          <w:rFonts w:ascii="Verdana" w:hAnsi="Verdana"/>
          <w:sz w:val="16"/>
          <w:szCs w:val="16"/>
          <w:lang w:val="es-CL"/>
        </w:rPr>
        <w:t xml:space="preserve"> 1 (Obligación de respetar los derechos.) , Artículo 17 ( Protección a la Familia) , Artículo 25 (Protección Judicial) , Artículo 4 (Derecho a la vida) , Artículo 5 (Derecho a la Integridad Personal) , Artículo 7 (Derecho a la libertad personal) , Artículo 8 (Garantías Judiciales).</w:t>
      </w:r>
    </w:p>
  </w:footnote>
  <w:footnote w:id="2">
    <w:p w14:paraId="5A420C93" w14:textId="77777777" w:rsidR="0094754F" w:rsidRPr="00C62A4E" w:rsidRDefault="0094754F"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Los hechos del presente caso se contextualizan un una época donde existió una práctica generalizada de tratos crueles, inhumanos y degradantes con motivo de las investigaciones criminales por delitos de traición a la patria y terrorismo. El 6 de febrero de 1993 María Elena Loayza Tamayo, profesora universitaria, fue detenida por miembros de la División Nacional contra el Terrorismo (DINCOTE) en un inmueble ubicado en el Distrito Los Olivos, en la ciudad de Lima. La detención se produjo en base a su presunta colaboración con el grupo armado Sendero Luminoso. María Elena Loayza Tamayo fue llevada al centro de la DINCOTE donde estuvo </w:t>
      </w:r>
      <w:proofErr w:type="spellStart"/>
      <w:r w:rsidRPr="00C62A4E">
        <w:rPr>
          <w:rFonts w:ascii="Verdana" w:hAnsi="Verdana"/>
          <w:sz w:val="16"/>
          <w:szCs w:val="16"/>
          <w:lang w:val="es-CL"/>
        </w:rPr>
        <w:t>incomunidad</w:t>
      </w:r>
      <w:proofErr w:type="spellEnd"/>
      <w:r w:rsidRPr="00C62A4E">
        <w:rPr>
          <w:rFonts w:ascii="Verdana" w:hAnsi="Verdana"/>
          <w:sz w:val="16"/>
          <w:szCs w:val="16"/>
          <w:lang w:val="es-CL"/>
        </w:rPr>
        <w:t xml:space="preserve"> e imposibilitada de presentar un recurso judicial para cuestionar su detención. Luego de ella fue exhibida como terrorista públicamente a través de medios de comunicación con un traje a rayas. Luego de ello fue procesada y posteriormente absuelta por el delito de traición a la patria en el fuero militar. Seguidamente fue procesada en el fuero ordinario por el delito de terrorismo y fue condenada a 20 años de pena privativa de la libertad.</w:t>
      </w:r>
    </w:p>
  </w:footnote>
  <w:footnote w:id="3">
    <w:p w14:paraId="38554B67" w14:textId="1A74C4A3" w:rsidR="0094754F" w:rsidRPr="00C62A4E" w:rsidRDefault="0094754F"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w:t>
      </w:r>
      <w:r w:rsidR="006E7A90" w:rsidRPr="00C62A4E">
        <w:rPr>
          <w:rFonts w:ascii="Verdana" w:hAnsi="Verdana"/>
          <w:sz w:val="16"/>
          <w:szCs w:val="16"/>
          <w:lang w:val="es-CL"/>
        </w:rPr>
        <w:t xml:space="preserve">El caso se refiere a la responsabilidad internacional del Estado por la muerte y maltratos a los que fue sometido </w:t>
      </w:r>
      <w:proofErr w:type="spellStart"/>
      <w:r w:rsidR="006E7A90" w:rsidRPr="00C62A4E">
        <w:rPr>
          <w:rFonts w:ascii="Verdana" w:hAnsi="Verdana"/>
          <w:sz w:val="16"/>
          <w:szCs w:val="16"/>
          <w:lang w:val="es-CL"/>
        </w:rPr>
        <w:t>Ximenes</w:t>
      </w:r>
      <w:proofErr w:type="spellEnd"/>
      <w:r w:rsidR="006E7A90" w:rsidRPr="00C62A4E">
        <w:rPr>
          <w:rFonts w:ascii="Verdana" w:hAnsi="Verdana"/>
          <w:sz w:val="16"/>
          <w:szCs w:val="16"/>
          <w:lang w:val="es-CL"/>
        </w:rPr>
        <w:t xml:space="preserve"> </w:t>
      </w:r>
      <w:proofErr w:type="spellStart"/>
      <w:r w:rsidR="006E7A90" w:rsidRPr="00C62A4E">
        <w:rPr>
          <w:rFonts w:ascii="Verdana" w:hAnsi="Verdana"/>
          <w:sz w:val="16"/>
          <w:szCs w:val="16"/>
          <w:lang w:val="es-CL"/>
        </w:rPr>
        <w:t>Lopes</w:t>
      </w:r>
      <w:proofErr w:type="spellEnd"/>
      <w:r w:rsidR="006E7A90" w:rsidRPr="00C62A4E">
        <w:rPr>
          <w:rFonts w:ascii="Verdana" w:hAnsi="Verdana"/>
          <w:sz w:val="16"/>
          <w:szCs w:val="16"/>
          <w:lang w:val="es-CL"/>
        </w:rPr>
        <w:t xml:space="preserve"> en una institución mental, así como por la falta de investigación y sanción de los responsables. L</w:t>
      </w:r>
      <w:r w:rsidR="00AE6F5A" w:rsidRPr="00C62A4E">
        <w:rPr>
          <w:rFonts w:ascii="Verdana" w:hAnsi="Verdana"/>
          <w:sz w:val="16"/>
          <w:szCs w:val="16"/>
          <w:lang w:val="es-CL"/>
        </w:rPr>
        <w:t>a</w:t>
      </w:r>
      <w:r w:rsidR="006E7A90" w:rsidRPr="00C62A4E">
        <w:rPr>
          <w:rFonts w:ascii="Verdana" w:hAnsi="Verdana"/>
          <w:sz w:val="16"/>
          <w:szCs w:val="16"/>
          <w:lang w:val="es-CL"/>
        </w:rPr>
        <w:t xml:space="preserve"> Corte estableció la violación de los siguientes derechos convencionales: Artículo 1 (Obligación de respetar los derechos.) , Artículo 25 (Protección Judicial) , Artículo 4 (Derecho a la vida) , Artículo 5 (Derecho a la Integridad Personal) , Artículo 8 (Garantías Judiciales).</w:t>
      </w:r>
    </w:p>
    <w:p w14:paraId="106B6BA2" w14:textId="77777777" w:rsidR="00AE6F5A" w:rsidRPr="00C62A4E" w:rsidRDefault="00AE6F5A" w:rsidP="00C62A4E">
      <w:pPr>
        <w:pStyle w:val="Textonotapie"/>
        <w:rPr>
          <w:rFonts w:ascii="Verdana" w:hAnsi="Verdana"/>
          <w:sz w:val="16"/>
          <w:szCs w:val="16"/>
          <w:lang w:val="es-CL"/>
        </w:rPr>
      </w:pPr>
    </w:p>
  </w:footnote>
  <w:footnote w:id="4">
    <w:p w14:paraId="78A172EA" w14:textId="353CF3BF" w:rsidR="0094754F" w:rsidRPr="00C62A4E" w:rsidRDefault="0094754F"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Los hechos del presente caso se iniciaron el 13 de diciembre de 1998 en el marco de un operativo militar de las fuerzas armadas colombianas. Un helicóptero lanzó un dispositivo </w:t>
      </w:r>
      <w:proofErr w:type="spellStart"/>
      <w:r w:rsidRPr="00C62A4E">
        <w:rPr>
          <w:rFonts w:ascii="Verdana" w:hAnsi="Verdana"/>
          <w:sz w:val="16"/>
          <w:szCs w:val="16"/>
          <w:lang w:val="es-CL"/>
        </w:rPr>
        <w:t>cluster</w:t>
      </w:r>
      <w:proofErr w:type="spellEnd"/>
      <w:r w:rsidRPr="00C62A4E">
        <w:rPr>
          <w:rFonts w:ascii="Verdana" w:hAnsi="Verdana"/>
          <w:sz w:val="16"/>
          <w:szCs w:val="16"/>
          <w:lang w:val="es-CL"/>
        </w:rPr>
        <w:t xml:space="preserve"> de tipo AN-M1A2 compuesto por granadas o bombas de fragmentación AN-M41A sobre la calle principal de Santo Domingo lo que ocasionó la muerte de 17 personas, incluyendo niños y niñas, y 27 heridos.  El mismo 13 de diciembre muchas personas de Santo Domingo tuvieron que abandonar sus residencias y movilizarse al corregimiento de </w:t>
      </w:r>
      <w:proofErr w:type="spellStart"/>
      <w:r w:rsidRPr="00C62A4E">
        <w:rPr>
          <w:rFonts w:ascii="Verdana" w:hAnsi="Verdana"/>
          <w:sz w:val="16"/>
          <w:szCs w:val="16"/>
          <w:lang w:val="es-CL"/>
        </w:rPr>
        <w:t>Betoyes</w:t>
      </w:r>
      <w:proofErr w:type="spellEnd"/>
      <w:r w:rsidRPr="00C62A4E">
        <w:rPr>
          <w:rFonts w:ascii="Verdana" w:hAnsi="Verdana"/>
          <w:sz w:val="16"/>
          <w:szCs w:val="16"/>
          <w:lang w:val="es-CL"/>
        </w:rPr>
        <w:t xml:space="preserve"> en el municipio de </w:t>
      </w:r>
      <w:proofErr w:type="spellStart"/>
      <w:r w:rsidRPr="00C62A4E">
        <w:rPr>
          <w:rFonts w:ascii="Verdana" w:hAnsi="Verdana"/>
          <w:sz w:val="16"/>
          <w:szCs w:val="16"/>
          <w:lang w:val="es-CL"/>
        </w:rPr>
        <w:t>Tame</w:t>
      </w:r>
      <w:proofErr w:type="spellEnd"/>
      <w:r w:rsidRPr="00C62A4E">
        <w:rPr>
          <w:rFonts w:ascii="Verdana" w:hAnsi="Verdana"/>
          <w:sz w:val="16"/>
          <w:szCs w:val="16"/>
          <w:lang w:val="es-CL"/>
        </w:rPr>
        <w:t>. Además, la Fuerza Aérea Colombiana realizó ametrallamientos desde las aeronaves contra personas que iban en dirección opuesta al caserío. El Tribunal Contencioso Administrativo estableció la responsabilidad del Estado. Asimismo fueron condenados tres autores materiales.</w:t>
      </w:r>
      <w:r w:rsidR="00CF1DFC" w:rsidRPr="00C62A4E">
        <w:rPr>
          <w:rFonts w:ascii="Verdana" w:hAnsi="Verdana"/>
          <w:sz w:val="16"/>
          <w:szCs w:val="16"/>
          <w:lang w:val="es-CL"/>
        </w:rPr>
        <w:t xml:space="preserve"> La Corte estableció la violación de los siguientes derechos convencionales: </w:t>
      </w:r>
      <w:r w:rsidR="00CF1DFC" w:rsidRPr="00C62A4E">
        <w:rPr>
          <w:rFonts w:ascii="Verdana" w:hAnsi="Verdana"/>
          <w:sz w:val="16"/>
          <w:szCs w:val="16"/>
          <w:lang w:val="es-CL" w:eastAsia="es-ES"/>
        </w:rPr>
        <w:t>Artículo 1 (Obligación de respetar los derechos.) , Artículo 22 ( Derecho de circulación y de residencia) , Artículo 23 (Derechos políticos) , Artículo 25 (Protección Judicial) , Artículo 4 (Derecho a la vida) , Artículo 5 (Derecho a la Integridad Personal) , Artículo 8 (Garantías Judiciales)</w:t>
      </w:r>
      <w:r w:rsidR="00CF1DFC" w:rsidRPr="00C62A4E">
        <w:rPr>
          <w:rFonts w:ascii="Verdana" w:hAnsi="Verdana"/>
          <w:sz w:val="16"/>
          <w:szCs w:val="16"/>
          <w:lang w:val="es-CL"/>
        </w:rPr>
        <w:t>.</w:t>
      </w:r>
    </w:p>
    <w:p w14:paraId="7E5FAEC4" w14:textId="77777777" w:rsidR="00CF1DFC" w:rsidRPr="00C62A4E" w:rsidRDefault="00CF1DFC" w:rsidP="00C62A4E">
      <w:pPr>
        <w:pStyle w:val="Textonotapie"/>
        <w:rPr>
          <w:rFonts w:ascii="Verdana" w:hAnsi="Verdana"/>
          <w:sz w:val="16"/>
          <w:szCs w:val="16"/>
          <w:lang w:val="es-CL"/>
        </w:rPr>
      </w:pPr>
    </w:p>
  </w:footnote>
  <w:footnote w:id="5">
    <w:p w14:paraId="602B4828" w14:textId="1A5374A2" w:rsidR="00D764FE" w:rsidRPr="00D764FE" w:rsidRDefault="00D764FE" w:rsidP="00D764FE">
      <w:pPr>
        <w:pStyle w:val="Textonotapie"/>
        <w:rPr>
          <w:rFonts w:ascii="Verdana" w:hAnsi="Verdana" w:cstheme="minorHAnsi"/>
          <w:sz w:val="16"/>
          <w:szCs w:val="16"/>
          <w:lang w:val="es-CL"/>
        </w:rPr>
      </w:pPr>
      <w:r w:rsidRPr="00D764FE">
        <w:rPr>
          <w:rStyle w:val="Refdenotaalpie"/>
          <w:rFonts w:ascii="Verdana" w:hAnsi="Verdana" w:cstheme="minorHAnsi"/>
          <w:sz w:val="16"/>
          <w:szCs w:val="16"/>
        </w:rPr>
        <w:footnoteRef/>
      </w:r>
      <w:r w:rsidRPr="00D764FE">
        <w:rPr>
          <w:rFonts w:ascii="Verdana" w:hAnsi="Verdana" w:cstheme="minorHAnsi"/>
          <w:sz w:val="16"/>
          <w:szCs w:val="16"/>
          <w:lang w:val="es-CL"/>
        </w:rPr>
        <w:t xml:space="preserve"> El 29 de mayo de 2014 la Corte Interamericana de Derechos Humanos </w:t>
      </w:r>
      <w:proofErr w:type="spellStart"/>
      <w:r w:rsidRPr="00D764FE">
        <w:rPr>
          <w:rFonts w:ascii="Verdana" w:hAnsi="Verdana" w:cstheme="minorHAnsi"/>
          <w:sz w:val="16"/>
          <w:szCs w:val="16"/>
          <w:lang w:val="es-CL"/>
        </w:rPr>
        <w:t>emitio</w:t>
      </w:r>
      <w:proofErr w:type="spellEnd"/>
      <w:r w:rsidRPr="00D764FE">
        <w:rPr>
          <w:rFonts w:ascii="Verdana" w:hAnsi="Verdana" w:cstheme="minorHAnsi"/>
          <w:sz w:val="16"/>
          <w:szCs w:val="16"/>
          <w:lang w:val="es-CL"/>
        </w:rPr>
        <w:t xml:space="preserve">́ su sentencia sobre el fondo, las reparaciones y costas en el presente caso, en la cual declaró, por unanimidad, que el Estado es responsable por la </w:t>
      </w:r>
      <w:proofErr w:type="spellStart"/>
      <w:r w:rsidRPr="00D764FE">
        <w:rPr>
          <w:rFonts w:ascii="Verdana" w:hAnsi="Verdana" w:cstheme="minorHAnsi"/>
          <w:sz w:val="16"/>
          <w:szCs w:val="16"/>
          <w:lang w:val="es-CL"/>
        </w:rPr>
        <w:t>violación</w:t>
      </w:r>
      <w:proofErr w:type="spellEnd"/>
      <w:r w:rsidRPr="00D764FE">
        <w:rPr>
          <w:rFonts w:ascii="Verdana" w:hAnsi="Verdana" w:cstheme="minorHAnsi"/>
          <w:sz w:val="16"/>
          <w:szCs w:val="16"/>
          <w:lang w:val="es-CL"/>
        </w:rPr>
        <w:t xml:space="preserve"> del principio de legalidad y el derecho a la </w:t>
      </w:r>
      <w:proofErr w:type="spellStart"/>
      <w:r w:rsidRPr="00D764FE">
        <w:rPr>
          <w:rFonts w:ascii="Verdana" w:hAnsi="Verdana" w:cstheme="minorHAnsi"/>
          <w:sz w:val="16"/>
          <w:szCs w:val="16"/>
          <w:lang w:val="es-CL"/>
        </w:rPr>
        <w:t>presunción</w:t>
      </w:r>
      <w:proofErr w:type="spellEnd"/>
      <w:r w:rsidRPr="00D764FE">
        <w:rPr>
          <w:rFonts w:ascii="Verdana" w:hAnsi="Verdana" w:cstheme="minorHAnsi"/>
          <w:sz w:val="16"/>
          <w:szCs w:val="16"/>
          <w:lang w:val="es-CL"/>
        </w:rPr>
        <w:t xml:space="preserve"> de inocencia, </w:t>
      </w:r>
      <w:proofErr w:type="spellStart"/>
      <w:r w:rsidRPr="00D764FE">
        <w:rPr>
          <w:rFonts w:ascii="Verdana" w:hAnsi="Verdana" w:cstheme="minorHAnsi"/>
          <w:sz w:val="16"/>
          <w:szCs w:val="16"/>
          <w:lang w:val="es-CL"/>
        </w:rPr>
        <w:t>asi</w:t>
      </w:r>
      <w:proofErr w:type="spellEnd"/>
      <w:r w:rsidRPr="00D764FE">
        <w:rPr>
          <w:rFonts w:ascii="Verdana" w:hAnsi="Verdana" w:cstheme="minorHAnsi"/>
          <w:sz w:val="16"/>
          <w:szCs w:val="16"/>
          <w:lang w:val="es-CL"/>
        </w:rPr>
        <w:t xml:space="preserve">́ como por la </w:t>
      </w:r>
      <w:proofErr w:type="spellStart"/>
      <w:r w:rsidRPr="00D764FE">
        <w:rPr>
          <w:rFonts w:ascii="Verdana" w:hAnsi="Verdana" w:cstheme="minorHAnsi"/>
          <w:sz w:val="16"/>
          <w:szCs w:val="16"/>
          <w:lang w:val="es-CL"/>
        </w:rPr>
        <w:t>violación</w:t>
      </w:r>
      <w:proofErr w:type="spellEnd"/>
      <w:r w:rsidRPr="00D764FE">
        <w:rPr>
          <w:rFonts w:ascii="Verdana" w:hAnsi="Verdana" w:cstheme="minorHAnsi"/>
          <w:sz w:val="16"/>
          <w:szCs w:val="16"/>
          <w:lang w:val="es-CL"/>
        </w:rPr>
        <w:t xml:space="preserve"> del principio de igualdad y no discriminación y el derecho a la igual protección de la ley y del derecho a la libertad personal, en perjuicio de los </w:t>
      </w:r>
      <w:proofErr w:type="spellStart"/>
      <w:r w:rsidRPr="00D764FE">
        <w:rPr>
          <w:rFonts w:ascii="Verdana" w:hAnsi="Verdana" w:cstheme="minorHAnsi"/>
          <w:sz w:val="16"/>
          <w:szCs w:val="16"/>
          <w:lang w:val="es-CL"/>
        </w:rPr>
        <w:t>señores</w:t>
      </w:r>
      <w:proofErr w:type="spellEnd"/>
      <w:r w:rsidRPr="00D764FE">
        <w:rPr>
          <w:rFonts w:ascii="Verdana" w:hAnsi="Verdana" w:cstheme="minorHAnsi"/>
          <w:sz w:val="16"/>
          <w:szCs w:val="16"/>
          <w:lang w:val="es-CL"/>
        </w:rPr>
        <w:t xml:space="preserve"> Segundo Aniceto </w:t>
      </w:r>
      <w:proofErr w:type="spellStart"/>
      <w:r w:rsidRPr="00D764FE">
        <w:rPr>
          <w:rFonts w:ascii="Verdana" w:hAnsi="Verdana" w:cstheme="minorHAnsi"/>
          <w:sz w:val="16"/>
          <w:szCs w:val="16"/>
          <w:lang w:val="es-CL"/>
        </w:rPr>
        <w:t>Norín</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Catrimán</w:t>
      </w:r>
      <w:proofErr w:type="spellEnd"/>
      <w:r w:rsidRPr="00D764FE">
        <w:rPr>
          <w:rFonts w:ascii="Verdana" w:hAnsi="Verdana" w:cstheme="minorHAnsi"/>
          <w:sz w:val="16"/>
          <w:szCs w:val="16"/>
          <w:lang w:val="es-CL"/>
        </w:rPr>
        <w:t xml:space="preserve">, Pascual </w:t>
      </w:r>
      <w:proofErr w:type="spellStart"/>
      <w:r w:rsidRPr="00D764FE">
        <w:rPr>
          <w:rFonts w:ascii="Verdana" w:hAnsi="Verdana" w:cstheme="minorHAnsi"/>
          <w:sz w:val="16"/>
          <w:szCs w:val="16"/>
          <w:lang w:val="es-CL"/>
        </w:rPr>
        <w:t>Huentequeo</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Pichún</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Paillalao</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Víctor</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Ancalaf</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Llaupe</w:t>
      </w:r>
      <w:proofErr w:type="spellEnd"/>
      <w:r w:rsidRPr="00D764FE">
        <w:rPr>
          <w:rFonts w:ascii="Verdana" w:hAnsi="Verdana" w:cstheme="minorHAnsi"/>
          <w:sz w:val="16"/>
          <w:szCs w:val="16"/>
          <w:lang w:val="es-CL"/>
        </w:rPr>
        <w:t xml:space="preserve">, Juan Patricio </w:t>
      </w:r>
      <w:proofErr w:type="spellStart"/>
      <w:r w:rsidRPr="00D764FE">
        <w:rPr>
          <w:rFonts w:ascii="Verdana" w:hAnsi="Verdana" w:cstheme="minorHAnsi"/>
          <w:sz w:val="16"/>
          <w:szCs w:val="16"/>
          <w:lang w:val="es-CL"/>
        </w:rPr>
        <w:t>Marileo</w:t>
      </w:r>
      <w:proofErr w:type="spellEnd"/>
      <w:r w:rsidRPr="00D764FE">
        <w:rPr>
          <w:rFonts w:ascii="Verdana" w:hAnsi="Verdana" w:cstheme="minorHAnsi"/>
          <w:sz w:val="16"/>
          <w:szCs w:val="16"/>
          <w:lang w:val="es-CL"/>
        </w:rPr>
        <w:t xml:space="preserve"> Saravia, Florencio Jaime </w:t>
      </w:r>
      <w:proofErr w:type="spellStart"/>
      <w:r w:rsidRPr="00D764FE">
        <w:rPr>
          <w:rFonts w:ascii="Verdana" w:hAnsi="Verdana" w:cstheme="minorHAnsi"/>
          <w:sz w:val="16"/>
          <w:szCs w:val="16"/>
          <w:lang w:val="es-CL"/>
        </w:rPr>
        <w:t>Marileo</w:t>
      </w:r>
      <w:proofErr w:type="spellEnd"/>
      <w:r w:rsidRPr="00D764FE">
        <w:rPr>
          <w:rFonts w:ascii="Verdana" w:hAnsi="Verdana" w:cstheme="minorHAnsi"/>
          <w:sz w:val="16"/>
          <w:szCs w:val="16"/>
          <w:lang w:val="es-CL"/>
        </w:rPr>
        <w:t xml:space="preserve"> Saravia, </w:t>
      </w:r>
      <w:proofErr w:type="spellStart"/>
      <w:r w:rsidRPr="00D764FE">
        <w:rPr>
          <w:rFonts w:ascii="Verdana" w:hAnsi="Verdana" w:cstheme="minorHAnsi"/>
          <w:sz w:val="16"/>
          <w:szCs w:val="16"/>
          <w:lang w:val="es-CL"/>
        </w:rPr>
        <w:t>Jose</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Benicio</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Huenchunao</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Mariñán</w:t>
      </w:r>
      <w:proofErr w:type="spellEnd"/>
      <w:r w:rsidRPr="00D764FE">
        <w:rPr>
          <w:rFonts w:ascii="Verdana" w:hAnsi="Verdana" w:cstheme="minorHAnsi"/>
          <w:sz w:val="16"/>
          <w:szCs w:val="16"/>
          <w:lang w:val="es-CL"/>
        </w:rPr>
        <w:t xml:space="preserve">, Juan Ciriaco </w:t>
      </w:r>
      <w:proofErr w:type="spellStart"/>
      <w:r w:rsidRPr="00D764FE">
        <w:rPr>
          <w:rFonts w:ascii="Verdana" w:hAnsi="Verdana" w:cstheme="minorHAnsi"/>
          <w:sz w:val="16"/>
          <w:szCs w:val="16"/>
          <w:lang w:val="es-CL"/>
        </w:rPr>
        <w:t>Millacheo</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Licán</w:t>
      </w:r>
      <w:proofErr w:type="spellEnd"/>
      <w:r w:rsidRPr="00D764FE">
        <w:rPr>
          <w:rFonts w:ascii="Verdana" w:hAnsi="Verdana" w:cstheme="minorHAnsi"/>
          <w:sz w:val="16"/>
          <w:szCs w:val="16"/>
          <w:lang w:val="es-CL"/>
        </w:rPr>
        <w:t xml:space="preserve"> y la </w:t>
      </w:r>
      <w:proofErr w:type="spellStart"/>
      <w:r w:rsidRPr="00D764FE">
        <w:rPr>
          <w:rFonts w:ascii="Verdana" w:hAnsi="Verdana" w:cstheme="minorHAnsi"/>
          <w:sz w:val="16"/>
          <w:szCs w:val="16"/>
          <w:lang w:val="es-CL"/>
        </w:rPr>
        <w:t>señora</w:t>
      </w:r>
      <w:proofErr w:type="spellEnd"/>
      <w:r w:rsidRPr="00D764FE">
        <w:rPr>
          <w:rFonts w:ascii="Verdana" w:hAnsi="Verdana" w:cstheme="minorHAnsi"/>
          <w:sz w:val="16"/>
          <w:szCs w:val="16"/>
          <w:lang w:val="es-CL"/>
        </w:rPr>
        <w:t xml:space="preserve"> Patricia Roxana Troncoso Robles. Asimismo, la Corte declaró, por unanimidad, que Chile violó el derecho de la defensa a interrogar testigos, en perjuicio de los </w:t>
      </w:r>
      <w:proofErr w:type="spellStart"/>
      <w:r w:rsidRPr="00D764FE">
        <w:rPr>
          <w:rFonts w:ascii="Verdana" w:hAnsi="Verdana" w:cstheme="minorHAnsi"/>
          <w:sz w:val="16"/>
          <w:szCs w:val="16"/>
          <w:lang w:val="es-CL"/>
        </w:rPr>
        <w:t>señores</w:t>
      </w:r>
      <w:proofErr w:type="spellEnd"/>
      <w:r w:rsidRPr="00D764FE">
        <w:rPr>
          <w:rFonts w:ascii="Verdana" w:hAnsi="Verdana" w:cstheme="minorHAnsi"/>
          <w:sz w:val="16"/>
          <w:szCs w:val="16"/>
          <w:lang w:val="es-CL"/>
        </w:rPr>
        <w:t xml:space="preserve"> Pascual </w:t>
      </w:r>
      <w:proofErr w:type="spellStart"/>
      <w:r w:rsidRPr="00D764FE">
        <w:rPr>
          <w:rFonts w:ascii="Verdana" w:hAnsi="Verdana" w:cstheme="minorHAnsi"/>
          <w:sz w:val="16"/>
          <w:szCs w:val="16"/>
          <w:lang w:val="es-CL"/>
        </w:rPr>
        <w:t>Huentequeo</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Pichún</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Paillalao</w:t>
      </w:r>
      <w:proofErr w:type="spellEnd"/>
      <w:r w:rsidRPr="00D764FE">
        <w:rPr>
          <w:rFonts w:ascii="Verdana" w:hAnsi="Verdana" w:cstheme="minorHAnsi"/>
          <w:sz w:val="16"/>
          <w:szCs w:val="16"/>
          <w:lang w:val="es-CL"/>
        </w:rPr>
        <w:t xml:space="preserve"> y </w:t>
      </w:r>
      <w:proofErr w:type="spellStart"/>
      <w:r w:rsidRPr="00D764FE">
        <w:rPr>
          <w:rFonts w:ascii="Verdana" w:hAnsi="Verdana" w:cstheme="minorHAnsi"/>
          <w:sz w:val="16"/>
          <w:szCs w:val="16"/>
          <w:lang w:val="es-CL"/>
        </w:rPr>
        <w:t>Víctor</w:t>
      </w:r>
      <w:proofErr w:type="spellEnd"/>
      <w:r w:rsidRPr="00D764FE">
        <w:rPr>
          <w:rFonts w:ascii="Verdana" w:hAnsi="Verdana" w:cstheme="minorHAnsi"/>
          <w:sz w:val="16"/>
          <w:szCs w:val="16"/>
          <w:lang w:val="es-CL"/>
        </w:rPr>
        <w:t xml:space="preserve"> Manuel </w:t>
      </w:r>
      <w:proofErr w:type="spellStart"/>
      <w:r w:rsidRPr="00D764FE">
        <w:rPr>
          <w:rFonts w:ascii="Verdana" w:hAnsi="Verdana" w:cstheme="minorHAnsi"/>
          <w:sz w:val="16"/>
          <w:szCs w:val="16"/>
          <w:lang w:val="es-CL"/>
        </w:rPr>
        <w:t>Ancalaf</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Llaupe</w:t>
      </w:r>
      <w:proofErr w:type="spellEnd"/>
      <w:r w:rsidRPr="00D764FE">
        <w:rPr>
          <w:rFonts w:ascii="Verdana" w:hAnsi="Verdana" w:cstheme="minorHAnsi"/>
          <w:sz w:val="16"/>
          <w:szCs w:val="16"/>
          <w:lang w:val="es-CL"/>
        </w:rPr>
        <w:t xml:space="preserve">. El Tribunal también concluyó, por unanimidad, que el Estado violó el derecho a recurrir del fallo ante juez o tribunal superior, en perjuicio de los </w:t>
      </w:r>
      <w:proofErr w:type="spellStart"/>
      <w:r w:rsidRPr="00D764FE">
        <w:rPr>
          <w:rFonts w:ascii="Verdana" w:hAnsi="Verdana" w:cstheme="minorHAnsi"/>
          <w:sz w:val="16"/>
          <w:szCs w:val="16"/>
          <w:lang w:val="es-CL"/>
        </w:rPr>
        <w:t>señores</w:t>
      </w:r>
      <w:proofErr w:type="spellEnd"/>
      <w:r w:rsidRPr="00D764FE">
        <w:rPr>
          <w:rFonts w:ascii="Verdana" w:hAnsi="Verdana" w:cstheme="minorHAnsi"/>
          <w:sz w:val="16"/>
          <w:szCs w:val="16"/>
          <w:lang w:val="es-CL"/>
        </w:rPr>
        <w:t xml:space="preserve"> Segundo Aniceto </w:t>
      </w:r>
      <w:proofErr w:type="spellStart"/>
      <w:r w:rsidRPr="00D764FE">
        <w:rPr>
          <w:rFonts w:ascii="Verdana" w:hAnsi="Verdana" w:cstheme="minorHAnsi"/>
          <w:sz w:val="16"/>
          <w:szCs w:val="16"/>
          <w:lang w:val="es-CL"/>
        </w:rPr>
        <w:t>Norín</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Catrimán</w:t>
      </w:r>
      <w:proofErr w:type="spellEnd"/>
      <w:r w:rsidRPr="00D764FE">
        <w:rPr>
          <w:rFonts w:ascii="Verdana" w:hAnsi="Verdana" w:cstheme="minorHAnsi"/>
          <w:sz w:val="16"/>
          <w:szCs w:val="16"/>
          <w:lang w:val="es-CL"/>
        </w:rPr>
        <w:t xml:space="preserve">, Pascual </w:t>
      </w:r>
      <w:proofErr w:type="spellStart"/>
      <w:r w:rsidRPr="00D764FE">
        <w:rPr>
          <w:rFonts w:ascii="Verdana" w:hAnsi="Verdana" w:cstheme="minorHAnsi"/>
          <w:sz w:val="16"/>
          <w:szCs w:val="16"/>
          <w:lang w:val="es-CL"/>
        </w:rPr>
        <w:t>Huentequeo</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Pichún</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Paillalao</w:t>
      </w:r>
      <w:proofErr w:type="spellEnd"/>
      <w:r w:rsidRPr="00D764FE">
        <w:rPr>
          <w:rFonts w:ascii="Verdana" w:hAnsi="Verdana" w:cstheme="minorHAnsi"/>
          <w:sz w:val="16"/>
          <w:szCs w:val="16"/>
          <w:lang w:val="es-CL"/>
        </w:rPr>
        <w:t xml:space="preserve">, Juan Patricio </w:t>
      </w:r>
      <w:proofErr w:type="spellStart"/>
      <w:r w:rsidRPr="00D764FE">
        <w:rPr>
          <w:rFonts w:ascii="Verdana" w:hAnsi="Verdana" w:cstheme="minorHAnsi"/>
          <w:sz w:val="16"/>
          <w:szCs w:val="16"/>
          <w:lang w:val="es-CL"/>
        </w:rPr>
        <w:t>Marileo</w:t>
      </w:r>
      <w:proofErr w:type="spellEnd"/>
      <w:r w:rsidRPr="00D764FE">
        <w:rPr>
          <w:rFonts w:ascii="Verdana" w:hAnsi="Verdana" w:cstheme="minorHAnsi"/>
          <w:sz w:val="16"/>
          <w:szCs w:val="16"/>
          <w:lang w:val="es-CL"/>
        </w:rPr>
        <w:t xml:space="preserve"> Saravia, Florencio Jaime </w:t>
      </w:r>
      <w:proofErr w:type="spellStart"/>
      <w:r w:rsidRPr="00D764FE">
        <w:rPr>
          <w:rFonts w:ascii="Verdana" w:hAnsi="Verdana" w:cstheme="minorHAnsi"/>
          <w:sz w:val="16"/>
          <w:szCs w:val="16"/>
          <w:lang w:val="es-CL"/>
        </w:rPr>
        <w:t>Marileo</w:t>
      </w:r>
      <w:proofErr w:type="spellEnd"/>
      <w:r w:rsidRPr="00D764FE">
        <w:rPr>
          <w:rFonts w:ascii="Verdana" w:hAnsi="Verdana" w:cstheme="minorHAnsi"/>
          <w:sz w:val="16"/>
          <w:szCs w:val="16"/>
          <w:lang w:val="es-CL"/>
        </w:rPr>
        <w:t xml:space="preserve"> Saravia, </w:t>
      </w:r>
      <w:proofErr w:type="spellStart"/>
      <w:r w:rsidRPr="00D764FE">
        <w:rPr>
          <w:rFonts w:ascii="Verdana" w:hAnsi="Verdana" w:cstheme="minorHAnsi"/>
          <w:sz w:val="16"/>
          <w:szCs w:val="16"/>
          <w:lang w:val="es-CL"/>
        </w:rPr>
        <w:t>Jose</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Benicio</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Huenchunao</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Mariñán</w:t>
      </w:r>
      <w:proofErr w:type="spellEnd"/>
      <w:r w:rsidRPr="00D764FE">
        <w:rPr>
          <w:rFonts w:ascii="Verdana" w:hAnsi="Verdana" w:cstheme="minorHAnsi"/>
          <w:sz w:val="16"/>
          <w:szCs w:val="16"/>
          <w:lang w:val="es-CL"/>
        </w:rPr>
        <w:t xml:space="preserve">, Juan Ciriaco </w:t>
      </w:r>
      <w:proofErr w:type="spellStart"/>
      <w:r w:rsidRPr="00D764FE">
        <w:rPr>
          <w:rFonts w:ascii="Verdana" w:hAnsi="Verdana" w:cstheme="minorHAnsi"/>
          <w:sz w:val="16"/>
          <w:szCs w:val="16"/>
          <w:lang w:val="es-CL"/>
        </w:rPr>
        <w:t>Millacheo</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Licán</w:t>
      </w:r>
      <w:proofErr w:type="spellEnd"/>
      <w:r w:rsidRPr="00D764FE">
        <w:rPr>
          <w:rFonts w:ascii="Verdana" w:hAnsi="Verdana" w:cstheme="minorHAnsi"/>
          <w:sz w:val="16"/>
          <w:szCs w:val="16"/>
          <w:lang w:val="es-CL"/>
        </w:rPr>
        <w:t xml:space="preserve"> y la </w:t>
      </w:r>
      <w:proofErr w:type="spellStart"/>
      <w:r w:rsidRPr="00D764FE">
        <w:rPr>
          <w:rFonts w:ascii="Verdana" w:hAnsi="Verdana" w:cstheme="minorHAnsi"/>
          <w:sz w:val="16"/>
          <w:szCs w:val="16"/>
          <w:lang w:val="es-CL"/>
        </w:rPr>
        <w:t>señora</w:t>
      </w:r>
      <w:proofErr w:type="spellEnd"/>
      <w:r w:rsidRPr="00D764FE">
        <w:rPr>
          <w:rFonts w:ascii="Verdana" w:hAnsi="Verdana" w:cstheme="minorHAnsi"/>
          <w:sz w:val="16"/>
          <w:szCs w:val="16"/>
          <w:lang w:val="es-CL"/>
        </w:rPr>
        <w:t xml:space="preserve"> Patricia Roxana Troncoso Robles. </w:t>
      </w:r>
      <w:proofErr w:type="spellStart"/>
      <w:r w:rsidRPr="00D764FE">
        <w:rPr>
          <w:rFonts w:ascii="Verdana" w:hAnsi="Verdana" w:cstheme="minorHAnsi"/>
          <w:sz w:val="16"/>
          <w:szCs w:val="16"/>
          <w:lang w:val="es-CL"/>
        </w:rPr>
        <w:t>Además</w:t>
      </w:r>
      <w:proofErr w:type="spellEnd"/>
      <w:r w:rsidRPr="00D764FE">
        <w:rPr>
          <w:rFonts w:ascii="Verdana" w:hAnsi="Verdana" w:cstheme="minorHAnsi"/>
          <w:sz w:val="16"/>
          <w:szCs w:val="16"/>
          <w:lang w:val="es-CL"/>
        </w:rPr>
        <w:t xml:space="preserve">, la Corte declaró, por unanimidad, que el Estado violó el derecho a la libertad de pensamiento y de </w:t>
      </w:r>
      <w:proofErr w:type="spellStart"/>
      <w:r w:rsidRPr="00D764FE">
        <w:rPr>
          <w:rFonts w:ascii="Verdana" w:hAnsi="Verdana" w:cstheme="minorHAnsi"/>
          <w:sz w:val="16"/>
          <w:szCs w:val="16"/>
          <w:lang w:val="es-CL"/>
        </w:rPr>
        <w:t>expresión</w:t>
      </w:r>
      <w:proofErr w:type="spellEnd"/>
      <w:r w:rsidRPr="00D764FE">
        <w:rPr>
          <w:rFonts w:ascii="Verdana" w:hAnsi="Verdana" w:cstheme="minorHAnsi"/>
          <w:sz w:val="16"/>
          <w:szCs w:val="16"/>
          <w:lang w:val="es-CL"/>
        </w:rPr>
        <w:t xml:space="preserve">, en perjuicio de los </w:t>
      </w:r>
      <w:proofErr w:type="spellStart"/>
      <w:r w:rsidRPr="00D764FE">
        <w:rPr>
          <w:rFonts w:ascii="Verdana" w:hAnsi="Verdana" w:cstheme="minorHAnsi"/>
          <w:sz w:val="16"/>
          <w:szCs w:val="16"/>
          <w:lang w:val="es-CL"/>
        </w:rPr>
        <w:t>señores</w:t>
      </w:r>
      <w:proofErr w:type="spellEnd"/>
      <w:r w:rsidRPr="00D764FE">
        <w:rPr>
          <w:rFonts w:ascii="Verdana" w:hAnsi="Verdana" w:cstheme="minorHAnsi"/>
          <w:sz w:val="16"/>
          <w:szCs w:val="16"/>
          <w:lang w:val="es-CL"/>
        </w:rPr>
        <w:t xml:space="preserve"> Segundo Aniceto </w:t>
      </w:r>
      <w:proofErr w:type="spellStart"/>
      <w:r w:rsidRPr="00D764FE">
        <w:rPr>
          <w:rFonts w:ascii="Verdana" w:hAnsi="Verdana" w:cstheme="minorHAnsi"/>
          <w:sz w:val="16"/>
          <w:szCs w:val="16"/>
          <w:lang w:val="es-CL"/>
        </w:rPr>
        <w:t>Norín</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Catrimán</w:t>
      </w:r>
      <w:proofErr w:type="spellEnd"/>
      <w:r w:rsidRPr="00D764FE">
        <w:rPr>
          <w:rFonts w:ascii="Verdana" w:hAnsi="Verdana" w:cstheme="minorHAnsi"/>
          <w:sz w:val="16"/>
          <w:szCs w:val="16"/>
          <w:lang w:val="es-CL"/>
        </w:rPr>
        <w:t xml:space="preserve">, Pascual </w:t>
      </w:r>
      <w:proofErr w:type="spellStart"/>
      <w:r w:rsidRPr="00D764FE">
        <w:rPr>
          <w:rFonts w:ascii="Verdana" w:hAnsi="Verdana" w:cstheme="minorHAnsi"/>
          <w:sz w:val="16"/>
          <w:szCs w:val="16"/>
          <w:lang w:val="es-CL"/>
        </w:rPr>
        <w:t>Huentequeo</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Pichún</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Paillalao</w:t>
      </w:r>
      <w:proofErr w:type="spellEnd"/>
      <w:r w:rsidRPr="00D764FE">
        <w:rPr>
          <w:rFonts w:ascii="Verdana" w:hAnsi="Verdana" w:cstheme="minorHAnsi"/>
          <w:sz w:val="16"/>
          <w:szCs w:val="16"/>
          <w:lang w:val="es-CL"/>
        </w:rPr>
        <w:t xml:space="preserve"> y </w:t>
      </w:r>
      <w:proofErr w:type="spellStart"/>
      <w:r w:rsidRPr="00D764FE">
        <w:rPr>
          <w:rFonts w:ascii="Verdana" w:hAnsi="Verdana" w:cstheme="minorHAnsi"/>
          <w:sz w:val="16"/>
          <w:szCs w:val="16"/>
          <w:lang w:val="es-CL"/>
        </w:rPr>
        <w:t>Víctor</w:t>
      </w:r>
      <w:proofErr w:type="spellEnd"/>
      <w:r w:rsidRPr="00D764FE">
        <w:rPr>
          <w:rFonts w:ascii="Verdana" w:hAnsi="Verdana" w:cstheme="minorHAnsi"/>
          <w:sz w:val="16"/>
          <w:szCs w:val="16"/>
          <w:lang w:val="es-CL"/>
        </w:rPr>
        <w:t xml:space="preserve"> Manuel </w:t>
      </w:r>
      <w:proofErr w:type="spellStart"/>
      <w:r w:rsidRPr="00D764FE">
        <w:rPr>
          <w:rFonts w:ascii="Verdana" w:hAnsi="Verdana" w:cstheme="minorHAnsi"/>
          <w:sz w:val="16"/>
          <w:szCs w:val="16"/>
          <w:lang w:val="es-CL"/>
        </w:rPr>
        <w:t>Ancalaf</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Llaupe</w:t>
      </w:r>
      <w:proofErr w:type="spellEnd"/>
      <w:r w:rsidRPr="00D764FE">
        <w:rPr>
          <w:rFonts w:ascii="Verdana" w:hAnsi="Verdana" w:cstheme="minorHAnsi"/>
          <w:sz w:val="16"/>
          <w:szCs w:val="16"/>
          <w:lang w:val="es-CL"/>
        </w:rPr>
        <w:t xml:space="preserve">, y que violó los derechos </w:t>
      </w:r>
      <w:proofErr w:type="spellStart"/>
      <w:r w:rsidRPr="00D764FE">
        <w:rPr>
          <w:rFonts w:ascii="Verdana" w:hAnsi="Verdana" w:cstheme="minorHAnsi"/>
          <w:sz w:val="16"/>
          <w:szCs w:val="16"/>
          <w:lang w:val="es-CL"/>
        </w:rPr>
        <w:t>políticos</w:t>
      </w:r>
      <w:proofErr w:type="spellEnd"/>
      <w:r w:rsidRPr="00D764FE">
        <w:rPr>
          <w:rFonts w:ascii="Verdana" w:hAnsi="Verdana" w:cstheme="minorHAnsi"/>
          <w:sz w:val="16"/>
          <w:szCs w:val="16"/>
          <w:lang w:val="es-CL"/>
        </w:rPr>
        <w:t xml:space="preserve">, en perjuicio de estas </w:t>
      </w:r>
      <w:proofErr w:type="spellStart"/>
      <w:r w:rsidRPr="00D764FE">
        <w:rPr>
          <w:rFonts w:ascii="Verdana" w:hAnsi="Verdana" w:cstheme="minorHAnsi"/>
          <w:sz w:val="16"/>
          <w:szCs w:val="16"/>
          <w:lang w:val="es-CL"/>
        </w:rPr>
        <w:t>últimas</w:t>
      </w:r>
      <w:proofErr w:type="spellEnd"/>
      <w:r w:rsidRPr="00D764FE">
        <w:rPr>
          <w:rFonts w:ascii="Verdana" w:hAnsi="Verdana" w:cstheme="minorHAnsi"/>
          <w:sz w:val="16"/>
          <w:szCs w:val="16"/>
          <w:lang w:val="es-CL"/>
        </w:rPr>
        <w:t xml:space="preserve"> tres personas y de los </w:t>
      </w:r>
      <w:proofErr w:type="spellStart"/>
      <w:r w:rsidRPr="00D764FE">
        <w:rPr>
          <w:rFonts w:ascii="Verdana" w:hAnsi="Verdana" w:cstheme="minorHAnsi"/>
          <w:sz w:val="16"/>
          <w:szCs w:val="16"/>
          <w:lang w:val="es-CL"/>
        </w:rPr>
        <w:t>señores</w:t>
      </w:r>
      <w:proofErr w:type="spellEnd"/>
      <w:r w:rsidRPr="00D764FE">
        <w:rPr>
          <w:rFonts w:ascii="Verdana" w:hAnsi="Verdana" w:cstheme="minorHAnsi"/>
          <w:sz w:val="16"/>
          <w:szCs w:val="16"/>
          <w:lang w:val="es-CL"/>
        </w:rPr>
        <w:t xml:space="preserve"> Juan Patricio </w:t>
      </w:r>
      <w:proofErr w:type="spellStart"/>
      <w:r w:rsidRPr="00D764FE">
        <w:rPr>
          <w:rFonts w:ascii="Verdana" w:hAnsi="Verdana" w:cstheme="minorHAnsi"/>
          <w:sz w:val="16"/>
          <w:szCs w:val="16"/>
          <w:lang w:val="es-CL"/>
        </w:rPr>
        <w:t>Marileo</w:t>
      </w:r>
      <w:proofErr w:type="spellEnd"/>
      <w:r w:rsidRPr="00D764FE">
        <w:rPr>
          <w:rFonts w:ascii="Verdana" w:hAnsi="Verdana" w:cstheme="minorHAnsi"/>
          <w:sz w:val="16"/>
          <w:szCs w:val="16"/>
          <w:lang w:val="es-CL"/>
        </w:rPr>
        <w:t xml:space="preserve"> Saravia, Florencio Jaime </w:t>
      </w:r>
      <w:proofErr w:type="spellStart"/>
      <w:r w:rsidRPr="00D764FE">
        <w:rPr>
          <w:rFonts w:ascii="Verdana" w:hAnsi="Verdana" w:cstheme="minorHAnsi"/>
          <w:sz w:val="16"/>
          <w:szCs w:val="16"/>
          <w:lang w:val="es-CL"/>
        </w:rPr>
        <w:t>Marileo</w:t>
      </w:r>
      <w:proofErr w:type="spellEnd"/>
      <w:r w:rsidRPr="00D764FE">
        <w:rPr>
          <w:rFonts w:ascii="Verdana" w:hAnsi="Verdana" w:cstheme="minorHAnsi"/>
          <w:sz w:val="16"/>
          <w:szCs w:val="16"/>
          <w:lang w:val="es-CL"/>
        </w:rPr>
        <w:t xml:space="preserve"> Saravia, </w:t>
      </w:r>
      <w:proofErr w:type="spellStart"/>
      <w:r w:rsidRPr="00D764FE">
        <w:rPr>
          <w:rFonts w:ascii="Verdana" w:hAnsi="Verdana" w:cstheme="minorHAnsi"/>
          <w:sz w:val="16"/>
          <w:szCs w:val="16"/>
          <w:lang w:val="es-CL"/>
        </w:rPr>
        <w:t>Jose</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Benicio</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Huenchunao</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Mariñán</w:t>
      </w:r>
      <w:proofErr w:type="spellEnd"/>
      <w:r w:rsidRPr="00D764FE">
        <w:rPr>
          <w:rFonts w:ascii="Verdana" w:hAnsi="Verdana" w:cstheme="minorHAnsi"/>
          <w:sz w:val="16"/>
          <w:szCs w:val="16"/>
          <w:lang w:val="es-CL"/>
        </w:rPr>
        <w:t xml:space="preserve">, Juan Ciriaco </w:t>
      </w:r>
      <w:proofErr w:type="spellStart"/>
      <w:r w:rsidRPr="00D764FE">
        <w:rPr>
          <w:rFonts w:ascii="Verdana" w:hAnsi="Verdana" w:cstheme="minorHAnsi"/>
          <w:sz w:val="16"/>
          <w:szCs w:val="16"/>
          <w:lang w:val="es-CL"/>
        </w:rPr>
        <w:t>Millacheo</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Licán</w:t>
      </w:r>
      <w:proofErr w:type="spellEnd"/>
      <w:r w:rsidRPr="00D764FE">
        <w:rPr>
          <w:rFonts w:ascii="Verdana" w:hAnsi="Verdana" w:cstheme="minorHAnsi"/>
          <w:sz w:val="16"/>
          <w:szCs w:val="16"/>
          <w:lang w:val="es-CL"/>
        </w:rPr>
        <w:t xml:space="preserve"> y la </w:t>
      </w:r>
      <w:proofErr w:type="spellStart"/>
      <w:r w:rsidRPr="00D764FE">
        <w:rPr>
          <w:rFonts w:ascii="Verdana" w:hAnsi="Verdana" w:cstheme="minorHAnsi"/>
          <w:sz w:val="16"/>
          <w:szCs w:val="16"/>
          <w:lang w:val="es-CL"/>
        </w:rPr>
        <w:t>señora</w:t>
      </w:r>
      <w:proofErr w:type="spellEnd"/>
      <w:r w:rsidRPr="00D764FE">
        <w:rPr>
          <w:rFonts w:ascii="Verdana" w:hAnsi="Verdana" w:cstheme="minorHAnsi"/>
          <w:sz w:val="16"/>
          <w:szCs w:val="16"/>
          <w:lang w:val="es-CL"/>
        </w:rPr>
        <w:t xml:space="preserve"> Patricia Troncoso Robles. El Tribunal también </w:t>
      </w:r>
      <w:proofErr w:type="spellStart"/>
      <w:r w:rsidRPr="00D764FE">
        <w:rPr>
          <w:rFonts w:ascii="Verdana" w:hAnsi="Verdana" w:cstheme="minorHAnsi"/>
          <w:sz w:val="16"/>
          <w:szCs w:val="16"/>
          <w:lang w:val="es-CL"/>
        </w:rPr>
        <w:t>resolvio</w:t>
      </w:r>
      <w:proofErr w:type="spellEnd"/>
      <w:r w:rsidRPr="00D764FE">
        <w:rPr>
          <w:rFonts w:ascii="Verdana" w:hAnsi="Verdana" w:cstheme="minorHAnsi"/>
          <w:sz w:val="16"/>
          <w:szCs w:val="16"/>
          <w:lang w:val="es-CL"/>
        </w:rPr>
        <w:t xml:space="preserve">́ que Chile es responsable por la </w:t>
      </w:r>
      <w:proofErr w:type="spellStart"/>
      <w:r w:rsidRPr="00D764FE">
        <w:rPr>
          <w:rFonts w:ascii="Verdana" w:hAnsi="Verdana" w:cstheme="minorHAnsi"/>
          <w:sz w:val="16"/>
          <w:szCs w:val="16"/>
          <w:lang w:val="es-CL"/>
        </w:rPr>
        <w:t>violación</w:t>
      </w:r>
      <w:proofErr w:type="spellEnd"/>
      <w:r w:rsidRPr="00D764FE">
        <w:rPr>
          <w:rFonts w:ascii="Verdana" w:hAnsi="Verdana" w:cstheme="minorHAnsi"/>
          <w:sz w:val="16"/>
          <w:szCs w:val="16"/>
          <w:lang w:val="es-CL"/>
        </w:rPr>
        <w:t xml:space="preserve"> del derecho a la protección a la familia, en perjuicio del </w:t>
      </w:r>
      <w:proofErr w:type="spellStart"/>
      <w:r w:rsidRPr="00D764FE">
        <w:rPr>
          <w:rFonts w:ascii="Verdana" w:hAnsi="Verdana" w:cstheme="minorHAnsi"/>
          <w:sz w:val="16"/>
          <w:szCs w:val="16"/>
          <w:lang w:val="es-CL"/>
        </w:rPr>
        <w:t>señor</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Víctor</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Ancalaf</w:t>
      </w:r>
      <w:proofErr w:type="spellEnd"/>
      <w:r w:rsidRPr="00D764FE">
        <w:rPr>
          <w:rFonts w:ascii="Verdana" w:hAnsi="Verdana" w:cstheme="minorHAnsi"/>
          <w:sz w:val="16"/>
          <w:szCs w:val="16"/>
          <w:lang w:val="es-CL"/>
        </w:rPr>
        <w:t xml:space="preserve"> </w:t>
      </w:r>
      <w:proofErr w:type="spellStart"/>
      <w:r w:rsidRPr="00D764FE">
        <w:rPr>
          <w:rFonts w:ascii="Verdana" w:hAnsi="Verdana" w:cstheme="minorHAnsi"/>
          <w:sz w:val="16"/>
          <w:szCs w:val="16"/>
          <w:lang w:val="es-CL"/>
        </w:rPr>
        <w:t>Llaupe</w:t>
      </w:r>
      <w:proofErr w:type="spellEnd"/>
      <w:r w:rsidRPr="00D764FE">
        <w:rPr>
          <w:rFonts w:ascii="Verdana" w:hAnsi="Verdana" w:cstheme="minorHAnsi"/>
          <w:sz w:val="16"/>
          <w:szCs w:val="16"/>
          <w:lang w:val="es-CL"/>
        </w:rPr>
        <w:t>.</w:t>
      </w:r>
    </w:p>
    <w:p w14:paraId="1E708992" w14:textId="0A23F1FE" w:rsidR="00D764FE" w:rsidRPr="00D764FE" w:rsidRDefault="00D764FE" w:rsidP="00D764FE">
      <w:pPr>
        <w:pStyle w:val="Textonotapie"/>
        <w:rPr>
          <w:rFonts w:cstheme="minorHAnsi"/>
          <w:sz w:val="16"/>
          <w:szCs w:val="16"/>
          <w:lang w:val="es-CL"/>
        </w:rPr>
      </w:pPr>
      <w:r w:rsidRPr="00D764FE">
        <w:rPr>
          <w:rFonts w:cstheme="minorHAnsi"/>
          <w:sz w:val="16"/>
          <w:szCs w:val="16"/>
          <w:lang w:val="es-CL"/>
        </w:rPr>
        <w:t xml:space="preserve"> </w:t>
      </w:r>
    </w:p>
  </w:footnote>
  <w:footnote w:id="6">
    <w:p w14:paraId="62FE3F43" w14:textId="0365A592" w:rsidR="003A3588" w:rsidRPr="003A3588" w:rsidRDefault="00D764FE" w:rsidP="00D764FE">
      <w:pPr>
        <w:pStyle w:val="Textonotapie"/>
        <w:rPr>
          <w:rFonts w:ascii="Verdana" w:hAnsi="Verdana" w:cstheme="minorHAnsi"/>
          <w:sz w:val="16"/>
          <w:szCs w:val="16"/>
          <w:lang w:val="es-CL"/>
        </w:rPr>
      </w:pPr>
      <w:r w:rsidRPr="003A3588">
        <w:rPr>
          <w:rStyle w:val="Refdenotaalpie"/>
          <w:rFonts w:ascii="Verdana" w:hAnsi="Verdana" w:cstheme="minorHAnsi"/>
          <w:sz w:val="16"/>
          <w:szCs w:val="16"/>
        </w:rPr>
        <w:footnoteRef/>
      </w:r>
      <w:r w:rsidRPr="003A3588">
        <w:rPr>
          <w:rFonts w:ascii="Verdana" w:hAnsi="Verdana" w:cstheme="minorHAnsi"/>
          <w:sz w:val="16"/>
          <w:szCs w:val="16"/>
          <w:lang w:val="es-CL"/>
        </w:rPr>
        <w:t xml:space="preserve"> </w:t>
      </w:r>
      <w:r w:rsidR="003A3588" w:rsidRPr="003A3588">
        <w:rPr>
          <w:rFonts w:ascii="Verdana" w:hAnsi="Verdana" w:cstheme="minorHAnsi"/>
          <w:sz w:val="16"/>
          <w:szCs w:val="16"/>
          <w:lang w:val="es-CL"/>
        </w:rPr>
        <w:t xml:space="preserve">El 29 de mayo de 2014 la Corte Interamericana de Derechos Humanos </w:t>
      </w:r>
      <w:proofErr w:type="spellStart"/>
      <w:r w:rsidR="003A3588" w:rsidRPr="003A3588">
        <w:rPr>
          <w:rFonts w:ascii="Verdana" w:hAnsi="Verdana" w:cstheme="minorHAnsi"/>
          <w:sz w:val="16"/>
          <w:szCs w:val="16"/>
          <w:lang w:val="es-CL"/>
        </w:rPr>
        <w:t>emitio</w:t>
      </w:r>
      <w:proofErr w:type="spellEnd"/>
      <w:r w:rsidR="003A3588" w:rsidRPr="003A3588">
        <w:rPr>
          <w:rFonts w:ascii="Verdana" w:hAnsi="Verdana" w:cstheme="minorHAnsi"/>
          <w:sz w:val="16"/>
          <w:szCs w:val="16"/>
          <w:lang w:val="es-CL"/>
        </w:rPr>
        <w:t xml:space="preserve">́ su sentencia sobre el fondo, las reparaciones y costas en el presente caso, en la cual declaró, por unanimidad, que el Estado es responsable por la </w:t>
      </w:r>
      <w:proofErr w:type="spellStart"/>
      <w:r w:rsidR="003A3588" w:rsidRPr="003A3588">
        <w:rPr>
          <w:rFonts w:ascii="Verdana" w:hAnsi="Verdana" w:cstheme="minorHAnsi"/>
          <w:sz w:val="16"/>
          <w:szCs w:val="16"/>
          <w:lang w:val="es-CL"/>
        </w:rPr>
        <w:t>violación</w:t>
      </w:r>
      <w:proofErr w:type="spellEnd"/>
      <w:r w:rsidR="003A3588" w:rsidRPr="003A3588">
        <w:rPr>
          <w:rFonts w:ascii="Verdana" w:hAnsi="Verdana" w:cstheme="minorHAnsi"/>
          <w:sz w:val="16"/>
          <w:szCs w:val="16"/>
          <w:lang w:val="es-CL"/>
        </w:rPr>
        <w:t xml:space="preserve"> del principio de legalidad y el derecho a la </w:t>
      </w:r>
      <w:proofErr w:type="spellStart"/>
      <w:r w:rsidR="003A3588" w:rsidRPr="003A3588">
        <w:rPr>
          <w:rFonts w:ascii="Verdana" w:hAnsi="Verdana" w:cstheme="minorHAnsi"/>
          <w:sz w:val="16"/>
          <w:szCs w:val="16"/>
          <w:lang w:val="es-CL"/>
        </w:rPr>
        <w:t>presunción</w:t>
      </w:r>
      <w:proofErr w:type="spellEnd"/>
      <w:r w:rsidR="003A3588" w:rsidRPr="003A3588">
        <w:rPr>
          <w:rFonts w:ascii="Verdana" w:hAnsi="Verdana" w:cstheme="minorHAnsi"/>
          <w:sz w:val="16"/>
          <w:szCs w:val="16"/>
          <w:lang w:val="es-CL"/>
        </w:rPr>
        <w:t xml:space="preserve"> de inocencia, </w:t>
      </w:r>
      <w:proofErr w:type="spellStart"/>
      <w:r w:rsidR="003A3588" w:rsidRPr="003A3588">
        <w:rPr>
          <w:rFonts w:ascii="Verdana" w:hAnsi="Verdana" w:cstheme="minorHAnsi"/>
          <w:sz w:val="16"/>
          <w:szCs w:val="16"/>
          <w:lang w:val="es-CL"/>
        </w:rPr>
        <w:t>asi</w:t>
      </w:r>
      <w:proofErr w:type="spellEnd"/>
      <w:r w:rsidR="003A3588" w:rsidRPr="003A3588">
        <w:rPr>
          <w:rFonts w:ascii="Verdana" w:hAnsi="Verdana" w:cstheme="minorHAnsi"/>
          <w:sz w:val="16"/>
          <w:szCs w:val="16"/>
          <w:lang w:val="es-CL"/>
        </w:rPr>
        <w:t xml:space="preserve">́ como por la </w:t>
      </w:r>
      <w:proofErr w:type="spellStart"/>
      <w:r w:rsidR="003A3588" w:rsidRPr="003A3588">
        <w:rPr>
          <w:rFonts w:ascii="Verdana" w:hAnsi="Verdana" w:cstheme="minorHAnsi"/>
          <w:sz w:val="16"/>
          <w:szCs w:val="16"/>
          <w:lang w:val="es-CL"/>
        </w:rPr>
        <w:t>violación</w:t>
      </w:r>
      <w:proofErr w:type="spellEnd"/>
      <w:r w:rsidR="003A3588" w:rsidRPr="003A3588">
        <w:rPr>
          <w:rFonts w:ascii="Verdana" w:hAnsi="Verdana" w:cstheme="minorHAnsi"/>
          <w:sz w:val="16"/>
          <w:szCs w:val="16"/>
          <w:lang w:val="es-CL"/>
        </w:rPr>
        <w:t xml:space="preserve"> del principio de igualdad y no discriminación y el derecho a la igual protección de la ley y del derecho a la libertad personal, en perjuicio de los </w:t>
      </w:r>
      <w:proofErr w:type="spellStart"/>
      <w:r w:rsidR="003A3588" w:rsidRPr="003A3588">
        <w:rPr>
          <w:rFonts w:ascii="Verdana" w:hAnsi="Verdana" w:cstheme="minorHAnsi"/>
          <w:sz w:val="16"/>
          <w:szCs w:val="16"/>
          <w:lang w:val="es-CL"/>
        </w:rPr>
        <w:t>señores</w:t>
      </w:r>
      <w:proofErr w:type="spellEnd"/>
      <w:r w:rsidR="003A3588" w:rsidRPr="003A3588">
        <w:rPr>
          <w:rFonts w:ascii="Verdana" w:hAnsi="Verdana" w:cstheme="minorHAnsi"/>
          <w:sz w:val="16"/>
          <w:szCs w:val="16"/>
          <w:lang w:val="es-CL"/>
        </w:rPr>
        <w:t xml:space="preserve"> Segundo Aniceto </w:t>
      </w:r>
      <w:proofErr w:type="spellStart"/>
      <w:r w:rsidR="003A3588" w:rsidRPr="003A3588">
        <w:rPr>
          <w:rFonts w:ascii="Verdana" w:hAnsi="Verdana" w:cstheme="minorHAnsi"/>
          <w:sz w:val="16"/>
          <w:szCs w:val="16"/>
          <w:lang w:val="es-CL"/>
        </w:rPr>
        <w:t>Norín</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Catrimán</w:t>
      </w:r>
      <w:proofErr w:type="spellEnd"/>
      <w:r w:rsidR="003A3588" w:rsidRPr="003A3588">
        <w:rPr>
          <w:rFonts w:ascii="Verdana" w:hAnsi="Verdana" w:cstheme="minorHAnsi"/>
          <w:sz w:val="16"/>
          <w:szCs w:val="16"/>
          <w:lang w:val="es-CL"/>
        </w:rPr>
        <w:t xml:space="preserve">, Pascual </w:t>
      </w:r>
      <w:proofErr w:type="spellStart"/>
      <w:r w:rsidR="003A3588" w:rsidRPr="003A3588">
        <w:rPr>
          <w:rFonts w:ascii="Verdana" w:hAnsi="Verdana" w:cstheme="minorHAnsi"/>
          <w:sz w:val="16"/>
          <w:szCs w:val="16"/>
          <w:lang w:val="es-CL"/>
        </w:rPr>
        <w:t>Huentequeo</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Pichún</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Paillalao</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Víctor</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Ancalaf</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Llaupe</w:t>
      </w:r>
      <w:proofErr w:type="spellEnd"/>
      <w:r w:rsidR="003A3588" w:rsidRPr="003A3588">
        <w:rPr>
          <w:rFonts w:ascii="Verdana" w:hAnsi="Verdana" w:cstheme="minorHAnsi"/>
          <w:sz w:val="16"/>
          <w:szCs w:val="16"/>
          <w:lang w:val="es-CL"/>
        </w:rPr>
        <w:t xml:space="preserve">, Juan Patricio </w:t>
      </w:r>
      <w:proofErr w:type="spellStart"/>
      <w:r w:rsidR="003A3588" w:rsidRPr="003A3588">
        <w:rPr>
          <w:rFonts w:ascii="Verdana" w:hAnsi="Verdana" w:cstheme="minorHAnsi"/>
          <w:sz w:val="16"/>
          <w:szCs w:val="16"/>
          <w:lang w:val="es-CL"/>
        </w:rPr>
        <w:t>Marileo</w:t>
      </w:r>
      <w:proofErr w:type="spellEnd"/>
      <w:r w:rsidR="003A3588" w:rsidRPr="003A3588">
        <w:rPr>
          <w:rFonts w:ascii="Verdana" w:hAnsi="Verdana" w:cstheme="minorHAnsi"/>
          <w:sz w:val="16"/>
          <w:szCs w:val="16"/>
          <w:lang w:val="es-CL"/>
        </w:rPr>
        <w:t xml:space="preserve"> Saravia, Florencio Jaime </w:t>
      </w:r>
      <w:proofErr w:type="spellStart"/>
      <w:r w:rsidR="003A3588" w:rsidRPr="003A3588">
        <w:rPr>
          <w:rFonts w:ascii="Verdana" w:hAnsi="Verdana" w:cstheme="minorHAnsi"/>
          <w:sz w:val="16"/>
          <w:szCs w:val="16"/>
          <w:lang w:val="es-CL"/>
        </w:rPr>
        <w:t>Marileo</w:t>
      </w:r>
      <w:proofErr w:type="spellEnd"/>
      <w:r w:rsidR="003A3588" w:rsidRPr="003A3588">
        <w:rPr>
          <w:rFonts w:ascii="Verdana" w:hAnsi="Verdana" w:cstheme="minorHAnsi"/>
          <w:sz w:val="16"/>
          <w:szCs w:val="16"/>
          <w:lang w:val="es-CL"/>
        </w:rPr>
        <w:t xml:space="preserve"> Saravia, </w:t>
      </w:r>
      <w:proofErr w:type="spellStart"/>
      <w:r w:rsidR="003A3588" w:rsidRPr="003A3588">
        <w:rPr>
          <w:rFonts w:ascii="Verdana" w:hAnsi="Verdana" w:cstheme="minorHAnsi"/>
          <w:sz w:val="16"/>
          <w:szCs w:val="16"/>
          <w:lang w:val="es-CL"/>
        </w:rPr>
        <w:t>Jose</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Benicio</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Huenchunao</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Mariñán</w:t>
      </w:r>
      <w:proofErr w:type="spellEnd"/>
      <w:r w:rsidR="003A3588" w:rsidRPr="003A3588">
        <w:rPr>
          <w:rFonts w:ascii="Verdana" w:hAnsi="Verdana" w:cstheme="minorHAnsi"/>
          <w:sz w:val="16"/>
          <w:szCs w:val="16"/>
          <w:lang w:val="es-CL"/>
        </w:rPr>
        <w:t xml:space="preserve">, Juan Ciriaco </w:t>
      </w:r>
      <w:proofErr w:type="spellStart"/>
      <w:r w:rsidR="003A3588" w:rsidRPr="003A3588">
        <w:rPr>
          <w:rFonts w:ascii="Verdana" w:hAnsi="Verdana" w:cstheme="minorHAnsi"/>
          <w:sz w:val="16"/>
          <w:szCs w:val="16"/>
          <w:lang w:val="es-CL"/>
        </w:rPr>
        <w:t>Millacheo</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Licán</w:t>
      </w:r>
      <w:proofErr w:type="spellEnd"/>
      <w:r w:rsidR="003A3588" w:rsidRPr="003A3588">
        <w:rPr>
          <w:rFonts w:ascii="Verdana" w:hAnsi="Verdana" w:cstheme="minorHAnsi"/>
          <w:sz w:val="16"/>
          <w:szCs w:val="16"/>
          <w:lang w:val="es-CL"/>
        </w:rPr>
        <w:t xml:space="preserve"> y la </w:t>
      </w:r>
      <w:proofErr w:type="spellStart"/>
      <w:r w:rsidR="003A3588" w:rsidRPr="003A3588">
        <w:rPr>
          <w:rFonts w:ascii="Verdana" w:hAnsi="Verdana" w:cstheme="minorHAnsi"/>
          <w:sz w:val="16"/>
          <w:szCs w:val="16"/>
          <w:lang w:val="es-CL"/>
        </w:rPr>
        <w:t>señora</w:t>
      </w:r>
      <w:proofErr w:type="spellEnd"/>
      <w:r w:rsidR="003A3588" w:rsidRPr="003A3588">
        <w:rPr>
          <w:rFonts w:ascii="Verdana" w:hAnsi="Verdana" w:cstheme="minorHAnsi"/>
          <w:sz w:val="16"/>
          <w:szCs w:val="16"/>
          <w:lang w:val="es-CL"/>
        </w:rPr>
        <w:t xml:space="preserve"> Patricia Roxana Troncoso Robles. Asimismo, la Corte declaró, por unanimidad, que Chile violó el derecho de la defensa a interrogar testigos, en perjuicio de los </w:t>
      </w:r>
      <w:proofErr w:type="spellStart"/>
      <w:r w:rsidR="003A3588" w:rsidRPr="003A3588">
        <w:rPr>
          <w:rFonts w:ascii="Verdana" w:hAnsi="Verdana" w:cstheme="minorHAnsi"/>
          <w:sz w:val="16"/>
          <w:szCs w:val="16"/>
          <w:lang w:val="es-CL"/>
        </w:rPr>
        <w:t>señores</w:t>
      </w:r>
      <w:proofErr w:type="spellEnd"/>
      <w:r w:rsidR="003A3588" w:rsidRPr="003A3588">
        <w:rPr>
          <w:rFonts w:ascii="Verdana" w:hAnsi="Verdana" w:cstheme="minorHAnsi"/>
          <w:sz w:val="16"/>
          <w:szCs w:val="16"/>
          <w:lang w:val="es-CL"/>
        </w:rPr>
        <w:t xml:space="preserve"> Pascual </w:t>
      </w:r>
      <w:proofErr w:type="spellStart"/>
      <w:r w:rsidR="003A3588" w:rsidRPr="003A3588">
        <w:rPr>
          <w:rFonts w:ascii="Verdana" w:hAnsi="Verdana" w:cstheme="minorHAnsi"/>
          <w:sz w:val="16"/>
          <w:szCs w:val="16"/>
          <w:lang w:val="es-CL"/>
        </w:rPr>
        <w:t>Huentequeo</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Pichún</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Paillalao</w:t>
      </w:r>
      <w:proofErr w:type="spellEnd"/>
      <w:r w:rsidR="003A3588" w:rsidRPr="003A3588">
        <w:rPr>
          <w:rFonts w:ascii="Verdana" w:hAnsi="Verdana" w:cstheme="minorHAnsi"/>
          <w:sz w:val="16"/>
          <w:szCs w:val="16"/>
          <w:lang w:val="es-CL"/>
        </w:rPr>
        <w:t xml:space="preserve"> y </w:t>
      </w:r>
      <w:proofErr w:type="spellStart"/>
      <w:r w:rsidR="003A3588" w:rsidRPr="003A3588">
        <w:rPr>
          <w:rFonts w:ascii="Verdana" w:hAnsi="Verdana" w:cstheme="minorHAnsi"/>
          <w:sz w:val="16"/>
          <w:szCs w:val="16"/>
          <w:lang w:val="es-CL"/>
        </w:rPr>
        <w:t>Víctor</w:t>
      </w:r>
      <w:proofErr w:type="spellEnd"/>
      <w:r w:rsidR="003A3588" w:rsidRPr="003A3588">
        <w:rPr>
          <w:rFonts w:ascii="Verdana" w:hAnsi="Verdana" w:cstheme="minorHAnsi"/>
          <w:sz w:val="16"/>
          <w:szCs w:val="16"/>
          <w:lang w:val="es-CL"/>
        </w:rPr>
        <w:t xml:space="preserve"> Manuel </w:t>
      </w:r>
      <w:proofErr w:type="spellStart"/>
      <w:r w:rsidR="003A3588" w:rsidRPr="003A3588">
        <w:rPr>
          <w:rFonts w:ascii="Verdana" w:hAnsi="Verdana" w:cstheme="minorHAnsi"/>
          <w:sz w:val="16"/>
          <w:szCs w:val="16"/>
          <w:lang w:val="es-CL"/>
        </w:rPr>
        <w:t>Ancalaf</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Llaupe</w:t>
      </w:r>
      <w:proofErr w:type="spellEnd"/>
      <w:r w:rsidR="003A3588" w:rsidRPr="003A3588">
        <w:rPr>
          <w:rFonts w:ascii="Verdana" w:hAnsi="Verdana" w:cstheme="minorHAnsi"/>
          <w:sz w:val="16"/>
          <w:szCs w:val="16"/>
          <w:lang w:val="es-CL"/>
        </w:rPr>
        <w:t xml:space="preserve">. El Tribunal también concluyó, por unanimidad, que el Estado violó el derecho a recurrir del fallo ante juez o tribunal superior, en perjuicio de los </w:t>
      </w:r>
      <w:proofErr w:type="spellStart"/>
      <w:r w:rsidR="003A3588" w:rsidRPr="003A3588">
        <w:rPr>
          <w:rFonts w:ascii="Verdana" w:hAnsi="Verdana" w:cstheme="minorHAnsi"/>
          <w:sz w:val="16"/>
          <w:szCs w:val="16"/>
          <w:lang w:val="es-CL"/>
        </w:rPr>
        <w:t>señores</w:t>
      </w:r>
      <w:proofErr w:type="spellEnd"/>
      <w:r w:rsidR="003A3588" w:rsidRPr="003A3588">
        <w:rPr>
          <w:rFonts w:ascii="Verdana" w:hAnsi="Verdana" w:cstheme="minorHAnsi"/>
          <w:sz w:val="16"/>
          <w:szCs w:val="16"/>
          <w:lang w:val="es-CL"/>
        </w:rPr>
        <w:t xml:space="preserve"> Segundo Aniceto </w:t>
      </w:r>
      <w:proofErr w:type="spellStart"/>
      <w:r w:rsidR="003A3588" w:rsidRPr="003A3588">
        <w:rPr>
          <w:rFonts w:ascii="Verdana" w:hAnsi="Verdana" w:cstheme="minorHAnsi"/>
          <w:sz w:val="16"/>
          <w:szCs w:val="16"/>
          <w:lang w:val="es-CL"/>
        </w:rPr>
        <w:t>Norín</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Catrimán</w:t>
      </w:r>
      <w:proofErr w:type="spellEnd"/>
      <w:r w:rsidR="003A3588" w:rsidRPr="003A3588">
        <w:rPr>
          <w:rFonts w:ascii="Verdana" w:hAnsi="Verdana" w:cstheme="minorHAnsi"/>
          <w:sz w:val="16"/>
          <w:szCs w:val="16"/>
          <w:lang w:val="es-CL"/>
        </w:rPr>
        <w:t xml:space="preserve">, Pascual </w:t>
      </w:r>
      <w:proofErr w:type="spellStart"/>
      <w:r w:rsidR="003A3588" w:rsidRPr="003A3588">
        <w:rPr>
          <w:rFonts w:ascii="Verdana" w:hAnsi="Verdana" w:cstheme="minorHAnsi"/>
          <w:sz w:val="16"/>
          <w:szCs w:val="16"/>
          <w:lang w:val="es-CL"/>
        </w:rPr>
        <w:t>Huentequeo</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Pichún</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Paillalao</w:t>
      </w:r>
      <w:proofErr w:type="spellEnd"/>
      <w:r w:rsidR="003A3588" w:rsidRPr="003A3588">
        <w:rPr>
          <w:rFonts w:ascii="Verdana" w:hAnsi="Verdana" w:cstheme="minorHAnsi"/>
          <w:sz w:val="16"/>
          <w:szCs w:val="16"/>
          <w:lang w:val="es-CL"/>
        </w:rPr>
        <w:t xml:space="preserve">, Juan Patricio </w:t>
      </w:r>
      <w:proofErr w:type="spellStart"/>
      <w:r w:rsidR="003A3588" w:rsidRPr="003A3588">
        <w:rPr>
          <w:rFonts w:ascii="Verdana" w:hAnsi="Verdana" w:cstheme="minorHAnsi"/>
          <w:sz w:val="16"/>
          <w:szCs w:val="16"/>
          <w:lang w:val="es-CL"/>
        </w:rPr>
        <w:t>Marileo</w:t>
      </w:r>
      <w:proofErr w:type="spellEnd"/>
      <w:r w:rsidR="003A3588" w:rsidRPr="003A3588">
        <w:rPr>
          <w:rFonts w:ascii="Verdana" w:hAnsi="Verdana" w:cstheme="minorHAnsi"/>
          <w:sz w:val="16"/>
          <w:szCs w:val="16"/>
          <w:lang w:val="es-CL"/>
        </w:rPr>
        <w:t xml:space="preserve"> Saravia, Florencio Jaime </w:t>
      </w:r>
      <w:proofErr w:type="spellStart"/>
      <w:r w:rsidR="003A3588" w:rsidRPr="003A3588">
        <w:rPr>
          <w:rFonts w:ascii="Verdana" w:hAnsi="Verdana" w:cstheme="minorHAnsi"/>
          <w:sz w:val="16"/>
          <w:szCs w:val="16"/>
          <w:lang w:val="es-CL"/>
        </w:rPr>
        <w:t>Marileo</w:t>
      </w:r>
      <w:proofErr w:type="spellEnd"/>
      <w:r w:rsidR="003A3588" w:rsidRPr="003A3588">
        <w:rPr>
          <w:rFonts w:ascii="Verdana" w:hAnsi="Verdana" w:cstheme="minorHAnsi"/>
          <w:sz w:val="16"/>
          <w:szCs w:val="16"/>
          <w:lang w:val="es-CL"/>
        </w:rPr>
        <w:t xml:space="preserve"> Saravia, </w:t>
      </w:r>
      <w:proofErr w:type="spellStart"/>
      <w:r w:rsidR="003A3588" w:rsidRPr="003A3588">
        <w:rPr>
          <w:rFonts w:ascii="Verdana" w:hAnsi="Verdana" w:cstheme="minorHAnsi"/>
          <w:sz w:val="16"/>
          <w:szCs w:val="16"/>
          <w:lang w:val="es-CL"/>
        </w:rPr>
        <w:t>Jose</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Benicio</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Huenchunao</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Mariñán</w:t>
      </w:r>
      <w:proofErr w:type="spellEnd"/>
      <w:r w:rsidR="003A3588" w:rsidRPr="003A3588">
        <w:rPr>
          <w:rFonts w:ascii="Verdana" w:hAnsi="Verdana" w:cstheme="minorHAnsi"/>
          <w:sz w:val="16"/>
          <w:szCs w:val="16"/>
          <w:lang w:val="es-CL"/>
        </w:rPr>
        <w:t xml:space="preserve">, Juan Ciriaco </w:t>
      </w:r>
      <w:proofErr w:type="spellStart"/>
      <w:r w:rsidR="003A3588" w:rsidRPr="003A3588">
        <w:rPr>
          <w:rFonts w:ascii="Verdana" w:hAnsi="Verdana" w:cstheme="minorHAnsi"/>
          <w:sz w:val="16"/>
          <w:szCs w:val="16"/>
          <w:lang w:val="es-CL"/>
        </w:rPr>
        <w:t>Millacheo</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Licán</w:t>
      </w:r>
      <w:proofErr w:type="spellEnd"/>
      <w:r w:rsidR="003A3588" w:rsidRPr="003A3588">
        <w:rPr>
          <w:rFonts w:ascii="Verdana" w:hAnsi="Verdana" w:cstheme="minorHAnsi"/>
          <w:sz w:val="16"/>
          <w:szCs w:val="16"/>
          <w:lang w:val="es-CL"/>
        </w:rPr>
        <w:t xml:space="preserve"> y la </w:t>
      </w:r>
      <w:proofErr w:type="spellStart"/>
      <w:r w:rsidR="003A3588" w:rsidRPr="003A3588">
        <w:rPr>
          <w:rFonts w:ascii="Verdana" w:hAnsi="Verdana" w:cstheme="minorHAnsi"/>
          <w:sz w:val="16"/>
          <w:szCs w:val="16"/>
          <w:lang w:val="es-CL"/>
        </w:rPr>
        <w:t>señora</w:t>
      </w:r>
      <w:proofErr w:type="spellEnd"/>
      <w:r w:rsidR="003A3588" w:rsidRPr="003A3588">
        <w:rPr>
          <w:rFonts w:ascii="Verdana" w:hAnsi="Verdana" w:cstheme="minorHAnsi"/>
          <w:sz w:val="16"/>
          <w:szCs w:val="16"/>
          <w:lang w:val="es-CL"/>
        </w:rPr>
        <w:t xml:space="preserve"> Patricia Roxana Troncoso Robles. </w:t>
      </w:r>
      <w:proofErr w:type="spellStart"/>
      <w:r w:rsidR="003A3588" w:rsidRPr="003A3588">
        <w:rPr>
          <w:rFonts w:ascii="Verdana" w:hAnsi="Verdana" w:cstheme="minorHAnsi"/>
          <w:sz w:val="16"/>
          <w:szCs w:val="16"/>
          <w:lang w:val="es-CL"/>
        </w:rPr>
        <w:t>Además</w:t>
      </w:r>
      <w:proofErr w:type="spellEnd"/>
      <w:r w:rsidR="003A3588" w:rsidRPr="003A3588">
        <w:rPr>
          <w:rFonts w:ascii="Verdana" w:hAnsi="Verdana" w:cstheme="minorHAnsi"/>
          <w:sz w:val="16"/>
          <w:szCs w:val="16"/>
          <w:lang w:val="es-CL"/>
        </w:rPr>
        <w:t xml:space="preserve">, la Corte declaró, por unanimidad, que el Estado violó el derecho a la libertad de pensamiento y de </w:t>
      </w:r>
      <w:proofErr w:type="spellStart"/>
      <w:r w:rsidR="003A3588" w:rsidRPr="003A3588">
        <w:rPr>
          <w:rFonts w:ascii="Verdana" w:hAnsi="Verdana" w:cstheme="minorHAnsi"/>
          <w:sz w:val="16"/>
          <w:szCs w:val="16"/>
          <w:lang w:val="es-CL"/>
        </w:rPr>
        <w:t>expresión</w:t>
      </w:r>
      <w:proofErr w:type="spellEnd"/>
      <w:r w:rsidR="003A3588" w:rsidRPr="003A3588">
        <w:rPr>
          <w:rFonts w:ascii="Verdana" w:hAnsi="Verdana" w:cstheme="minorHAnsi"/>
          <w:sz w:val="16"/>
          <w:szCs w:val="16"/>
          <w:lang w:val="es-CL"/>
        </w:rPr>
        <w:t xml:space="preserve">, en perjuicio de los </w:t>
      </w:r>
      <w:proofErr w:type="spellStart"/>
      <w:r w:rsidR="003A3588" w:rsidRPr="003A3588">
        <w:rPr>
          <w:rFonts w:ascii="Verdana" w:hAnsi="Verdana" w:cstheme="minorHAnsi"/>
          <w:sz w:val="16"/>
          <w:szCs w:val="16"/>
          <w:lang w:val="es-CL"/>
        </w:rPr>
        <w:t>señores</w:t>
      </w:r>
      <w:proofErr w:type="spellEnd"/>
      <w:r w:rsidR="003A3588" w:rsidRPr="003A3588">
        <w:rPr>
          <w:rFonts w:ascii="Verdana" w:hAnsi="Verdana" w:cstheme="minorHAnsi"/>
          <w:sz w:val="16"/>
          <w:szCs w:val="16"/>
          <w:lang w:val="es-CL"/>
        </w:rPr>
        <w:t xml:space="preserve"> Segundo Aniceto </w:t>
      </w:r>
      <w:proofErr w:type="spellStart"/>
      <w:r w:rsidR="003A3588" w:rsidRPr="003A3588">
        <w:rPr>
          <w:rFonts w:ascii="Verdana" w:hAnsi="Verdana" w:cstheme="minorHAnsi"/>
          <w:sz w:val="16"/>
          <w:szCs w:val="16"/>
          <w:lang w:val="es-CL"/>
        </w:rPr>
        <w:t>Norín</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Catrimán</w:t>
      </w:r>
      <w:proofErr w:type="spellEnd"/>
      <w:r w:rsidR="003A3588" w:rsidRPr="003A3588">
        <w:rPr>
          <w:rFonts w:ascii="Verdana" w:hAnsi="Verdana" w:cstheme="minorHAnsi"/>
          <w:sz w:val="16"/>
          <w:szCs w:val="16"/>
          <w:lang w:val="es-CL"/>
        </w:rPr>
        <w:t xml:space="preserve">, Pascual </w:t>
      </w:r>
      <w:proofErr w:type="spellStart"/>
      <w:r w:rsidR="003A3588" w:rsidRPr="003A3588">
        <w:rPr>
          <w:rFonts w:ascii="Verdana" w:hAnsi="Verdana" w:cstheme="minorHAnsi"/>
          <w:sz w:val="16"/>
          <w:szCs w:val="16"/>
          <w:lang w:val="es-CL"/>
        </w:rPr>
        <w:t>Huentequeo</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Pichún</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Paillalao</w:t>
      </w:r>
      <w:proofErr w:type="spellEnd"/>
      <w:r w:rsidR="003A3588" w:rsidRPr="003A3588">
        <w:rPr>
          <w:rFonts w:ascii="Verdana" w:hAnsi="Verdana" w:cstheme="minorHAnsi"/>
          <w:sz w:val="16"/>
          <w:szCs w:val="16"/>
          <w:lang w:val="es-CL"/>
        </w:rPr>
        <w:t xml:space="preserve"> y </w:t>
      </w:r>
      <w:proofErr w:type="spellStart"/>
      <w:r w:rsidR="003A3588" w:rsidRPr="003A3588">
        <w:rPr>
          <w:rFonts w:ascii="Verdana" w:hAnsi="Verdana" w:cstheme="minorHAnsi"/>
          <w:sz w:val="16"/>
          <w:szCs w:val="16"/>
          <w:lang w:val="es-CL"/>
        </w:rPr>
        <w:t>Víctor</w:t>
      </w:r>
      <w:proofErr w:type="spellEnd"/>
      <w:r w:rsidR="003A3588" w:rsidRPr="003A3588">
        <w:rPr>
          <w:rFonts w:ascii="Verdana" w:hAnsi="Verdana" w:cstheme="minorHAnsi"/>
          <w:sz w:val="16"/>
          <w:szCs w:val="16"/>
          <w:lang w:val="es-CL"/>
        </w:rPr>
        <w:t xml:space="preserve"> Manuel </w:t>
      </w:r>
      <w:proofErr w:type="spellStart"/>
      <w:r w:rsidR="003A3588" w:rsidRPr="003A3588">
        <w:rPr>
          <w:rFonts w:ascii="Verdana" w:hAnsi="Verdana" w:cstheme="minorHAnsi"/>
          <w:sz w:val="16"/>
          <w:szCs w:val="16"/>
          <w:lang w:val="es-CL"/>
        </w:rPr>
        <w:t>Ancalaf</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Llaupe</w:t>
      </w:r>
      <w:proofErr w:type="spellEnd"/>
      <w:r w:rsidR="003A3588" w:rsidRPr="003A3588">
        <w:rPr>
          <w:rFonts w:ascii="Verdana" w:hAnsi="Verdana" w:cstheme="minorHAnsi"/>
          <w:sz w:val="16"/>
          <w:szCs w:val="16"/>
          <w:lang w:val="es-CL"/>
        </w:rPr>
        <w:t xml:space="preserve">, y que violó los derechos </w:t>
      </w:r>
      <w:proofErr w:type="spellStart"/>
      <w:r w:rsidR="003A3588" w:rsidRPr="003A3588">
        <w:rPr>
          <w:rFonts w:ascii="Verdana" w:hAnsi="Verdana" w:cstheme="minorHAnsi"/>
          <w:sz w:val="16"/>
          <w:szCs w:val="16"/>
          <w:lang w:val="es-CL"/>
        </w:rPr>
        <w:t>políticos</w:t>
      </w:r>
      <w:proofErr w:type="spellEnd"/>
      <w:r w:rsidR="003A3588" w:rsidRPr="003A3588">
        <w:rPr>
          <w:rFonts w:ascii="Verdana" w:hAnsi="Verdana" w:cstheme="minorHAnsi"/>
          <w:sz w:val="16"/>
          <w:szCs w:val="16"/>
          <w:lang w:val="es-CL"/>
        </w:rPr>
        <w:t xml:space="preserve">, en perjuicio de estas </w:t>
      </w:r>
      <w:proofErr w:type="spellStart"/>
      <w:r w:rsidR="003A3588" w:rsidRPr="003A3588">
        <w:rPr>
          <w:rFonts w:ascii="Verdana" w:hAnsi="Verdana" w:cstheme="minorHAnsi"/>
          <w:sz w:val="16"/>
          <w:szCs w:val="16"/>
          <w:lang w:val="es-CL"/>
        </w:rPr>
        <w:t>últimas</w:t>
      </w:r>
      <w:proofErr w:type="spellEnd"/>
      <w:r w:rsidR="003A3588" w:rsidRPr="003A3588">
        <w:rPr>
          <w:rFonts w:ascii="Verdana" w:hAnsi="Verdana" w:cstheme="minorHAnsi"/>
          <w:sz w:val="16"/>
          <w:szCs w:val="16"/>
          <w:lang w:val="es-CL"/>
        </w:rPr>
        <w:t xml:space="preserve"> tres personas y de los </w:t>
      </w:r>
      <w:proofErr w:type="spellStart"/>
      <w:r w:rsidR="003A3588" w:rsidRPr="003A3588">
        <w:rPr>
          <w:rFonts w:ascii="Verdana" w:hAnsi="Verdana" w:cstheme="minorHAnsi"/>
          <w:sz w:val="16"/>
          <w:szCs w:val="16"/>
          <w:lang w:val="es-CL"/>
        </w:rPr>
        <w:t>señores</w:t>
      </w:r>
      <w:proofErr w:type="spellEnd"/>
      <w:r w:rsidR="003A3588" w:rsidRPr="003A3588">
        <w:rPr>
          <w:rFonts w:ascii="Verdana" w:hAnsi="Verdana" w:cstheme="minorHAnsi"/>
          <w:sz w:val="16"/>
          <w:szCs w:val="16"/>
          <w:lang w:val="es-CL"/>
        </w:rPr>
        <w:t xml:space="preserve"> Juan Patricio </w:t>
      </w:r>
      <w:proofErr w:type="spellStart"/>
      <w:r w:rsidR="003A3588" w:rsidRPr="003A3588">
        <w:rPr>
          <w:rFonts w:ascii="Verdana" w:hAnsi="Verdana" w:cstheme="minorHAnsi"/>
          <w:sz w:val="16"/>
          <w:szCs w:val="16"/>
          <w:lang w:val="es-CL"/>
        </w:rPr>
        <w:t>Marileo</w:t>
      </w:r>
      <w:proofErr w:type="spellEnd"/>
      <w:r w:rsidR="003A3588" w:rsidRPr="003A3588">
        <w:rPr>
          <w:rFonts w:ascii="Verdana" w:hAnsi="Verdana" w:cstheme="minorHAnsi"/>
          <w:sz w:val="16"/>
          <w:szCs w:val="16"/>
          <w:lang w:val="es-CL"/>
        </w:rPr>
        <w:t xml:space="preserve"> Saravia, Florencio Jaime </w:t>
      </w:r>
      <w:proofErr w:type="spellStart"/>
      <w:r w:rsidR="003A3588" w:rsidRPr="003A3588">
        <w:rPr>
          <w:rFonts w:ascii="Verdana" w:hAnsi="Verdana" w:cstheme="minorHAnsi"/>
          <w:sz w:val="16"/>
          <w:szCs w:val="16"/>
          <w:lang w:val="es-CL"/>
        </w:rPr>
        <w:t>Marileo</w:t>
      </w:r>
      <w:proofErr w:type="spellEnd"/>
      <w:r w:rsidR="003A3588" w:rsidRPr="003A3588">
        <w:rPr>
          <w:rFonts w:ascii="Verdana" w:hAnsi="Verdana" w:cstheme="minorHAnsi"/>
          <w:sz w:val="16"/>
          <w:szCs w:val="16"/>
          <w:lang w:val="es-CL"/>
        </w:rPr>
        <w:t xml:space="preserve"> Saravia, </w:t>
      </w:r>
      <w:proofErr w:type="spellStart"/>
      <w:r w:rsidR="003A3588" w:rsidRPr="003A3588">
        <w:rPr>
          <w:rFonts w:ascii="Verdana" w:hAnsi="Verdana" w:cstheme="minorHAnsi"/>
          <w:sz w:val="16"/>
          <w:szCs w:val="16"/>
          <w:lang w:val="es-CL"/>
        </w:rPr>
        <w:t>Jose</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Benicio</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Huenchunao</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Mariñán</w:t>
      </w:r>
      <w:proofErr w:type="spellEnd"/>
      <w:r w:rsidR="003A3588" w:rsidRPr="003A3588">
        <w:rPr>
          <w:rFonts w:ascii="Verdana" w:hAnsi="Verdana" w:cstheme="minorHAnsi"/>
          <w:sz w:val="16"/>
          <w:szCs w:val="16"/>
          <w:lang w:val="es-CL"/>
        </w:rPr>
        <w:t xml:space="preserve">, Juan Ciriaco </w:t>
      </w:r>
      <w:proofErr w:type="spellStart"/>
      <w:r w:rsidR="003A3588" w:rsidRPr="003A3588">
        <w:rPr>
          <w:rFonts w:ascii="Verdana" w:hAnsi="Verdana" w:cstheme="minorHAnsi"/>
          <w:sz w:val="16"/>
          <w:szCs w:val="16"/>
          <w:lang w:val="es-CL"/>
        </w:rPr>
        <w:t>Millacheo</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Licán</w:t>
      </w:r>
      <w:proofErr w:type="spellEnd"/>
      <w:r w:rsidR="003A3588" w:rsidRPr="003A3588">
        <w:rPr>
          <w:rFonts w:ascii="Verdana" w:hAnsi="Verdana" w:cstheme="minorHAnsi"/>
          <w:sz w:val="16"/>
          <w:szCs w:val="16"/>
          <w:lang w:val="es-CL"/>
        </w:rPr>
        <w:t xml:space="preserve"> y la </w:t>
      </w:r>
      <w:proofErr w:type="spellStart"/>
      <w:r w:rsidR="003A3588" w:rsidRPr="003A3588">
        <w:rPr>
          <w:rFonts w:ascii="Verdana" w:hAnsi="Verdana" w:cstheme="minorHAnsi"/>
          <w:sz w:val="16"/>
          <w:szCs w:val="16"/>
          <w:lang w:val="es-CL"/>
        </w:rPr>
        <w:t>señora</w:t>
      </w:r>
      <w:proofErr w:type="spellEnd"/>
      <w:r w:rsidR="003A3588" w:rsidRPr="003A3588">
        <w:rPr>
          <w:rFonts w:ascii="Verdana" w:hAnsi="Verdana" w:cstheme="minorHAnsi"/>
          <w:sz w:val="16"/>
          <w:szCs w:val="16"/>
          <w:lang w:val="es-CL"/>
        </w:rPr>
        <w:t xml:space="preserve"> Patricia Troncoso Robles. El Tribunal también </w:t>
      </w:r>
      <w:proofErr w:type="spellStart"/>
      <w:r w:rsidR="003A3588" w:rsidRPr="003A3588">
        <w:rPr>
          <w:rFonts w:ascii="Verdana" w:hAnsi="Verdana" w:cstheme="minorHAnsi"/>
          <w:sz w:val="16"/>
          <w:szCs w:val="16"/>
          <w:lang w:val="es-CL"/>
        </w:rPr>
        <w:t>resolvio</w:t>
      </w:r>
      <w:proofErr w:type="spellEnd"/>
      <w:r w:rsidR="003A3588" w:rsidRPr="003A3588">
        <w:rPr>
          <w:rFonts w:ascii="Verdana" w:hAnsi="Verdana" w:cstheme="minorHAnsi"/>
          <w:sz w:val="16"/>
          <w:szCs w:val="16"/>
          <w:lang w:val="es-CL"/>
        </w:rPr>
        <w:t xml:space="preserve">́ que Chile es responsable por la </w:t>
      </w:r>
      <w:proofErr w:type="spellStart"/>
      <w:r w:rsidR="003A3588" w:rsidRPr="003A3588">
        <w:rPr>
          <w:rFonts w:ascii="Verdana" w:hAnsi="Verdana" w:cstheme="minorHAnsi"/>
          <w:sz w:val="16"/>
          <w:szCs w:val="16"/>
          <w:lang w:val="es-CL"/>
        </w:rPr>
        <w:t>violación</w:t>
      </w:r>
      <w:proofErr w:type="spellEnd"/>
      <w:r w:rsidR="003A3588" w:rsidRPr="003A3588">
        <w:rPr>
          <w:rFonts w:ascii="Verdana" w:hAnsi="Verdana" w:cstheme="minorHAnsi"/>
          <w:sz w:val="16"/>
          <w:szCs w:val="16"/>
          <w:lang w:val="es-CL"/>
        </w:rPr>
        <w:t xml:space="preserve"> del derecho a la protección a la familia, en perjuicio del </w:t>
      </w:r>
      <w:proofErr w:type="spellStart"/>
      <w:r w:rsidR="003A3588" w:rsidRPr="003A3588">
        <w:rPr>
          <w:rFonts w:ascii="Verdana" w:hAnsi="Verdana" w:cstheme="minorHAnsi"/>
          <w:sz w:val="16"/>
          <w:szCs w:val="16"/>
          <w:lang w:val="es-CL"/>
        </w:rPr>
        <w:t>señor</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Víctor</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Ancalaf</w:t>
      </w:r>
      <w:proofErr w:type="spellEnd"/>
      <w:r w:rsidR="003A3588" w:rsidRPr="003A3588">
        <w:rPr>
          <w:rFonts w:ascii="Verdana" w:hAnsi="Verdana" w:cstheme="minorHAnsi"/>
          <w:sz w:val="16"/>
          <w:szCs w:val="16"/>
          <w:lang w:val="es-CL"/>
        </w:rPr>
        <w:t xml:space="preserve"> </w:t>
      </w:r>
      <w:proofErr w:type="spellStart"/>
      <w:r w:rsidR="003A3588" w:rsidRPr="003A3588">
        <w:rPr>
          <w:rFonts w:ascii="Verdana" w:hAnsi="Verdana" w:cstheme="minorHAnsi"/>
          <w:sz w:val="16"/>
          <w:szCs w:val="16"/>
          <w:lang w:val="es-CL"/>
        </w:rPr>
        <w:t>Llaupe</w:t>
      </w:r>
      <w:proofErr w:type="spellEnd"/>
      <w:r w:rsidR="003A3588" w:rsidRPr="003A3588">
        <w:rPr>
          <w:rFonts w:ascii="Verdana" w:hAnsi="Verdana" w:cstheme="minorHAnsi"/>
          <w:sz w:val="16"/>
          <w:szCs w:val="16"/>
          <w:lang w:val="es-CL"/>
        </w:rPr>
        <w:t>.</w:t>
      </w:r>
    </w:p>
    <w:p w14:paraId="04440326" w14:textId="07ABC055" w:rsidR="00D764FE" w:rsidRPr="00D764FE" w:rsidRDefault="00D764FE" w:rsidP="00D764FE">
      <w:pPr>
        <w:pStyle w:val="Textonotapie"/>
        <w:rPr>
          <w:rFonts w:cstheme="minorHAnsi"/>
          <w:sz w:val="16"/>
          <w:szCs w:val="16"/>
          <w:lang w:val="es-CL"/>
        </w:rPr>
      </w:pPr>
      <w:r w:rsidRPr="00D764FE">
        <w:rPr>
          <w:rFonts w:cstheme="minorHAnsi"/>
          <w:sz w:val="16"/>
          <w:szCs w:val="16"/>
          <w:lang w:val="es-CL"/>
        </w:rPr>
        <w:t xml:space="preserve"> </w:t>
      </w:r>
    </w:p>
  </w:footnote>
  <w:footnote w:id="7">
    <w:p w14:paraId="22D561A4" w14:textId="61BB9595" w:rsidR="007A630D" w:rsidRPr="00C62A4E" w:rsidRDefault="007A630D"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21 de noviembre de 2018 la Corte Interamericana de Derechos Humanos dictó Sentencia mediante la cual, en </w:t>
      </w:r>
      <w:proofErr w:type="spellStart"/>
      <w:r w:rsidRPr="00C62A4E">
        <w:rPr>
          <w:rFonts w:ascii="Verdana" w:hAnsi="Verdana"/>
          <w:sz w:val="16"/>
          <w:szCs w:val="16"/>
          <w:lang w:val="es-CL"/>
        </w:rPr>
        <w:t>consideración</w:t>
      </w:r>
      <w:proofErr w:type="spellEnd"/>
      <w:r w:rsidRPr="00C62A4E">
        <w:rPr>
          <w:rFonts w:ascii="Verdana" w:hAnsi="Verdana"/>
          <w:sz w:val="16"/>
          <w:szCs w:val="16"/>
          <w:lang w:val="es-CL"/>
        </w:rPr>
        <w:t xml:space="preserve"> del reconocimiento parcial de responsabilidad internacional y el examen del caso, declaró al Estado responsable por: i)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la vida e integridad personal, en perjuicio de Noel Emiro </w:t>
      </w:r>
      <w:proofErr w:type="spellStart"/>
      <w:r w:rsidRPr="00C62A4E">
        <w:rPr>
          <w:rFonts w:ascii="Verdana" w:hAnsi="Verdana"/>
          <w:sz w:val="16"/>
          <w:szCs w:val="16"/>
          <w:lang w:val="es-CL"/>
        </w:rPr>
        <w:t>Omeara</w:t>
      </w:r>
      <w:proofErr w:type="spellEnd"/>
      <w:r w:rsidRPr="00C62A4E">
        <w:rPr>
          <w:rFonts w:ascii="Verdana" w:hAnsi="Verdana"/>
          <w:sz w:val="16"/>
          <w:szCs w:val="16"/>
          <w:lang w:val="es-CL"/>
        </w:rPr>
        <w:t xml:space="preserve"> Carrascal y </w:t>
      </w:r>
      <w:proofErr w:type="spellStart"/>
      <w:r w:rsidRPr="00C62A4E">
        <w:rPr>
          <w:rFonts w:ascii="Verdana" w:hAnsi="Verdana"/>
          <w:sz w:val="16"/>
          <w:szCs w:val="16"/>
          <w:lang w:val="es-CL"/>
        </w:rPr>
        <w:t>Héctor</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Álvarez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Sánchez</w:t>
      </w:r>
      <w:proofErr w:type="spellEnd"/>
      <w:r w:rsidRPr="00C62A4E">
        <w:rPr>
          <w:rFonts w:ascii="Verdana" w:hAnsi="Verdana"/>
          <w:sz w:val="16"/>
          <w:szCs w:val="16"/>
          <w:lang w:val="es-CL"/>
        </w:rPr>
        <w:t xml:space="preserve">, por los atentados sufridos y sus posteriores muertes; ii) la </w:t>
      </w:r>
      <w:proofErr w:type="spellStart"/>
      <w:r w:rsidRPr="00C62A4E">
        <w:rPr>
          <w:rFonts w:ascii="Verdana" w:hAnsi="Verdana"/>
          <w:sz w:val="16"/>
          <w:szCs w:val="16"/>
          <w:lang w:val="es-CL"/>
        </w:rPr>
        <w:t>desaparición</w:t>
      </w:r>
      <w:proofErr w:type="spellEnd"/>
      <w:r w:rsidRPr="00C62A4E">
        <w:rPr>
          <w:rFonts w:ascii="Verdana" w:hAnsi="Verdana"/>
          <w:sz w:val="16"/>
          <w:szCs w:val="16"/>
          <w:lang w:val="es-CL"/>
        </w:rPr>
        <w:t xml:space="preserve"> forzada y posterior </w:t>
      </w:r>
      <w:proofErr w:type="spellStart"/>
      <w:r w:rsidRPr="00C62A4E">
        <w:rPr>
          <w:rFonts w:ascii="Verdana" w:hAnsi="Verdana"/>
          <w:sz w:val="16"/>
          <w:szCs w:val="16"/>
          <w:lang w:val="es-CL"/>
        </w:rPr>
        <w:t>ejecución</w:t>
      </w:r>
      <w:proofErr w:type="spellEnd"/>
      <w:r w:rsidRPr="00C62A4E">
        <w:rPr>
          <w:rFonts w:ascii="Verdana" w:hAnsi="Verdana"/>
          <w:sz w:val="16"/>
          <w:szCs w:val="16"/>
          <w:lang w:val="es-CL"/>
        </w:rPr>
        <w:t xml:space="preserve"> de Manuel Guillermo </w:t>
      </w:r>
      <w:proofErr w:type="spellStart"/>
      <w:r w:rsidRPr="00C62A4E">
        <w:rPr>
          <w:rFonts w:ascii="Verdana" w:hAnsi="Verdana"/>
          <w:sz w:val="16"/>
          <w:szCs w:val="16"/>
          <w:lang w:val="es-CL"/>
        </w:rPr>
        <w:t>Omeara</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Miraval</w:t>
      </w:r>
      <w:proofErr w:type="spellEnd"/>
      <w:r w:rsidRPr="00C62A4E">
        <w:rPr>
          <w:rFonts w:ascii="Verdana" w:hAnsi="Verdana"/>
          <w:sz w:val="16"/>
          <w:szCs w:val="16"/>
          <w:lang w:val="es-CL"/>
        </w:rPr>
        <w:t xml:space="preserve">; iii)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protección judicial, en perjuicio de Noel Emiro </w:t>
      </w:r>
      <w:proofErr w:type="spellStart"/>
      <w:r w:rsidRPr="00C62A4E">
        <w:rPr>
          <w:rFonts w:ascii="Verdana" w:hAnsi="Verdana"/>
          <w:sz w:val="16"/>
          <w:szCs w:val="16"/>
          <w:lang w:val="es-CL"/>
        </w:rPr>
        <w:t>Omeara</w:t>
      </w:r>
      <w:proofErr w:type="spellEnd"/>
      <w:r w:rsidRPr="00C62A4E">
        <w:rPr>
          <w:rFonts w:ascii="Verdana" w:hAnsi="Verdana"/>
          <w:sz w:val="16"/>
          <w:szCs w:val="16"/>
          <w:lang w:val="es-CL"/>
        </w:rPr>
        <w:t xml:space="preserve"> Carrascal, Manuel Guillermo </w:t>
      </w:r>
      <w:proofErr w:type="spellStart"/>
      <w:r w:rsidRPr="00C62A4E">
        <w:rPr>
          <w:rFonts w:ascii="Verdana" w:hAnsi="Verdana"/>
          <w:sz w:val="16"/>
          <w:szCs w:val="16"/>
          <w:lang w:val="es-CL"/>
        </w:rPr>
        <w:t>Omeara</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Miraval</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Héctor</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Álvarez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Sánchez</w:t>
      </w:r>
      <w:proofErr w:type="spellEnd"/>
      <w:r w:rsidRPr="00C62A4E">
        <w:rPr>
          <w:rFonts w:ascii="Verdana" w:hAnsi="Verdana"/>
          <w:sz w:val="16"/>
          <w:szCs w:val="16"/>
          <w:lang w:val="es-CL"/>
        </w:rPr>
        <w:t xml:space="preserve">, y sus familiares; iv)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a los derechos a la integridad personal, protección a la familia y los derechos del </w:t>
      </w:r>
      <w:proofErr w:type="spellStart"/>
      <w:r w:rsidRPr="00C62A4E">
        <w:rPr>
          <w:rFonts w:ascii="Verdana" w:hAnsi="Verdana"/>
          <w:sz w:val="16"/>
          <w:szCs w:val="16"/>
          <w:lang w:val="es-CL"/>
        </w:rPr>
        <w:t>niño</w:t>
      </w:r>
      <w:proofErr w:type="spellEnd"/>
      <w:r w:rsidRPr="00C62A4E">
        <w:rPr>
          <w:rFonts w:ascii="Verdana" w:hAnsi="Verdana"/>
          <w:sz w:val="16"/>
          <w:szCs w:val="16"/>
          <w:lang w:val="es-CL"/>
        </w:rPr>
        <w:t xml:space="preserve">, en perjuicio de los familiares de los </w:t>
      </w:r>
      <w:proofErr w:type="spellStart"/>
      <w:r w:rsidRPr="00C62A4E">
        <w:rPr>
          <w:rFonts w:ascii="Verdana" w:hAnsi="Verdana"/>
          <w:sz w:val="16"/>
          <w:szCs w:val="16"/>
          <w:lang w:val="es-CL"/>
        </w:rPr>
        <w:t>señores</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Omeara</w:t>
      </w:r>
      <w:proofErr w:type="spellEnd"/>
      <w:r w:rsidRPr="00C62A4E">
        <w:rPr>
          <w:rFonts w:ascii="Verdana" w:hAnsi="Verdana"/>
          <w:sz w:val="16"/>
          <w:szCs w:val="16"/>
          <w:lang w:val="es-CL"/>
        </w:rPr>
        <w:t xml:space="preserve"> Carrascal, </w:t>
      </w:r>
      <w:proofErr w:type="spellStart"/>
      <w:r w:rsidRPr="00C62A4E">
        <w:rPr>
          <w:rFonts w:ascii="Verdana" w:hAnsi="Verdana"/>
          <w:sz w:val="16"/>
          <w:szCs w:val="16"/>
          <w:lang w:val="es-CL"/>
        </w:rPr>
        <w:t>Omeara</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Miraval</w:t>
      </w:r>
      <w:proofErr w:type="spellEnd"/>
      <w:r w:rsidRPr="00C62A4E">
        <w:rPr>
          <w:rFonts w:ascii="Verdana" w:hAnsi="Verdana"/>
          <w:sz w:val="16"/>
          <w:szCs w:val="16"/>
          <w:lang w:val="es-CL"/>
        </w:rPr>
        <w:t xml:space="preserve"> y </w:t>
      </w:r>
      <w:proofErr w:type="spellStart"/>
      <w:r w:rsidRPr="00C62A4E">
        <w:rPr>
          <w:rFonts w:ascii="Verdana" w:hAnsi="Verdana"/>
          <w:sz w:val="16"/>
          <w:szCs w:val="16"/>
          <w:lang w:val="es-CL"/>
        </w:rPr>
        <w:t>Álvarez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Sánchez</w:t>
      </w:r>
      <w:proofErr w:type="spellEnd"/>
      <w:r w:rsidRPr="00C62A4E">
        <w:rPr>
          <w:rFonts w:ascii="Verdana" w:hAnsi="Verdana"/>
          <w:sz w:val="16"/>
          <w:szCs w:val="16"/>
          <w:lang w:val="es-CL"/>
        </w:rPr>
        <w:t xml:space="preserve">, debido al profundo dolor y sufrimiento ocasionados como consecuencia de los hechos, y v)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al derecho de </w:t>
      </w:r>
      <w:proofErr w:type="spellStart"/>
      <w:r w:rsidRPr="00C62A4E">
        <w:rPr>
          <w:rFonts w:ascii="Verdana" w:hAnsi="Verdana"/>
          <w:sz w:val="16"/>
          <w:szCs w:val="16"/>
          <w:lang w:val="es-CL"/>
        </w:rPr>
        <w:t>circulación</w:t>
      </w:r>
      <w:proofErr w:type="spellEnd"/>
      <w:r w:rsidRPr="00C62A4E">
        <w:rPr>
          <w:rFonts w:ascii="Verdana" w:hAnsi="Verdana"/>
          <w:sz w:val="16"/>
          <w:szCs w:val="16"/>
          <w:lang w:val="es-CL"/>
        </w:rPr>
        <w:t xml:space="preserve"> y de residencia, en perjuicio de Carmen Teresa </w:t>
      </w:r>
      <w:proofErr w:type="spellStart"/>
      <w:r w:rsidRPr="00C62A4E">
        <w:rPr>
          <w:rFonts w:ascii="Verdana" w:hAnsi="Verdana"/>
          <w:sz w:val="16"/>
          <w:szCs w:val="16"/>
          <w:lang w:val="es-CL"/>
        </w:rPr>
        <w:t>Omeara</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Miraval</w:t>
      </w:r>
      <w:proofErr w:type="spellEnd"/>
      <w:r w:rsidRPr="00C62A4E">
        <w:rPr>
          <w:rFonts w:ascii="Verdana" w:hAnsi="Verdana"/>
          <w:sz w:val="16"/>
          <w:szCs w:val="16"/>
          <w:lang w:val="es-CL"/>
        </w:rPr>
        <w:t xml:space="preserve">, Fabiola </w:t>
      </w:r>
      <w:proofErr w:type="spellStart"/>
      <w:r w:rsidRPr="00C62A4E">
        <w:rPr>
          <w:rFonts w:ascii="Verdana" w:hAnsi="Verdana"/>
          <w:sz w:val="16"/>
          <w:szCs w:val="16"/>
          <w:lang w:val="es-CL"/>
        </w:rPr>
        <w:t>Álvarez</w:t>
      </w:r>
      <w:proofErr w:type="spellEnd"/>
      <w:r w:rsidRPr="00C62A4E">
        <w:rPr>
          <w:rFonts w:ascii="Verdana" w:hAnsi="Verdana"/>
          <w:sz w:val="16"/>
          <w:szCs w:val="16"/>
          <w:lang w:val="es-CL"/>
        </w:rPr>
        <w:t xml:space="preserve"> Solano y sus tres hijos.</w:t>
      </w:r>
    </w:p>
    <w:p w14:paraId="7466557C" w14:textId="77777777" w:rsidR="007A630D" w:rsidRPr="00C62A4E" w:rsidRDefault="007A630D" w:rsidP="00C62A4E">
      <w:pPr>
        <w:pStyle w:val="Textonotapie"/>
        <w:rPr>
          <w:rFonts w:ascii="Verdana" w:hAnsi="Verdana"/>
          <w:sz w:val="16"/>
          <w:szCs w:val="16"/>
          <w:lang w:val="es-CL"/>
        </w:rPr>
      </w:pPr>
    </w:p>
  </w:footnote>
  <w:footnote w:id="8">
    <w:p w14:paraId="7F6BA227" w14:textId="052A4100" w:rsidR="007A630D" w:rsidRPr="00C62A4E" w:rsidRDefault="007A630D"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26 de marzo de 2021 la Corte Interamericana de Derechos Humanos dictó una Sentencia mediante la cual declaró que el Estado de Honduras era responsable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al derecho a la vida, y a la integridad personal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4 y 5 de la Convención Americana), en perjuicio de Vicky </w:t>
      </w:r>
      <w:proofErr w:type="spellStart"/>
      <w:r w:rsidRPr="00C62A4E">
        <w:rPr>
          <w:rFonts w:ascii="Verdana" w:hAnsi="Verdana"/>
          <w:sz w:val="16"/>
          <w:szCs w:val="16"/>
          <w:lang w:val="es-CL"/>
        </w:rPr>
        <w:t>Hernández</w:t>
      </w:r>
      <w:proofErr w:type="spellEnd"/>
      <w:r w:rsidRPr="00C62A4E">
        <w:rPr>
          <w:rFonts w:ascii="Verdana" w:hAnsi="Verdana"/>
          <w:sz w:val="16"/>
          <w:szCs w:val="16"/>
          <w:lang w:val="es-CL"/>
        </w:rPr>
        <w:t xml:space="preserve">, mujer </w:t>
      </w:r>
      <w:proofErr w:type="spellStart"/>
      <w:r w:rsidRPr="00C62A4E">
        <w:rPr>
          <w:rFonts w:ascii="Verdana" w:hAnsi="Verdana"/>
          <w:sz w:val="16"/>
          <w:szCs w:val="16"/>
          <w:lang w:val="es-CL"/>
        </w:rPr>
        <w:t>trans-género</w:t>
      </w:r>
      <w:proofErr w:type="spellEnd"/>
      <w:r w:rsidRPr="00C62A4E">
        <w:rPr>
          <w:rFonts w:ascii="Verdana" w:hAnsi="Verdana"/>
          <w:sz w:val="16"/>
          <w:szCs w:val="16"/>
          <w:lang w:val="es-CL"/>
        </w:rPr>
        <w:t xml:space="preserve">, trabajadora sexual y defensora de los derechos de las mujeres trans. La responsabilidad del Estado se configuró toda vez que existen varios indicios de la </w:t>
      </w:r>
      <w:proofErr w:type="spellStart"/>
      <w:r w:rsidRPr="00C62A4E">
        <w:rPr>
          <w:rFonts w:ascii="Verdana" w:hAnsi="Verdana"/>
          <w:sz w:val="16"/>
          <w:szCs w:val="16"/>
          <w:lang w:val="es-CL"/>
        </w:rPr>
        <w:t>participación</w:t>
      </w:r>
      <w:proofErr w:type="spellEnd"/>
      <w:r w:rsidRPr="00C62A4E">
        <w:rPr>
          <w:rFonts w:ascii="Verdana" w:hAnsi="Verdana"/>
          <w:sz w:val="16"/>
          <w:szCs w:val="16"/>
          <w:lang w:val="es-CL"/>
        </w:rPr>
        <w:t xml:space="preserve"> de agentes estatales en los hechos que </w:t>
      </w:r>
      <w:proofErr w:type="spellStart"/>
      <w:r w:rsidRPr="00C62A4E">
        <w:rPr>
          <w:rFonts w:ascii="Verdana" w:hAnsi="Verdana"/>
          <w:sz w:val="16"/>
          <w:szCs w:val="16"/>
          <w:lang w:val="es-CL"/>
        </w:rPr>
        <w:t>habrían</w:t>
      </w:r>
      <w:proofErr w:type="spellEnd"/>
      <w:r w:rsidRPr="00C62A4E">
        <w:rPr>
          <w:rFonts w:ascii="Verdana" w:hAnsi="Verdana"/>
          <w:sz w:val="16"/>
          <w:szCs w:val="16"/>
          <w:lang w:val="es-CL"/>
        </w:rPr>
        <w:t xml:space="preserve"> llevado a su muerte ocurrida en San Pedro Sula el 28 de junio de 2009. Al encontrar que la violencia ejercida contra Vicky </w:t>
      </w:r>
      <w:proofErr w:type="spellStart"/>
      <w:r w:rsidRPr="00C62A4E">
        <w:rPr>
          <w:rFonts w:ascii="Verdana" w:hAnsi="Verdana"/>
          <w:sz w:val="16"/>
          <w:szCs w:val="16"/>
          <w:lang w:val="es-CL"/>
        </w:rPr>
        <w:t>Hernández</w:t>
      </w:r>
      <w:proofErr w:type="spellEnd"/>
      <w:r w:rsidRPr="00C62A4E">
        <w:rPr>
          <w:rFonts w:ascii="Verdana" w:hAnsi="Verdana"/>
          <w:sz w:val="16"/>
          <w:szCs w:val="16"/>
          <w:lang w:val="es-CL"/>
        </w:rPr>
        <w:t xml:space="preserve">, lo fue en </w:t>
      </w:r>
      <w:proofErr w:type="spellStart"/>
      <w:r w:rsidRPr="00C62A4E">
        <w:rPr>
          <w:rFonts w:ascii="Verdana" w:hAnsi="Verdana"/>
          <w:sz w:val="16"/>
          <w:szCs w:val="16"/>
          <w:lang w:val="es-CL"/>
        </w:rPr>
        <w:t>razón</w:t>
      </w:r>
      <w:proofErr w:type="spellEnd"/>
      <w:r w:rsidRPr="00C62A4E">
        <w:rPr>
          <w:rFonts w:ascii="Verdana" w:hAnsi="Verdana"/>
          <w:sz w:val="16"/>
          <w:szCs w:val="16"/>
          <w:lang w:val="es-CL"/>
        </w:rPr>
        <w:t xml:space="preserve"> de su </w:t>
      </w:r>
      <w:proofErr w:type="spellStart"/>
      <w:r w:rsidRPr="00C62A4E">
        <w:rPr>
          <w:rFonts w:ascii="Verdana" w:hAnsi="Verdana"/>
          <w:sz w:val="16"/>
          <w:szCs w:val="16"/>
          <w:lang w:val="es-CL"/>
        </w:rPr>
        <w:t>expresión</w:t>
      </w:r>
      <w:proofErr w:type="spellEnd"/>
      <w:r w:rsidRPr="00C62A4E">
        <w:rPr>
          <w:rFonts w:ascii="Verdana" w:hAnsi="Verdana"/>
          <w:sz w:val="16"/>
          <w:szCs w:val="16"/>
          <w:lang w:val="es-CL"/>
        </w:rPr>
        <w:t xml:space="preserve"> o identidad de </w:t>
      </w:r>
      <w:proofErr w:type="spellStart"/>
      <w:r w:rsidRPr="00C62A4E">
        <w:rPr>
          <w:rFonts w:ascii="Verdana" w:hAnsi="Verdana"/>
          <w:sz w:val="16"/>
          <w:szCs w:val="16"/>
          <w:lang w:val="es-CL"/>
        </w:rPr>
        <w:t>género</w:t>
      </w:r>
      <w:proofErr w:type="spellEnd"/>
      <w:r w:rsidRPr="00C62A4E">
        <w:rPr>
          <w:rFonts w:ascii="Verdana" w:hAnsi="Verdana"/>
          <w:sz w:val="16"/>
          <w:szCs w:val="16"/>
          <w:lang w:val="es-CL"/>
        </w:rPr>
        <w:t xml:space="preserve">, el Tribunal concluyó que el Estado era responsable por una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a los derechos al reconocimiento a la personalidad </w:t>
      </w:r>
      <w:proofErr w:type="spellStart"/>
      <w:r w:rsidRPr="00C62A4E">
        <w:rPr>
          <w:rFonts w:ascii="Verdana" w:hAnsi="Verdana"/>
          <w:sz w:val="16"/>
          <w:szCs w:val="16"/>
          <w:lang w:val="es-CL"/>
        </w:rPr>
        <w:t>jurídica</w:t>
      </w:r>
      <w:proofErr w:type="spellEnd"/>
      <w:r w:rsidRPr="00C62A4E">
        <w:rPr>
          <w:rFonts w:ascii="Verdana" w:hAnsi="Verdana"/>
          <w:sz w:val="16"/>
          <w:szCs w:val="16"/>
          <w:lang w:val="es-CL"/>
        </w:rPr>
        <w:t xml:space="preserve">, a la libertad personal, a la privacidad, a la libertad de </w:t>
      </w:r>
      <w:proofErr w:type="spellStart"/>
      <w:r w:rsidRPr="00C62A4E">
        <w:rPr>
          <w:rFonts w:ascii="Verdana" w:hAnsi="Verdana"/>
          <w:sz w:val="16"/>
          <w:szCs w:val="16"/>
          <w:lang w:val="es-CL"/>
        </w:rPr>
        <w:t>expresión</w:t>
      </w:r>
      <w:proofErr w:type="spellEnd"/>
      <w:r w:rsidRPr="00C62A4E">
        <w:rPr>
          <w:rFonts w:ascii="Verdana" w:hAnsi="Verdana"/>
          <w:sz w:val="16"/>
          <w:szCs w:val="16"/>
          <w:lang w:val="es-CL"/>
        </w:rPr>
        <w:t>, y al nombre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3, 7, 11, 13, y 18 de la Convención Americana), y que </w:t>
      </w:r>
      <w:proofErr w:type="spellStart"/>
      <w:r w:rsidRPr="00C62A4E">
        <w:rPr>
          <w:rFonts w:ascii="Verdana" w:hAnsi="Verdana"/>
          <w:sz w:val="16"/>
          <w:szCs w:val="16"/>
          <w:lang w:val="es-CL"/>
        </w:rPr>
        <w:t>incumplio</w:t>
      </w:r>
      <w:proofErr w:type="spellEnd"/>
      <w:r w:rsidRPr="00C62A4E">
        <w:rPr>
          <w:rFonts w:ascii="Verdana" w:hAnsi="Verdana"/>
          <w:sz w:val="16"/>
          <w:szCs w:val="16"/>
          <w:lang w:val="es-CL"/>
        </w:rPr>
        <w:t xml:space="preserve">́ con la obligación establecida en el artículo 7.a de la Convención Interamericana para Prevenir, Sancionar y Erradicar la Violencia contra la Mujer en su perjuicio. Por otra parte, su muerte no fue investigada con la debida diligencia, por lo que se concluyó que se </w:t>
      </w:r>
      <w:proofErr w:type="spellStart"/>
      <w:r w:rsidRPr="00C62A4E">
        <w:rPr>
          <w:rFonts w:ascii="Verdana" w:hAnsi="Verdana"/>
          <w:sz w:val="16"/>
          <w:szCs w:val="16"/>
          <w:lang w:val="es-CL"/>
        </w:rPr>
        <w:t>habían</w:t>
      </w:r>
      <w:proofErr w:type="spellEnd"/>
      <w:r w:rsidRPr="00C62A4E">
        <w:rPr>
          <w:rFonts w:ascii="Verdana" w:hAnsi="Verdana"/>
          <w:sz w:val="16"/>
          <w:szCs w:val="16"/>
          <w:lang w:val="es-CL"/>
        </w:rPr>
        <w:t xml:space="preserve"> vulnerado los derechos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al debido proceso y a la protección judicial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8 y 25 de la Convención), y a la obligación establecida en el artículo 7.b de la Convención Interamericana para Prevenir, Sancionar y Erradicar la Violencia contra la Mujer en perjuicio de las familiares de Vicky </w:t>
      </w:r>
      <w:proofErr w:type="spellStart"/>
      <w:r w:rsidRPr="00C62A4E">
        <w:rPr>
          <w:rFonts w:ascii="Verdana" w:hAnsi="Verdana"/>
          <w:sz w:val="16"/>
          <w:szCs w:val="16"/>
          <w:lang w:val="es-CL"/>
        </w:rPr>
        <w:t>Hernández</w:t>
      </w:r>
      <w:proofErr w:type="spellEnd"/>
      <w:r w:rsidRPr="00C62A4E">
        <w:rPr>
          <w:rFonts w:ascii="Verdana" w:hAnsi="Verdana"/>
          <w:sz w:val="16"/>
          <w:szCs w:val="16"/>
          <w:lang w:val="es-CL"/>
        </w:rPr>
        <w:t xml:space="preserve">. Por </w:t>
      </w:r>
      <w:proofErr w:type="spellStart"/>
      <w:r w:rsidRPr="00C62A4E">
        <w:rPr>
          <w:rFonts w:ascii="Verdana" w:hAnsi="Verdana"/>
          <w:sz w:val="16"/>
          <w:szCs w:val="16"/>
          <w:lang w:val="es-CL"/>
        </w:rPr>
        <w:t>último</w:t>
      </w:r>
      <w:proofErr w:type="spellEnd"/>
      <w:r w:rsidRPr="00C62A4E">
        <w:rPr>
          <w:rFonts w:ascii="Verdana" w:hAnsi="Verdana"/>
          <w:sz w:val="16"/>
          <w:szCs w:val="16"/>
          <w:lang w:val="es-CL"/>
        </w:rPr>
        <w:t xml:space="preserve">, el Tribunal declaró que se </w:t>
      </w:r>
      <w:proofErr w:type="spellStart"/>
      <w:r w:rsidRPr="00C62A4E">
        <w:rPr>
          <w:rFonts w:ascii="Verdana" w:hAnsi="Verdana"/>
          <w:sz w:val="16"/>
          <w:szCs w:val="16"/>
          <w:lang w:val="es-CL"/>
        </w:rPr>
        <w:t>había</w:t>
      </w:r>
      <w:proofErr w:type="spellEnd"/>
      <w:r w:rsidRPr="00C62A4E">
        <w:rPr>
          <w:rFonts w:ascii="Verdana" w:hAnsi="Verdana"/>
          <w:sz w:val="16"/>
          <w:szCs w:val="16"/>
          <w:lang w:val="es-CL"/>
        </w:rPr>
        <w:t xml:space="preserve"> violado el derecho a la integridad personal de las familiares de Vicky </w:t>
      </w:r>
      <w:proofErr w:type="spellStart"/>
      <w:r w:rsidRPr="00C62A4E">
        <w:rPr>
          <w:rFonts w:ascii="Verdana" w:hAnsi="Verdana"/>
          <w:sz w:val="16"/>
          <w:szCs w:val="16"/>
          <w:lang w:val="es-CL"/>
        </w:rPr>
        <w:t>Hernández</w:t>
      </w:r>
      <w:proofErr w:type="spellEnd"/>
      <w:r w:rsidRPr="00C62A4E">
        <w:rPr>
          <w:rFonts w:ascii="Verdana" w:hAnsi="Verdana"/>
          <w:sz w:val="16"/>
          <w:szCs w:val="16"/>
          <w:lang w:val="es-CL"/>
        </w:rPr>
        <w:t xml:space="preserve"> por las consecuencias que para ellas tuvo su muerte, y porque las circunstancias de la misma siguen sin haberse esclarecido. El Estado </w:t>
      </w:r>
      <w:proofErr w:type="spellStart"/>
      <w:r w:rsidRPr="00C62A4E">
        <w:rPr>
          <w:rFonts w:ascii="Verdana" w:hAnsi="Verdana"/>
          <w:sz w:val="16"/>
          <w:szCs w:val="16"/>
          <w:lang w:val="es-CL"/>
        </w:rPr>
        <w:t>reconocio</w:t>
      </w:r>
      <w:proofErr w:type="spellEnd"/>
      <w:r w:rsidRPr="00C62A4E">
        <w:rPr>
          <w:rFonts w:ascii="Verdana" w:hAnsi="Verdana"/>
          <w:sz w:val="16"/>
          <w:szCs w:val="16"/>
          <w:lang w:val="es-CL"/>
        </w:rPr>
        <w:t xml:space="preserve">́ parcialmente su responsabilidad por la vulneración a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8 y 25 de la Convención Americana.</w:t>
      </w:r>
    </w:p>
    <w:p w14:paraId="410C58B8" w14:textId="77777777" w:rsidR="00667E3D" w:rsidRPr="00C62A4E" w:rsidRDefault="00667E3D" w:rsidP="00C62A4E">
      <w:pPr>
        <w:pStyle w:val="Textonotapie"/>
        <w:rPr>
          <w:rFonts w:ascii="Verdana" w:hAnsi="Verdana"/>
          <w:sz w:val="16"/>
          <w:szCs w:val="16"/>
          <w:lang w:val="es-CL"/>
        </w:rPr>
      </w:pPr>
    </w:p>
  </w:footnote>
  <w:footnote w:id="9">
    <w:p w14:paraId="2ED9A209" w14:textId="5D6A5A69" w:rsidR="00667E3D" w:rsidRPr="00C62A4E" w:rsidRDefault="00667E3D"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3 de junio de 2021 la Corte Interamericana de Derechos Humanos dictó Sentencia mediante la cual declaró internacionalmente responsable a la </w:t>
      </w:r>
      <w:proofErr w:type="spellStart"/>
      <w:r w:rsidRPr="00C62A4E">
        <w:rPr>
          <w:rFonts w:ascii="Verdana" w:hAnsi="Verdana"/>
          <w:sz w:val="16"/>
          <w:szCs w:val="16"/>
          <w:lang w:val="es-CL"/>
        </w:rPr>
        <w:t>República</w:t>
      </w:r>
      <w:proofErr w:type="spellEnd"/>
      <w:r w:rsidRPr="00C62A4E">
        <w:rPr>
          <w:rFonts w:ascii="Verdana" w:hAnsi="Verdana"/>
          <w:sz w:val="16"/>
          <w:szCs w:val="16"/>
          <w:lang w:val="es-CL"/>
        </w:rPr>
        <w:t xml:space="preserve"> Bolivariana de Venezuela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i) de los derechos a la vida, a la integridad personal, a la libertad personal,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protección judicial,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las obligaciones de respetar y garantizar los derechos sin discriminación,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de la </w:t>
      </w:r>
      <w:proofErr w:type="spellStart"/>
      <w:r w:rsidRPr="00C62A4E">
        <w:rPr>
          <w:rFonts w:ascii="Verdana" w:hAnsi="Verdana"/>
          <w:sz w:val="16"/>
          <w:szCs w:val="16"/>
          <w:lang w:val="es-CL"/>
        </w:rPr>
        <w:t>prohibición</w:t>
      </w:r>
      <w:proofErr w:type="spellEnd"/>
      <w:r w:rsidRPr="00C62A4E">
        <w:rPr>
          <w:rFonts w:ascii="Verdana" w:hAnsi="Verdana"/>
          <w:sz w:val="16"/>
          <w:szCs w:val="16"/>
          <w:lang w:val="es-CL"/>
        </w:rPr>
        <w:t xml:space="preserve"> de cometer actos de tortura y las obligaciones relativas a la </w:t>
      </w:r>
      <w:proofErr w:type="spellStart"/>
      <w:r w:rsidRPr="00C62A4E">
        <w:rPr>
          <w:rFonts w:ascii="Verdana" w:hAnsi="Verdana"/>
          <w:sz w:val="16"/>
          <w:szCs w:val="16"/>
          <w:lang w:val="es-CL"/>
        </w:rPr>
        <w:t>investigación</w:t>
      </w:r>
      <w:proofErr w:type="spellEnd"/>
      <w:r w:rsidRPr="00C62A4E">
        <w:rPr>
          <w:rFonts w:ascii="Verdana" w:hAnsi="Verdana"/>
          <w:sz w:val="16"/>
          <w:szCs w:val="16"/>
          <w:lang w:val="es-CL"/>
        </w:rPr>
        <w:t xml:space="preserve"> y </w:t>
      </w:r>
      <w:proofErr w:type="spellStart"/>
      <w:r w:rsidRPr="00C62A4E">
        <w:rPr>
          <w:rFonts w:ascii="Verdana" w:hAnsi="Verdana"/>
          <w:sz w:val="16"/>
          <w:szCs w:val="16"/>
          <w:lang w:val="es-CL"/>
        </w:rPr>
        <w:t>sanción</w:t>
      </w:r>
      <w:proofErr w:type="spellEnd"/>
      <w:r w:rsidRPr="00C62A4E">
        <w:rPr>
          <w:rFonts w:ascii="Verdana" w:hAnsi="Verdana"/>
          <w:sz w:val="16"/>
          <w:szCs w:val="16"/>
          <w:lang w:val="es-CL"/>
        </w:rPr>
        <w:t xml:space="preserve"> de los mismos, en perjuicio del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Jimmy Rafael Guerrero </w:t>
      </w:r>
      <w:proofErr w:type="spellStart"/>
      <w:r w:rsidRPr="00C62A4E">
        <w:rPr>
          <w:rFonts w:ascii="Verdana" w:hAnsi="Verdana"/>
          <w:sz w:val="16"/>
          <w:szCs w:val="16"/>
          <w:lang w:val="es-CL"/>
        </w:rPr>
        <w:t>Meléndez</w:t>
      </w:r>
      <w:proofErr w:type="spellEnd"/>
      <w:r w:rsidRPr="00C62A4E">
        <w:rPr>
          <w:rFonts w:ascii="Verdana" w:hAnsi="Verdana"/>
          <w:sz w:val="16"/>
          <w:szCs w:val="16"/>
          <w:lang w:val="es-CL"/>
        </w:rPr>
        <w:t xml:space="preserve">; ii) del derecho a la vida, en perjuicio de </w:t>
      </w:r>
      <w:proofErr w:type="spellStart"/>
      <w:r w:rsidRPr="00C62A4E">
        <w:rPr>
          <w:rFonts w:ascii="Verdana" w:hAnsi="Verdana"/>
          <w:sz w:val="16"/>
          <w:szCs w:val="16"/>
          <w:lang w:val="es-CL"/>
        </w:rPr>
        <w:t>Ramón</w:t>
      </w:r>
      <w:proofErr w:type="spellEnd"/>
      <w:r w:rsidRPr="00C62A4E">
        <w:rPr>
          <w:rFonts w:ascii="Verdana" w:hAnsi="Verdana"/>
          <w:sz w:val="16"/>
          <w:szCs w:val="16"/>
          <w:lang w:val="es-CL"/>
        </w:rPr>
        <w:t xml:space="preserve"> Antonio Molina </w:t>
      </w:r>
      <w:proofErr w:type="spellStart"/>
      <w:r w:rsidRPr="00C62A4E">
        <w:rPr>
          <w:rFonts w:ascii="Verdana" w:hAnsi="Verdana"/>
          <w:sz w:val="16"/>
          <w:szCs w:val="16"/>
          <w:lang w:val="es-CL"/>
        </w:rPr>
        <w:t>Pérez</w:t>
      </w:r>
      <w:proofErr w:type="spellEnd"/>
      <w:r w:rsidRPr="00C62A4E">
        <w:rPr>
          <w:rFonts w:ascii="Verdana" w:hAnsi="Verdana"/>
          <w:sz w:val="16"/>
          <w:szCs w:val="16"/>
          <w:lang w:val="es-CL"/>
        </w:rPr>
        <w:t xml:space="preserve">, y iii) de los derechos a la integridad personal y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protección judicial,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obligaciones relativas a la </w:t>
      </w:r>
      <w:proofErr w:type="spellStart"/>
      <w:r w:rsidRPr="00C62A4E">
        <w:rPr>
          <w:rFonts w:ascii="Verdana" w:hAnsi="Verdana"/>
          <w:sz w:val="16"/>
          <w:szCs w:val="16"/>
          <w:lang w:val="es-CL"/>
        </w:rPr>
        <w:t>investigación</w:t>
      </w:r>
      <w:proofErr w:type="spellEnd"/>
      <w:r w:rsidRPr="00C62A4E">
        <w:rPr>
          <w:rFonts w:ascii="Verdana" w:hAnsi="Verdana"/>
          <w:sz w:val="16"/>
          <w:szCs w:val="16"/>
          <w:lang w:val="es-CL"/>
        </w:rPr>
        <w:t xml:space="preserve"> y </w:t>
      </w:r>
      <w:proofErr w:type="spellStart"/>
      <w:r w:rsidRPr="00C62A4E">
        <w:rPr>
          <w:rFonts w:ascii="Verdana" w:hAnsi="Verdana"/>
          <w:sz w:val="16"/>
          <w:szCs w:val="16"/>
          <w:lang w:val="es-CL"/>
        </w:rPr>
        <w:t>sanción</w:t>
      </w:r>
      <w:proofErr w:type="spellEnd"/>
      <w:r w:rsidRPr="00C62A4E">
        <w:rPr>
          <w:rFonts w:ascii="Verdana" w:hAnsi="Verdana"/>
          <w:sz w:val="16"/>
          <w:szCs w:val="16"/>
          <w:lang w:val="es-CL"/>
        </w:rPr>
        <w:t xml:space="preserve"> de actos de tortura, en perjuicio de los familiares de los </w:t>
      </w:r>
      <w:proofErr w:type="spellStart"/>
      <w:r w:rsidRPr="00C62A4E">
        <w:rPr>
          <w:rFonts w:ascii="Verdana" w:hAnsi="Verdana"/>
          <w:sz w:val="16"/>
          <w:szCs w:val="16"/>
          <w:lang w:val="es-CL"/>
        </w:rPr>
        <w:t>señores</w:t>
      </w:r>
      <w:proofErr w:type="spellEnd"/>
      <w:r w:rsidRPr="00C62A4E">
        <w:rPr>
          <w:rFonts w:ascii="Verdana" w:hAnsi="Verdana"/>
          <w:sz w:val="16"/>
          <w:szCs w:val="16"/>
          <w:lang w:val="es-CL"/>
        </w:rPr>
        <w:t xml:space="preserve"> Guerrero y Molina. En consecuencia, la Corte concluyó que el Estado es responsable: i) en perjuicio de Jimmy Guerrero,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4.1, 5.1, 5.2, 7.1, 7.2, 7.3, 7.4, 7.5, 8.1 y 25.1 de la Convención Americana sobre Derechos Humanos,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su artículo 1.1,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1, 6 y 8 de la Convención Interamericana para Prevenir y Sancionar la Tortura; ii) en perjuicio de </w:t>
      </w:r>
      <w:proofErr w:type="spellStart"/>
      <w:r w:rsidRPr="00C62A4E">
        <w:rPr>
          <w:rFonts w:ascii="Verdana" w:hAnsi="Verdana"/>
          <w:sz w:val="16"/>
          <w:szCs w:val="16"/>
          <w:lang w:val="es-CL"/>
        </w:rPr>
        <w:t>Ramón</w:t>
      </w:r>
      <w:proofErr w:type="spellEnd"/>
      <w:r w:rsidRPr="00C62A4E">
        <w:rPr>
          <w:rFonts w:ascii="Verdana" w:hAnsi="Verdana"/>
          <w:sz w:val="16"/>
          <w:szCs w:val="16"/>
          <w:lang w:val="es-CL"/>
        </w:rPr>
        <w:t xml:space="preserve"> Molina,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del artículo 4.1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su artículo 1.1, y iii) de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5.1, 8.1 y 25.1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su artículo 1.1, y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1, 6 y 8 de la Convención Interamericana para Prevenir y Sancionar la Tortura, en perjuicio de los familiares de Jimmy Guerrero y </w:t>
      </w:r>
      <w:proofErr w:type="spellStart"/>
      <w:r w:rsidRPr="00C62A4E">
        <w:rPr>
          <w:rFonts w:ascii="Verdana" w:hAnsi="Verdana"/>
          <w:sz w:val="16"/>
          <w:szCs w:val="16"/>
          <w:lang w:val="es-CL"/>
        </w:rPr>
        <w:t>Ramón</w:t>
      </w:r>
      <w:proofErr w:type="spellEnd"/>
      <w:r w:rsidRPr="00C62A4E">
        <w:rPr>
          <w:rFonts w:ascii="Verdana" w:hAnsi="Verdana"/>
          <w:sz w:val="16"/>
          <w:szCs w:val="16"/>
          <w:lang w:val="es-CL"/>
        </w:rPr>
        <w:t xml:space="preserve"> Molina.</w:t>
      </w:r>
    </w:p>
  </w:footnote>
  <w:footnote w:id="10">
    <w:p w14:paraId="1FEAB16F" w14:textId="706E5FFC" w:rsidR="0094754F" w:rsidRPr="00C62A4E" w:rsidRDefault="0094754F" w:rsidP="00C62A4E">
      <w:pPr>
        <w:pStyle w:val="Textonotapie"/>
        <w:rPr>
          <w:rFonts w:ascii="Verdana" w:hAnsi="Verdana"/>
          <w:sz w:val="16"/>
          <w:szCs w:val="16"/>
          <w:lang w:val="es-ES"/>
        </w:rPr>
      </w:pPr>
      <w:r w:rsidRPr="00C62A4E">
        <w:rPr>
          <w:rStyle w:val="Refdenotaalpie"/>
          <w:rFonts w:ascii="Verdana" w:hAnsi="Verdana"/>
          <w:sz w:val="16"/>
          <w:szCs w:val="16"/>
        </w:rPr>
        <w:footnoteRef/>
      </w:r>
      <w:r w:rsidRPr="00C62A4E">
        <w:rPr>
          <w:rFonts w:ascii="Verdana" w:hAnsi="Verdana"/>
          <w:sz w:val="16"/>
          <w:szCs w:val="16"/>
          <w:lang w:val="es-ES"/>
        </w:rPr>
        <w:t xml:space="preserve"> Nota del Editor: los casos que son calificados por la Corte IDH como “tortura psicológica” se reseñan en el apartado 3.2 de este Cuadernillo.</w:t>
      </w:r>
    </w:p>
    <w:p w14:paraId="5565349E" w14:textId="77777777" w:rsidR="00667E3D" w:rsidRPr="00C62A4E" w:rsidRDefault="00667E3D" w:rsidP="00C62A4E">
      <w:pPr>
        <w:pStyle w:val="Textonotapie"/>
        <w:rPr>
          <w:rFonts w:ascii="Verdana" w:hAnsi="Verdana"/>
          <w:sz w:val="16"/>
          <w:szCs w:val="16"/>
          <w:lang w:val="es-ES"/>
        </w:rPr>
      </w:pPr>
    </w:p>
  </w:footnote>
  <w:footnote w:id="11">
    <w:p w14:paraId="665E7773" w14:textId="5431076A" w:rsidR="00667E3D" w:rsidRPr="00C62A4E" w:rsidRDefault="00667E3D"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 falta de investigación y sanción de los responsables de la muerte y maltratos de pobladores de la comunidad </w:t>
      </w:r>
      <w:proofErr w:type="spellStart"/>
      <w:r w:rsidRPr="00C62A4E">
        <w:rPr>
          <w:rFonts w:ascii="Verdana" w:hAnsi="Verdana"/>
          <w:sz w:val="16"/>
          <w:szCs w:val="16"/>
          <w:lang w:val="es-CL"/>
        </w:rPr>
        <w:t>Moiwana</w:t>
      </w:r>
      <w:proofErr w:type="spellEnd"/>
      <w:r w:rsidRPr="00C62A4E">
        <w:rPr>
          <w:rFonts w:ascii="Verdana" w:hAnsi="Verdana"/>
          <w:sz w:val="16"/>
          <w:szCs w:val="16"/>
          <w:lang w:val="es-CL"/>
        </w:rPr>
        <w:t xml:space="preserve"> por parte de agentes militares, así como por su desplazamiento forzado. La Corte estableció la violación de los siguientes derechos convencionales: Artículo 1 (Obligación de respetar los derechos.) , Artículo 21 (Derecho a la propiedad privada) , Artículo 22 ( Derecho de circulación y de residencia).</w:t>
      </w:r>
    </w:p>
    <w:p w14:paraId="77F65AFA" w14:textId="77777777" w:rsidR="00667E3D" w:rsidRPr="00C62A4E" w:rsidRDefault="00667E3D" w:rsidP="00C62A4E">
      <w:pPr>
        <w:pStyle w:val="Textonotapie"/>
        <w:rPr>
          <w:rFonts w:ascii="Verdana" w:hAnsi="Verdana"/>
          <w:sz w:val="16"/>
          <w:szCs w:val="16"/>
          <w:lang w:val="es-CL"/>
        </w:rPr>
      </w:pPr>
    </w:p>
  </w:footnote>
  <w:footnote w:id="12">
    <w:p w14:paraId="1F9831B8" w14:textId="77777777" w:rsidR="00667E3D" w:rsidRPr="00C62A4E" w:rsidRDefault="00667E3D"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24 de noviembre de 2011 la Corte Interamericana de Derechos Humanos declare, por unanimidad, que el Estado de Venezuela result6 internacionalmente responsable por la violaci6n, entre otros, de los derechos a la vida, a la integridad y a la libertad personales, a la vida privada, a la propiedad privada, de circulaci6n y residencia,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protecci6n judicial de determinados integrantes de la familia Barrios, la cual </w:t>
      </w:r>
      <w:proofErr w:type="spellStart"/>
      <w:r w:rsidRPr="00C62A4E">
        <w:rPr>
          <w:rFonts w:ascii="Verdana" w:hAnsi="Verdana"/>
          <w:sz w:val="16"/>
          <w:szCs w:val="16"/>
          <w:lang w:val="es-CL"/>
        </w:rPr>
        <w:t>residia</w:t>
      </w:r>
      <w:proofErr w:type="spellEnd"/>
      <w:r w:rsidRPr="00C62A4E">
        <w:rPr>
          <w:rFonts w:ascii="Verdana" w:hAnsi="Verdana"/>
          <w:sz w:val="16"/>
          <w:szCs w:val="16"/>
          <w:lang w:val="es-CL"/>
        </w:rPr>
        <w:t xml:space="preserve"> en la poblaci6n de </w:t>
      </w:r>
      <w:proofErr w:type="spellStart"/>
      <w:r w:rsidRPr="00C62A4E">
        <w:rPr>
          <w:rFonts w:ascii="Verdana" w:hAnsi="Verdana"/>
          <w:sz w:val="16"/>
          <w:szCs w:val="16"/>
          <w:lang w:val="es-CL"/>
        </w:rPr>
        <w:t>Guanayen</w:t>
      </w:r>
      <w:proofErr w:type="spellEnd"/>
      <w:r w:rsidRPr="00C62A4E">
        <w:rPr>
          <w:rFonts w:ascii="Verdana" w:hAnsi="Verdana"/>
          <w:sz w:val="16"/>
          <w:szCs w:val="16"/>
          <w:lang w:val="es-CL"/>
        </w:rPr>
        <w:t xml:space="preserve">, estado Aragua, Venezuela. </w:t>
      </w:r>
    </w:p>
    <w:p w14:paraId="206CE050" w14:textId="2CB825C1" w:rsidR="00667E3D" w:rsidRPr="00C62A4E" w:rsidRDefault="00667E3D" w:rsidP="00C62A4E">
      <w:pPr>
        <w:pStyle w:val="Textonotapie"/>
        <w:rPr>
          <w:rFonts w:ascii="Verdana" w:hAnsi="Verdana"/>
          <w:sz w:val="16"/>
          <w:szCs w:val="16"/>
          <w:lang w:val="es-CL"/>
        </w:rPr>
      </w:pPr>
    </w:p>
  </w:footnote>
  <w:footnote w:id="13">
    <w:p w14:paraId="780BA371" w14:textId="51AFA12C" w:rsidR="00C2706D" w:rsidRPr="00C62A4E" w:rsidRDefault="00C2706D"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3 de septiembre de 2012 la Corte Interamericana de Derechos Humanos </w:t>
      </w:r>
      <w:proofErr w:type="spellStart"/>
      <w:r w:rsidRPr="00C62A4E">
        <w:rPr>
          <w:rFonts w:ascii="Verdana" w:hAnsi="Verdana"/>
          <w:sz w:val="16"/>
          <w:szCs w:val="16"/>
          <w:lang w:val="es-CL"/>
        </w:rPr>
        <w:t>emitio</w:t>
      </w:r>
      <w:proofErr w:type="spellEnd"/>
      <w:r w:rsidRPr="00C62A4E">
        <w:rPr>
          <w:rFonts w:ascii="Verdana" w:hAnsi="Verdana"/>
          <w:sz w:val="16"/>
          <w:szCs w:val="16"/>
          <w:lang w:val="es-CL"/>
        </w:rPr>
        <w:t xml:space="preserve">́ la Sentencia, en la cual desestimó la </w:t>
      </w:r>
      <w:proofErr w:type="spellStart"/>
      <w:r w:rsidRPr="00C62A4E">
        <w:rPr>
          <w:rFonts w:ascii="Verdana" w:hAnsi="Verdana"/>
          <w:sz w:val="16"/>
          <w:szCs w:val="16"/>
          <w:lang w:val="es-CL"/>
        </w:rPr>
        <w:t>excepción</w:t>
      </w:r>
      <w:proofErr w:type="spellEnd"/>
      <w:r w:rsidRPr="00C62A4E">
        <w:rPr>
          <w:rFonts w:ascii="Verdana" w:hAnsi="Verdana"/>
          <w:sz w:val="16"/>
          <w:szCs w:val="16"/>
          <w:lang w:val="es-CL"/>
        </w:rPr>
        <w:t xml:space="preserve"> preliminar interpuesta por el Estado, aceptó el referido reconocimiento parcial de responsabilidad, y declaró, por unanimidad, que el Estado es internacionalmente responsable por haber violado los derechos a la integridad personal, a la </w:t>
      </w:r>
      <w:proofErr w:type="spellStart"/>
      <w:r w:rsidRPr="00C62A4E">
        <w:rPr>
          <w:rFonts w:ascii="Verdana" w:hAnsi="Verdana"/>
          <w:sz w:val="16"/>
          <w:szCs w:val="16"/>
          <w:lang w:val="es-CL"/>
        </w:rPr>
        <w:t>circulación</w:t>
      </w:r>
      <w:proofErr w:type="spellEnd"/>
      <w:r w:rsidRPr="00C62A4E">
        <w:rPr>
          <w:rFonts w:ascii="Verdana" w:hAnsi="Verdana"/>
          <w:sz w:val="16"/>
          <w:szCs w:val="16"/>
          <w:lang w:val="es-CL"/>
        </w:rPr>
        <w:t xml:space="preserve"> y residencia,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protección judicial, consagrados en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5.1, 22.1, 8.1 y 25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el artículo 1.1 de la Convención Americana sobre Derechos Humanos, en perjuicio de Luis Gonzalo </w:t>
      </w:r>
      <w:proofErr w:type="spellStart"/>
      <w:r w:rsidRPr="00C62A4E">
        <w:rPr>
          <w:rFonts w:ascii="Verdana" w:hAnsi="Verdana"/>
          <w:sz w:val="16"/>
          <w:szCs w:val="16"/>
          <w:lang w:val="es-CL"/>
        </w:rPr>
        <w:t>Vélez</w:t>
      </w:r>
      <w:proofErr w:type="spellEnd"/>
      <w:r w:rsidRPr="00C62A4E">
        <w:rPr>
          <w:rFonts w:ascii="Verdana" w:hAnsi="Verdana"/>
          <w:sz w:val="16"/>
          <w:szCs w:val="16"/>
          <w:lang w:val="es-CL"/>
        </w:rPr>
        <w:t xml:space="preserve"> Restrepo, </w:t>
      </w:r>
      <w:proofErr w:type="spellStart"/>
      <w:r w:rsidRPr="00C62A4E">
        <w:rPr>
          <w:rFonts w:ascii="Verdana" w:hAnsi="Verdana"/>
          <w:sz w:val="16"/>
          <w:szCs w:val="16"/>
          <w:lang w:val="es-CL"/>
        </w:rPr>
        <w:t>Aracelly</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Román</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Amariles</w:t>
      </w:r>
      <w:proofErr w:type="spellEnd"/>
      <w:r w:rsidRPr="00C62A4E">
        <w:rPr>
          <w:rFonts w:ascii="Verdana" w:hAnsi="Verdana"/>
          <w:sz w:val="16"/>
          <w:szCs w:val="16"/>
          <w:lang w:val="es-CL"/>
        </w:rPr>
        <w:t xml:space="preserve"> y sus hijos Mateo y Juliana </w:t>
      </w:r>
      <w:proofErr w:type="spellStart"/>
      <w:r w:rsidRPr="00C62A4E">
        <w:rPr>
          <w:rFonts w:ascii="Verdana" w:hAnsi="Verdana"/>
          <w:sz w:val="16"/>
          <w:szCs w:val="16"/>
          <w:lang w:val="es-CL"/>
        </w:rPr>
        <w:t>Vélez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Román</w:t>
      </w:r>
      <w:proofErr w:type="spellEnd"/>
      <w:r w:rsidRPr="00C62A4E">
        <w:rPr>
          <w:rFonts w:ascii="Verdana" w:hAnsi="Verdana"/>
          <w:sz w:val="16"/>
          <w:szCs w:val="16"/>
          <w:lang w:val="es-CL"/>
        </w:rPr>
        <w:t xml:space="preserve">. Asimismo, la Corte declaró, por unanimidad, que el Estado violó el derecho a la libertad de pensamiento y de </w:t>
      </w:r>
      <w:proofErr w:type="spellStart"/>
      <w:r w:rsidRPr="00C62A4E">
        <w:rPr>
          <w:rFonts w:ascii="Verdana" w:hAnsi="Verdana"/>
          <w:sz w:val="16"/>
          <w:szCs w:val="16"/>
          <w:lang w:val="es-CL"/>
        </w:rPr>
        <w:t>expresión</w:t>
      </w:r>
      <w:proofErr w:type="spellEnd"/>
      <w:r w:rsidRPr="00C62A4E">
        <w:rPr>
          <w:rFonts w:ascii="Verdana" w:hAnsi="Verdana"/>
          <w:sz w:val="16"/>
          <w:szCs w:val="16"/>
          <w:lang w:val="es-CL"/>
        </w:rPr>
        <w:t xml:space="preserve">, consagrado en el artículo 13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el artículo 1.1 de la misma, en perjuicio del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Luis Gonzalo </w:t>
      </w:r>
      <w:proofErr w:type="spellStart"/>
      <w:r w:rsidRPr="00C62A4E">
        <w:rPr>
          <w:rFonts w:ascii="Verdana" w:hAnsi="Verdana"/>
          <w:sz w:val="16"/>
          <w:szCs w:val="16"/>
          <w:lang w:val="es-CL"/>
        </w:rPr>
        <w:t>Vélez</w:t>
      </w:r>
      <w:proofErr w:type="spellEnd"/>
      <w:r w:rsidRPr="00C62A4E">
        <w:rPr>
          <w:rFonts w:ascii="Verdana" w:hAnsi="Verdana"/>
          <w:sz w:val="16"/>
          <w:szCs w:val="16"/>
          <w:lang w:val="es-CL"/>
        </w:rPr>
        <w:t xml:space="preserve"> Restrepo. El Tribunal también </w:t>
      </w:r>
      <w:proofErr w:type="spellStart"/>
      <w:r w:rsidRPr="00C62A4E">
        <w:rPr>
          <w:rFonts w:ascii="Verdana" w:hAnsi="Verdana"/>
          <w:sz w:val="16"/>
          <w:szCs w:val="16"/>
          <w:lang w:val="es-CL"/>
        </w:rPr>
        <w:t>resolvio</w:t>
      </w:r>
      <w:proofErr w:type="spellEnd"/>
      <w:r w:rsidRPr="00C62A4E">
        <w:rPr>
          <w:rFonts w:ascii="Verdana" w:hAnsi="Verdana"/>
          <w:sz w:val="16"/>
          <w:szCs w:val="16"/>
          <w:lang w:val="es-CL"/>
        </w:rPr>
        <w:t xml:space="preserve">́ que el Estado es responsable internacionalmente por haber violado el derecho de protección a la familia, consagrado en el artículo 17.1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el artículo 1.1 de dicho tratado, en perjuicio de Luis Gonzalo </w:t>
      </w:r>
      <w:proofErr w:type="spellStart"/>
      <w:r w:rsidRPr="00C62A4E">
        <w:rPr>
          <w:rFonts w:ascii="Verdana" w:hAnsi="Verdana"/>
          <w:sz w:val="16"/>
          <w:szCs w:val="16"/>
          <w:lang w:val="es-CL"/>
        </w:rPr>
        <w:t>Vélez</w:t>
      </w:r>
      <w:proofErr w:type="spellEnd"/>
      <w:r w:rsidRPr="00C62A4E">
        <w:rPr>
          <w:rFonts w:ascii="Verdana" w:hAnsi="Verdana"/>
          <w:sz w:val="16"/>
          <w:szCs w:val="16"/>
          <w:lang w:val="es-CL"/>
        </w:rPr>
        <w:t xml:space="preserve"> Restrepo, </w:t>
      </w:r>
      <w:proofErr w:type="spellStart"/>
      <w:r w:rsidRPr="00C62A4E">
        <w:rPr>
          <w:rFonts w:ascii="Verdana" w:hAnsi="Verdana"/>
          <w:sz w:val="16"/>
          <w:szCs w:val="16"/>
          <w:lang w:val="es-CL"/>
        </w:rPr>
        <w:t>Aracelly</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Román</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Amariles</w:t>
      </w:r>
      <w:proofErr w:type="spellEnd"/>
      <w:r w:rsidRPr="00C62A4E">
        <w:rPr>
          <w:rFonts w:ascii="Verdana" w:hAnsi="Verdana"/>
          <w:sz w:val="16"/>
          <w:szCs w:val="16"/>
          <w:lang w:val="es-CL"/>
        </w:rPr>
        <w:t xml:space="preserve"> y sus hijos Mateo y Juliana </w:t>
      </w:r>
      <w:proofErr w:type="spellStart"/>
      <w:r w:rsidRPr="00C62A4E">
        <w:rPr>
          <w:rFonts w:ascii="Verdana" w:hAnsi="Verdana"/>
          <w:sz w:val="16"/>
          <w:szCs w:val="16"/>
          <w:lang w:val="es-CL"/>
        </w:rPr>
        <w:t>Vélez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Román</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por haber violado los derechos del </w:t>
      </w:r>
      <w:proofErr w:type="spellStart"/>
      <w:r w:rsidRPr="00C62A4E">
        <w:rPr>
          <w:rFonts w:ascii="Verdana" w:hAnsi="Verdana"/>
          <w:sz w:val="16"/>
          <w:szCs w:val="16"/>
          <w:lang w:val="es-CL"/>
        </w:rPr>
        <w:t>niño</w:t>
      </w:r>
      <w:proofErr w:type="spellEnd"/>
      <w:r w:rsidRPr="00C62A4E">
        <w:rPr>
          <w:rFonts w:ascii="Verdana" w:hAnsi="Verdana"/>
          <w:sz w:val="16"/>
          <w:szCs w:val="16"/>
          <w:lang w:val="es-CL"/>
        </w:rPr>
        <w:t xml:space="preserve">, reconocido en el artículo 19 de la Convención Americana, en perjuicio de Mateo y Juliana </w:t>
      </w:r>
      <w:proofErr w:type="spellStart"/>
      <w:r w:rsidRPr="00C62A4E">
        <w:rPr>
          <w:rFonts w:ascii="Verdana" w:hAnsi="Verdana"/>
          <w:sz w:val="16"/>
          <w:szCs w:val="16"/>
          <w:lang w:val="es-CL"/>
        </w:rPr>
        <w:t>Vélez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Román</w:t>
      </w:r>
      <w:proofErr w:type="spellEnd"/>
      <w:r w:rsidRPr="00C62A4E">
        <w:rPr>
          <w:rFonts w:ascii="Verdana" w:hAnsi="Verdana"/>
          <w:sz w:val="16"/>
          <w:szCs w:val="16"/>
          <w:lang w:val="es-CL"/>
        </w:rPr>
        <w:t>.</w:t>
      </w:r>
    </w:p>
    <w:p w14:paraId="11107557" w14:textId="77777777" w:rsidR="00C2706D" w:rsidRPr="00C62A4E" w:rsidRDefault="00C2706D" w:rsidP="00C62A4E">
      <w:pPr>
        <w:pStyle w:val="Textonotapie"/>
        <w:rPr>
          <w:rFonts w:ascii="Verdana" w:hAnsi="Verdana"/>
          <w:sz w:val="16"/>
          <w:szCs w:val="16"/>
          <w:lang w:val="es-CL"/>
        </w:rPr>
      </w:pPr>
    </w:p>
  </w:footnote>
  <w:footnote w:id="14">
    <w:p w14:paraId="518808A0" w14:textId="6401DF38" w:rsidR="002C5F30" w:rsidRPr="00C62A4E" w:rsidRDefault="002C5F30"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24 de agosto de 2010 la Corte Interamericana de Derechos Humanos declaró responsable internacionalmente al Estado del Paraguay por la falta de </w:t>
      </w:r>
      <w:proofErr w:type="spellStart"/>
      <w:r w:rsidRPr="00C62A4E">
        <w:rPr>
          <w:rFonts w:ascii="Verdana" w:hAnsi="Verdana"/>
          <w:sz w:val="16"/>
          <w:szCs w:val="16"/>
          <w:lang w:val="es-CL"/>
        </w:rPr>
        <w:t>garantía</w:t>
      </w:r>
      <w:proofErr w:type="spellEnd"/>
      <w:r w:rsidRPr="00C62A4E">
        <w:rPr>
          <w:rFonts w:ascii="Verdana" w:hAnsi="Verdana"/>
          <w:sz w:val="16"/>
          <w:szCs w:val="16"/>
          <w:lang w:val="es-CL"/>
        </w:rPr>
        <w:t xml:space="preserve"> del derecho de propiedad comunitaria,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la protección judicial,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a los derechos a la vida, integridad personal, reconocimiento de la personalidad </w:t>
      </w:r>
      <w:proofErr w:type="spellStart"/>
      <w:r w:rsidRPr="00C62A4E">
        <w:rPr>
          <w:rFonts w:ascii="Verdana" w:hAnsi="Verdana"/>
          <w:sz w:val="16"/>
          <w:szCs w:val="16"/>
          <w:lang w:val="es-CL"/>
        </w:rPr>
        <w:t>jurídica</w:t>
      </w:r>
      <w:proofErr w:type="spellEnd"/>
      <w:r w:rsidRPr="00C62A4E">
        <w:rPr>
          <w:rFonts w:ascii="Verdana" w:hAnsi="Verdana"/>
          <w:sz w:val="16"/>
          <w:szCs w:val="16"/>
          <w:lang w:val="es-CL"/>
        </w:rPr>
        <w:t xml:space="preserve">, los derechos del </w:t>
      </w:r>
      <w:proofErr w:type="spellStart"/>
      <w:r w:rsidRPr="00C62A4E">
        <w:rPr>
          <w:rFonts w:ascii="Verdana" w:hAnsi="Verdana"/>
          <w:sz w:val="16"/>
          <w:szCs w:val="16"/>
          <w:lang w:val="es-CL"/>
        </w:rPr>
        <w:t>niño</w:t>
      </w:r>
      <w:proofErr w:type="spellEnd"/>
      <w:r w:rsidRPr="00C62A4E">
        <w:rPr>
          <w:rFonts w:ascii="Verdana" w:hAnsi="Verdana"/>
          <w:sz w:val="16"/>
          <w:szCs w:val="16"/>
          <w:lang w:val="es-CL"/>
        </w:rPr>
        <w:t xml:space="preserve"> y por el incumplimiento del deber de no discriminar. Todo ello en perjuicio de los miembros de la Comunidad </w:t>
      </w:r>
      <w:proofErr w:type="spellStart"/>
      <w:r w:rsidRPr="00C62A4E">
        <w:rPr>
          <w:rFonts w:ascii="Verdana" w:hAnsi="Verdana"/>
          <w:sz w:val="16"/>
          <w:szCs w:val="16"/>
          <w:lang w:val="es-CL"/>
        </w:rPr>
        <w:t>Indígena</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Xákmok</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Kásek</w:t>
      </w:r>
      <w:proofErr w:type="spellEnd"/>
      <w:r w:rsidRPr="00C62A4E">
        <w:rPr>
          <w:rFonts w:ascii="Verdana" w:hAnsi="Verdana"/>
          <w:sz w:val="16"/>
          <w:szCs w:val="16"/>
          <w:lang w:val="es-CL"/>
        </w:rPr>
        <w:t>.</w:t>
      </w:r>
    </w:p>
    <w:p w14:paraId="36DD4B39" w14:textId="77777777" w:rsidR="002C5F30" w:rsidRPr="00C62A4E" w:rsidRDefault="002C5F30" w:rsidP="00C62A4E">
      <w:pPr>
        <w:pStyle w:val="Textonotapie"/>
        <w:rPr>
          <w:rFonts w:ascii="Verdana" w:hAnsi="Verdana"/>
          <w:sz w:val="16"/>
          <w:szCs w:val="16"/>
          <w:lang w:val="es-CL"/>
        </w:rPr>
      </w:pPr>
    </w:p>
  </w:footnote>
  <w:footnote w:id="15">
    <w:p w14:paraId="09E71FA5" w14:textId="4F60100E" w:rsidR="002C5F30" w:rsidRPr="00C62A4E" w:rsidRDefault="002C5F30"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30 de noviembre de 2010 la </w:t>
      </w:r>
      <w:proofErr w:type="spellStart"/>
      <w:r w:rsidRPr="00C62A4E">
        <w:rPr>
          <w:rFonts w:ascii="Verdana" w:hAnsi="Verdana"/>
          <w:sz w:val="16"/>
          <w:szCs w:val="16"/>
          <w:lang w:val="es-CL"/>
        </w:rPr>
        <w:t>Comisión</w:t>
      </w:r>
      <w:proofErr w:type="spellEnd"/>
      <w:r w:rsidRPr="00C62A4E">
        <w:rPr>
          <w:rFonts w:ascii="Verdana" w:hAnsi="Verdana"/>
          <w:sz w:val="16"/>
          <w:szCs w:val="16"/>
          <w:lang w:val="es-CL"/>
        </w:rPr>
        <w:t xml:space="preserve"> Interamericana de Derechos Humanos </w:t>
      </w:r>
      <w:proofErr w:type="spellStart"/>
      <w:r w:rsidRPr="00C62A4E">
        <w:rPr>
          <w:rFonts w:ascii="Verdana" w:hAnsi="Verdana"/>
          <w:sz w:val="16"/>
          <w:szCs w:val="16"/>
          <w:lang w:val="es-CL"/>
        </w:rPr>
        <w:t>sometio</w:t>
      </w:r>
      <w:proofErr w:type="spellEnd"/>
      <w:r w:rsidRPr="00C62A4E">
        <w:rPr>
          <w:rFonts w:ascii="Verdana" w:hAnsi="Verdana"/>
          <w:sz w:val="16"/>
          <w:szCs w:val="16"/>
          <w:lang w:val="es-CL"/>
        </w:rPr>
        <w:t xml:space="preserve">́ a la </w:t>
      </w:r>
      <w:proofErr w:type="spellStart"/>
      <w:r w:rsidRPr="00C62A4E">
        <w:rPr>
          <w:rFonts w:ascii="Verdana" w:hAnsi="Verdana"/>
          <w:sz w:val="16"/>
          <w:szCs w:val="16"/>
          <w:lang w:val="es-CL"/>
        </w:rPr>
        <w:t>jurisdicción</w:t>
      </w:r>
      <w:proofErr w:type="spellEnd"/>
      <w:r w:rsidRPr="00C62A4E">
        <w:rPr>
          <w:rFonts w:ascii="Verdana" w:hAnsi="Verdana"/>
          <w:sz w:val="16"/>
          <w:szCs w:val="16"/>
          <w:lang w:val="es-CL"/>
        </w:rPr>
        <w:t xml:space="preserve"> de la Corte Interamericana de Derechos Humanos el caso Masacres de </w:t>
      </w:r>
      <w:proofErr w:type="spellStart"/>
      <w:r w:rsidRPr="00C62A4E">
        <w:rPr>
          <w:rFonts w:ascii="Verdana" w:hAnsi="Verdana"/>
          <w:sz w:val="16"/>
          <w:szCs w:val="16"/>
          <w:lang w:val="es-CL"/>
        </w:rPr>
        <w:t>Río</w:t>
      </w:r>
      <w:proofErr w:type="spellEnd"/>
      <w:r w:rsidRPr="00C62A4E">
        <w:rPr>
          <w:rFonts w:ascii="Verdana" w:hAnsi="Verdana"/>
          <w:sz w:val="16"/>
          <w:szCs w:val="16"/>
          <w:lang w:val="es-CL"/>
        </w:rPr>
        <w:t xml:space="preserve"> Negro en contra de la </w:t>
      </w:r>
      <w:proofErr w:type="spellStart"/>
      <w:r w:rsidRPr="00C62A4E">
        <w:rPr>
          <w:rFonts w:ascii="Verdana" w:hAnsi="Verdana"/>
          <w:sz w:val="16"/>
          <w:szCs w:val="16"/>
          <w:lang w:val="es-CL"/>
        </w:rPr>
        <w:t>República</w:t>
      </w:r>
      <w:proofErr w:type="spellEnd"/>
      <w:r w:rsidRPr="00C62A4E">
        <w:rPr>
          <w:rFonts w:ascii="Verdana" w:hAnsi="Verdana"/>
          <w:sz w:val="16"/>
          <w:szCs w:val="16"/>
          <w:lang w:val="es-CL"/>
        </w:rPr>
        <w:t xml:space="preserve"> de Guatemala originado en la </w:t>
      </w:r>
      <w:proofErr w:type="spellStart"/>
      <w:r w:rsidRPr="00C62A4E">
        <w:rPr>
          <w:rFonts w:ascii="Verdana" w:hAnsi="Verdana"/>
          <w:sz w:val="16"/>
          <w:szCs w:val="16"/>
          <w:lang w:val="es-CL"/>
        </w:rPr>
        <w:t>petición</w:t>
      </w:r>
      <w:proofErr w:type="spellEnd"/>
      <w:r w:rsidRPr="00C62A4E">
        <w:rPr>
          <w:rFonts w:ascii="Verdana" w:hAnsi="Verdana"/>
          <w:sz w:val="16"/>
          <w:szCs w:val="16"/>
          <w:lang w:val="es-CL"/>
        </w:rPr>
        <w:t xml:space="preserve"> presentada por la </w:t>
      </w:r>
      <w:proofErr w:type="spellStart"/>
      <w:r w:rsidRPr="00C62A4E">
        <w:rPr>
          <w:rFonts w:ascii="Verdana" w:hAnsi="Verdana"/>
          <w:sz w:val="16"/>
          <w:szCs w:val="16"/>
          <w:lang w:val="es-CL"/>
        </w:rPr>
        <w:t>Asociación</w:t>
      </w:r>
      <w:proofErr w:type="spellEnd"/>
      <w:r w:rsidRPr="00C62A4E">
        <w:rPr>
          <w:rFonts w:ascii="Verdana" w:hAnsi="Verdana"/>
          <w:sz w:val="16"/>
          <w:szCs w:val="16"/>
          <w:lang w:val="es-CL"/>
        </w:rPr>
        <w:t xml:space="preserve"> para el Desarrollo Integral de las </w:t>
      </w:r>
      <w:proofErr w:type="spellStart"/>
      <w:r w:rsidRPr="00C62A4E">
        <w:rPr>
          <w:rFonts w:ascii="Verdana" w:hAnsi="Verdana"/>
          <w:sz w:val="16"/>
          <w:szCs w:val="16"/>
          <w:lang w:val="es-CL"/>
        </w:rPr>
        <w:t>Víctimas</w:t>
      </w:r>
      <w:proofErr w:type="spellEnd"/>
      <w:r w:rsidRPr="00C62A4E">
        <w:rPr>
          <w:rFonts w:ascii="Verdana" w:hAnsi="Verdana"/>
          <w:sz w:val="16"/>
          <w:szCs w:val="16"/>
          <w:lang w:val="es-CL"/>
        </w:rPr>
        <w:t xml:space="preserve"> de la Violencia en las </w:t>
      </w:r>
      <w:proofErr w:type="spellStart"/>
      <w:r w:rsidRPr="00C62A4E">
        <w:rPr>
          <w:rFonts w:ascii="Verdana" w:hAnsi="Verdana"/>
          <w:sz w:val="16"/>
          <w:szCs w:val="16"/>
          <w:lang w:val="es-CL"/>
        </w:rPr>
        <w:t>Verapaces</w:t>
      </w:r>
      <w:proofErr w:type="spellEnd"/>
      <w:r w:rsidRPr="00C62A4E">
        <w:rPr>
          <w:rFonts w:ascii="Verdana" w:hAnsi="Verdana"/>
          <w:sz w:val="16"/>
          <w:szCs w:val="16"/>
          <w:lang w:val="es-CL"/>
        </w:rPr>
        <w:t xml:space="preserve"> el 19 de julio de 2005. La </w:t>
      </w:r>
      <w:proofErr w:type="spellStart"/>
      <w:r w:rsidRPr="00C62A4E">
        <w:rPr>
          <w:rFonts w:ascii="Verdana" w:hAnsi="Verdana"/>
          <w:sz w:val="16"/>
          <w:szCs w:val="16"/>
          <w:lang w:val="es-CL"/>
        </w:rPr>
        <w:t>Comisión</w:t>
      </w:r>
      <w:proofErr w:type="spellEnd"/>
      <w:r w:rsidRPr="00C62A4E">
        <w:rPr>
          <w:rFonts w:ascii="Verdana" w:hAnsi="Verdana"/>
          <w:sz w:val="16"/>
          <w:szCs w:val="16"/>
          <w:lang w:val="es-CL"/>
        </w:rPr>
        <w:t xml:space="preserve"> Interamericana </w:t>
      </w:r>
      <w:proofErr w:type="spellStart"/>
      <w:r w:rsidRPr="00C62A4E">
        <w:rPr>
          <w:rFonts w:ascii="Verdana" w:hAnsi="Verdana"/>
          <w:sz w:val="16"/>
          <w:szCs w:val="16"/>
          <w:lang w:val="es-CL"/>
        </w:rPr>
        <w:t>aprobo</w:t>
      </w:r>
      <w:proofErr w:type="spellEnd"/>
      <w:r w:rsidRPr="00C62A4E">
        <w:rPr>
          <w:rFonts w:ascii="Verdana" w:hAnsi="Verdana"/>
          <w:sz w:val="16"/>
          <w:szCs w:val="16"/>
          <w:lang w:val="es-CL"/>
        </w:rPr>
        <w:t xml:space="preserve">́ el Informe de admisibilidad No. 13/08 el 5 de marzo de 2008 y </w:t>
      </w:r>
      <w:proofErr w:type="spellStart"/>
      <w:r w:rsidRPr="00C62A4E">
        <w:rPr>
          <w:rFonts w:ascii="Verdana" w:hAnsi="Verdana"/>
          <w:sz w:val="16"/>
          <w:szCs w:val="16"/>
          <w:lang w:val="es-CL"/>
        </w:rPr>
        <w:t>emitio</w:t>
      </w:r>
      <w:proofErr w:type="spellEnd"/>
      <w:r w:rsidRPr="00C62A4E">
        <w:rPr>
          <w:rFonts w:ascii="Verdana" w:hAnsi="Verdana"/>
          <w:sz w:val="16"/>
          <w:szCs w:val="16"/>
          <w:lang w:val="es-CL"/>
        </w:rPr>
        <w:t xml:space="preserve">́ el Informe de fondo No. 86/10 el </w:t>
      </w:r>
      <w:proofErr w:type="spellStart"/>
      <w:r w:rsidRPr="00C62A4E">
        <w:rPr>
          <w:rFonts w:ascii="Verdana" w:hAnsi="Verdana"/>
          <w:sz w:val="16"/>
          <w:szCs w:val="16"/>
          <w:lang w:val="es-CL"/>
        </w:rPr>
        <w:t>día</w:t>
      </w:r>
      <w:proofErr w:type="spellEnd"/>
      <w:r w:rsidRPr="00C62A4E">
        <w:rPr>
          <w:rFonts w:ascii="Verdana" w:hAnsi="Verdana"/>
          <w:sz w:val="16"/>
          <w:szCs w:val="16"/>
          <w:lang w:val="es-CL"/>
        </w:rPr>
        <w:t xml:space="preserve"> 14 de julio de 2010, en los </w:t>
      </w:r>
      <w:proofErr w:type="spellStart"/>
      <w:r w:rsidRPr="00C62A4E">
        <w:rPr>
          <w:rFonts w:ascii="Verdana" w:hAnsi="Verdana"/>
          <w:sz w:val="16"/>
          <w:szCs w:val="16"/>
          <w:lang w:val="es-CL"/>
        </w:rPr>
        <w:t>términos</w:t>
      </w:r>
      <w:proofErr w:type="spellEnd"/>
      <w:r w:rsidRPr="00C62A4E">
        <w:rPr>
          <w:rFonts w:ascii="Verdana" w:hAnsi="Verdana"/>
          <w:sz w:val="16"/>
          <w:szCs w:val="16"/>
          <w:lang w:val="es-CL"/>
        </w:rPr>
        <w:t xml:space="preserve"> del artículo 50 de la Convención, en el cual realizó una serie de recomendaciones para el Estado. Este </w:t>
      </w:r>
      <w:proofErr w:type="spellStart"/>
      <w:r w:rsidRPr="00C62A4E">
        <w:rPr>
          <w:rFonts w:ascii="Verdana" w:hAnsi="Verdana"/>
          <w:sz w:val="16"/>
          <w:szCs w:val="16"/>
          <w:lang w:val="es-CL"/>
        </w:rPr>
        <w:t>último</w:t>
      </w:r>
      <w:proofErr w:type="spellEnd"/>
      <w:r w:rsidRPr="00C62A4E">
        <w:rPr>
          <w:rFonts w:ascii="Verdana" w:hAnsi="Verdana"/>
          <w:sz w:val="16"/>
          <w:szCs w:val="16"/>
          <w:lang w:val="es-CL"/>
        </w:rPr>
        <w:t xml:space="preserve"> informe fue notificado a Guatemala el 30 de julio de 2010, </w:t>
      </w:r>
      <w:proofErr w:type="spellStart"/>
      <w:r w:rsidRPr="00C62A4E">
        <w:rPr>
          <w:rFonts w:ascii="Verdana" w:hAnsi="Verdana"/>
          <w:sz w:val="16"/>
          <w:szCs w:val="16"/>
          <w:lang w:val="es-CL"/>
        </w:rPr>
        <w:t>otorgándosele</w:t>
      </w:r>
      <w:proofErr w:type="spellEnd"/>
      <w:r w:rsidRPr="00C62A4E">
        <w:rPr>
          <w:rFonts w:ascii="Verdana" w:hAnsi="Verdana"/>
          <w:sz w:val="16"/>
          <w:szCs w:val="16"/>
          <w:lang w:val="es-CL"/>
        </w:rPr>
        <w:t xml:space="preserve"> un plazo de 2 meses para informar sobre el cumplimiento de las recomendaciones. El 4 de octubre de 2010 el Estado solicitó una </w:t>
      </w:r>
      <w:proofErr w:type="spellStart"/>
      <w:r w:rsidRPr="00C62A4E">
        <w:rPr>
          <w:rFonts w:ascii="Verdana" w:hAnsi="Verdana"/>
          <w:sz w:val="16"/>
          <w:szCs w:val="16"/>
          <w:lang w:val="es-CL"/>
        </w:rPr>
        <w:t>prórroga</w:t>
      </w:r>
      <w:proofErr w:type="spellEnd"/>
      <w:r w:rsidRPr="00C62A4E">
        <w:rPr>
          <w:rFonts w:ascii="Verdana" w:hAnsi="Verdana"/>
          <w:sz w:val="16"/>
          <w:szCs w:val="16"/>
          <w:lang w:val="es-CL"/>
        </w:rPr>
        <w:t xml:space="preserve"> de un mes para presentar </w:t>
      </w:r>
      <w:proofErr w:type="spellStart"/>
      <w:r w:rsidRPr="00C62A4E">
        <w:rPr>
          <w:rFonts w:ascii="Verdana" w:hAnsi="Verdana"/>
          <w:sz w:val="16"/>
          <w:szCs w:val="16"/>
          <w:lang w:val="es-CL"/>
        </w:rPr>
        <w:t>información</w:t>
      </w:r>
      <w:proofErr w:type="spellEnd"/>
      <w:r w:rsidRPr="00C62A4E">
        <w:rPr>
          <w:rFonts w:ascii="Verdana" w:hAnsi="Verdana"/>
          <w:sz w:val="16"/>
          <w:szCs w:val="16"/>
          <w:lang w:val="es-CL"/>
        </w:rPr>
        <w:t xml:space="preserve"> sobre los avances en las recomendaciones efectuadas por la </w:t>
      </w:r>
      <w:proofErr w:type="spellStart"/>
      <w:r w:rsidRPr="00C62A4E">
        <w:rPr>
          <w:rFonts w:ascii="Verdana" w:hAnsi="Verdana"/>
          <w:sz w:val="16"/>
          <w:szCs w:val="16"/>
          <w:lang w:val="es-CL"/>
        </w:rPr>
        <w:t>Comisión</w:t>
      </w:r>
      <w:proofErr w:type="spellEnd"/>
      <w:r w:rsidRPr="00C62A4E">
        <w:rPr>
          <w:rFonts w:ascii="Verdana" w:hAnsi="Verdana"/>
          <w:sz w:val="16"/>
          <w:szCs w:val="16"/>
          <w:lang w:val="es-CL"/>
        </w:rPr>
        <w:t xml:space="preserve">. Esta </w:t>
      </w:r>
      <w:proofErr w:type="spellStart"/>
      <w:r w:rsidRPr="00C62A4E">
        <w:rPr>
          <w:rFonts w:ascii="Verdana" w:hAnsi="Verdana"/>
          <w:sz w:val="16"/>
          <w:szCs w:val="16"/>
          <w:lang w:val="es-CL"/>
        </w:rPr>
        <w:t>prórroga</w:t>
      </w:r>
      <w:proofErr w:type="spellEnd"/>
      <w:r w:rsidRPr="00C62A4E">
        <w:rPr>
          <w:rFonts w:ascii="Verdana" w:hAnsi="Verdana"/>
          <w:sz w:val="16"/>
          <w:szCs w:val="16"/>
          <w:lang w:val="es-CL"/>
        </w:rPr>
        <w:t xml:space="preserve"> que otorgada el 30 de octubre de 2010, y la </w:t>
      </w:r>
      <w:proofErr w:type="spellStart"/>
      <w:r w:rsidRPr="00C62A4E">
        <w:rPr>
          <w:rFonts w:ascii="Verdana" w:hAnsi="Verdana"/>
          <w:sz w:val="16"/>
          <w:szCs w:val="16"/>
          <w:lang w:val="es-CL"/>
        </w:rPr>
        <w:t>Comisión</w:t>
      </w:r>
      <w:proofErr w:type="spellEnd"/>
      <w:r w:rsidRPr="00C62A4E">
        <w:rPr>
          <w:rFonts w:ascii="Verdana" w:hAnsi="Verdana"/>
          <w:sz w:val="16"/>
          <w:szCs w:val="16"/>
          <w:lang w:val="es-CL"/>
        </w:rPr>
        <w:t xml:space="preserve"> ordenó al Estado presentar su informe a </w:t>
      </w:r>
      <w:proofErr w:type="spellStart"/>
      <w:r w:rsidRPr="00C62A4E">
        <w:rPr>
          <w:rFonts w:ascii="Verdana" w:hAnsi="Verdana"/>
          <w:sz w:val="16"/>
          <w:szCs w:val="16"/>
          <w:lang w:val="es-CL"/>
        </w:rPr>
        <w:t>más</w:t>
      </w:r>
      <w:proofErr w:type="spellEnd"/>
      <w:r w:rsidRPr="00C62A4E">
        <w:rPr>
          <w:rFonts w:ascii="Verdana" w:hAnsi="Verdana"/>
          <w:sz w:val="16"/>
          <w:szCs w:val="16"/>
          <w:lang w:val="es-CL"/>
        </w:rPr>
        <w:t xml:space="preserve"> tardar el 20 de noviembre de 2010. No obstante lo anterior, el Estado no presentó el informe requerido, por lo que la </w:t>
      </w:r>
      <w:proofErr w:type="spellStart"/>
      <w:r w:rsidRPr="00C62A4E">
        <w:rPr>
          <w:rFonts w:ascii="Verdana" w:hAnsi="Verdana"/>
          <w:sz w:val="16"/>
          <w:szCs w:val="16"/>
          <w:lang w:val="es-CL"/>
        </w:rPr>
        <w:t>Comisión</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sometio</w:t>
      </w:r>
      <w:proofErr w:type="spellEnd"/>
      <w:r w:rsidRPr="00C62A4E">
        <w:rPr>
          <w:rFonts w:ascii="Verdana" w:hAnsi="Verdana"/>
          <w:sz w:val="16"/>
          <w:szCs w:val="16"/>
          <w:lang w:val="es-CL"/>
        </w:rPr>
        <w:t xml:space="preserve">́ el caso al Tribunal “por la falta de cumplimiento de las recomendaciones por parte del Estado y la consecuente necesidad de </w:t>
      </w:r>
      <w:proofErr w:type="spellStart"/>
      <w:r w:rsidRPr="00C62A4E">
        <w:rPr>
          <w:rFonts w:ascii="Verdana" w:hAnsi="Verdana"/>
          <w:sz w:val="16"/>
          <w:szCs w:val="16"/>
          <w:lang w:val="es-CL"/>
        </w:rPr>
        <w:t>obtención</w:t>
      </w:r>
      <w:proofErr w:type="spellEnd"/>
      <w:r w:rsidRPr="00C62A4E">
        <w:rPr>
          <w:rFonts w:ascii="Verdana" w:hAnsi="Verdana"/>
          <w:sz w:val="16"/>
          <w:szCs w:val="16"/>
          <w:lang w:val="es-CL"/>
        </w:rPr>
        <w:t xml:space="preserve"> de justicia en el caso”.</w:t>
      </w:r>
    </w:p>
    <w:p w14:paraId="6F6B9E75" w14:textId="77777777" w:rsidR="002C5F30" w:rsidRPr="00C62A4E" w:rsidRDefault="002C5F30" w:rsidP="00C62A4E">
      <w:pPr>
        <w:pStyle w:val="Textonotapie"/>
        <w:rPr>
          <w:rFonts w:ascii="Verdana" w:hAnsi="Verdana"/>
          <w:sz w:val="16"/>
          <w:szCs w:val="16"/>
          <w:lang w:val="es-CL"/>
        </w:rPr>
      </w:pPr>
    </w:p>
  </w:footnote>
  <w:footnote w:id="16">
    <w:p w14:paraId="0E4BB68B" w14:textId="1F5942B7" w:rsidR="0094754F" w:rsidRPr="00C62A4E" w:rsidRDefault="0094754F"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25 de marzo de 2017 la Corte Interamericana de Derechos Humanos dictó una Sentencia, mediante la cual declaró responsable internacionalmente al Estado de Nicaragua por la violación de los derechos de acceso a la justicia, a la verdad, a las garantías judiciales y protección judicial, en perjuicio de la señora María Luisa Acosta Castellón, las señoras Ana María Vergara Acosta y María Leonor Valle Estrada (conocida como Leonor del Carmen Valle de García) y los señores Álvaro Arístides Vergara Acosta y Rodolfo García Solari, en razón de insuficiencias en la respuesta investigativa y judicial del Estado respecto del homicidio del señor Francisco García Valle, esposo de la señora Acosta Castellón, ocurrido el 8 de abril de 2002 en Bluefields, Nicaragua. En este sentido, si bien fueron condenadas dos personas como autores materiales del homicidio, el Estado no investigó diligentemente, a través de las autoridades judiciales, la hipótesis de participación de dos personas como autores intelectuales del homicidio como represalia a las actividades de la señora Acosta de defensa de derechos de los pueblos indígenas en la Costa Caribe de Nicaragua. El juez a cargo de la investigación dictó un sobreseimiento definitivo a favor de esas personas a poco más de un mes de ocurrido el homicidio, sin que se hubiesen agotado las diligencias investigativas pertinentes, decisión que fue sostenida por las instancias superiores. Además, el Estado fue declarado responsable por la violación de los derechos a la integridad psíquica y moral, de acceso a la justicia, de defensa, a la presunción de inocencia, a ser oída por jueces imparciales y a las garantías judiciales, en perjuicio de la señora Acosta Castellón.</w:t>
      </w:r>
    </w:p>
    <w:p w14:paraId="3E6117EF" w14:textId="77777777" w:rsidR="006023BB" w:rsidRPr="00C62A4E" w:rsidRDefault="006023BB" w:rsidP="00C62A4E">
      <w:pPr>
        <w:pStyle w:val="Textonotapie"/>
        <w:rPr>
          <w:rFonts w:ascii="Verdana" w:hAnsi="Verdana"/>
          <w:sz w:val="16"/>
          <w:szCs w:val="16"/>
          <w:lang w:val="es-CL"/>
        </w:rPr>
      </w:pPr>
    </w:p>
  </w:footnote>
  <w:footnote w:id="17">
    <w:p w14:paraId="7DFE1191" w14:textId="0B9AECA8" w:rsidR="009A0F11" w:rsidRPr="00C62A4E" w:rsidRDefault="009A0F11"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 desaparición forzada y ejecución extrajudicial de un grupo de personas de Pueblo Bello por parte de un grupo paramilitar, así como a la falta de investigación y sanción de los responsables de los hechos. La Corte estableció la responsabilidad del Estado por la violación de los derechos convencionales: Artículo 1 (Obligación de respetar los derechos.) , Artículo 13 (Libertad de pensamiento y expresión) , Artículo 19 (Derecho de niño) , Artículo 22 ( Derecho de circulación y de residencia) , Artículo 25 (Protección Judicial) , Artículo 4 (Derecho a la vida) , Artículo 5 (Derecho a la Integridad Personal) , Artículo 7 (Derecho a la libertad personal) , Artículo 8 (Garantías Judiciales).</w:t>
      </w:r>
    </w:p>
    <w:p w14:paraId="51759CCE" w14:textId="77777777" w:rsidR="009A0F11" w:rsidRPr="00C62A4E" w:rsidRDefault="009A0F11" w:rsidP="00C62A4E">
      <w:pPr>
        <w:pStyle w:val="Textonotapie"/>
        <w:rPr>
          <w:rFonts w:ascii="Verdana" w:hAnsi="Verdana"/>
          <w:sz w:val="16"/>
          <w:szCs w:val="16"/>
          <w:lang w:val="es-CL"/>
        </w:rPr>
      </w:pPr>
    </w:p>
  </w:footnote>
  <w:footnote w:id="18">
    <w:p w14:paraId="5CA10BF1" w14:textId="44F5532E" w:rsidR="0094754F" w:rsidRPr="00C62A4E" w:rsidRDefault="0094754F" w:rsidP="00C62A4E">
      <w:pPr>
        <w:pStyle w:val="Textonotapie"/>
        <w:rPr>
          <w:rFonts w:ascii="Verdana" w:hAnsi="Verdana"/>
          <w:sz w:val="16"/>
          <w:szCs w:val="16"/>
          <w:shd w:val="clear" w:color="auto" w:fill="FFFFFF"/>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w:t>
      </w:r>
      <w:r w:rsidRPr="00C62A4E">
        <w:rPr>
          <w:rFonts w:ascii="Verdana" w:hAnsi="Verdana"/>
          <w:sz w:val="16"/>
          <w:szCs w:val="16"/>
          <w:shd w:val="clear" w:color="auto" w:fill="FFFFFF"/>
          <w:lang w:val="es-CL"/>
        </w:rPr>
        <w:t>Los hechos del presente caso se contextualizan en noviembre de 1992, cuando se produjo un segundo intento de golpe de Estado contra el gobierno del entonces Presidente Carlos Andrés Pérez. La madrugada del 27 de noviembre de 1992, agentes de la Guardia Nacional y de la Policía Metropolitana intervinieron el centro penitenciario denominado Retén de Catia. Dispararon indiscriminadamente a los reclusos, lo cual generó la muerte de aproximadamente 53 personas y decenas de heridos y desaparecidos. En el transcurso de las 48 horas en que ocurrieron los sucesos dentro del Retén de Catia se produjo la muerte de aproximadamente 63 reclusos, entre ellos las 37 víctimas del presente caso 52 heridos y 28 desaparecidos. A pesar de haber iniciado una serie de recursos, no se realizaron mayores investigaciones ni se sancionaron a los responsables.</w:t>
      </w:r>
      <w:r w:rsidR="00E1043D" w:rsidRPr="00C62A4E">
        <w:rPr>
          <w:rFonts w:ascii="Verdana" w:hAnsi="Verdana"/>
          <w:sz w:val="16"/>
          <w:szCs w:val="16"/>
          <w:shd w:val="clear" w:color="auto" w:fill="FFFFFF"/>
          <w:lang w:val="es-CL"/>
        </w:rPr>
        <w:t xml:space="preserve"> La Corte estableció la responsabilidad del Estado por la violación de los derechos: Artículo 1 (Obligación de respetar los derechos.) , Artículo 2 (Deber de adoptar disposiciones de derecho interno) , Artículo 25 (Protección Judicial) , Artículo 4 (Derecho a la vida) , Artículo 5 (Derecho a la Integridad Personal) , Artículo 8 (Garantías Judiciales).</w:t>
      </w:r>
    </w:p>
    <w:p w14:paraId="1284D991" w14:textId="77777777" w:rsidR="00401CD4" w:rsidRPr="00C62A4E" w:rsidRDefault="00401CD4" w:rsidP="00C62A4E">
      <w:pPr>
        <w:pStyle w:val="Textonotapie"/>
        <w:rPr>
          <w:rFonts w:ascii="Verdana" w:hAnsi="Verdana"/>
          <w:sz w:val="16"/>
          <w:szCs w:val="16"/>
          <w:shd w:val="clear" w:color="auto" w:fill="FFFFFF"/>
          <w:lang w:val="es-CL"/>
        </w:rPr>
      </w:pPr>
    </w:p>
  </w:footnote>
  <w:footnote w:id="19">
    <w:p w14:paraId="1ACA5675" w14:textId="3C7E0337" w:rsidR="00401CD4" w:rsidRPr="00C62A4E" w:rsidRDefault="00401CD4"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23 de noviembre de 2015 la Corte Interamericana de Derechos Humanos dictó una Sentencia, mediante la cual declaró responsable internacionalmente al Estado de </w:t>
      </w:r>
      <w:proofErr w:type="spellStart"/>
      <w:r w:rsidRPr="00C62A4E">
        <w:rPr>
          <w:rFonts w:ascii="Verdana" w:hAnsi="Verdana"/>
          <w:sz w:val="16"/>
          <w:szCs w:val="16"/>
          <w:lang w:val="es-CL"/>
        </w:rPr>
        <w:t>Peru</w:t>
      </w:r>
      <w:proofErr w:type="spellEnd"/>
      <w:r w:rsidRPr="00C62A4E">
        <w:rPr>
          <w:rFonts w:ascii="Verdana" w:hAnsi="Verdana"/>
          <w:sz w:val="16"/>
          <w:szCs w:val="16"/>
          <w:lang w:val="es-CL"/>
        </w:rPr>
        <w:t xml:space="preserv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del derecho a la integridad personal, reconocido en el artículo 5.1 y 5.2 de la Convención Americana sobre Derechos Humanos y los derechos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protección judicial, establecidos en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8.1 y 25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el artículo 1.1 de la misma, y con las obligaciones establecidas en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1, 6 y 8 de la Convención Interamericana para Prevenir y Sancionar la Tortura, en perjuicio de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Valdemir</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Quispialaya</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Vilcapoma</w:t>
      </w:r>
      <w:proofErr w:type="spellEnd"/>
      <w:r w:rsidRPr="00C62A4E">
        <w:rPr>
          <w:rFonts w:ascii="Verdana" w:hAnsi="Verdana"/>
          <w:sz w:val="16"/>
          <w:szCs w:val="16"/>
          <w:lang w:val="es-CL"/>
        </w:rPr>
        <w:t xml:space="preserve"> y la </w:t>
      </w:r>
      <w:proofErr w:type="spellStart"/>
      <w:r w:rsidRPr="00C62A4E">
        <w:rPr>
          <w:rFonts w:ascii="Verdana" w:hAnsi="Verdana"/>
          <w:sz w:val="16"/>
          <w:szCs w:val="16"/>
          <w:lang w:val="es-CL"/>
        </w:rPr>
        <w:t>señora</w:t>
      </w:r>
      <w:proofErr w:type="spellEnd"/>
      <w:r w:rsidRPr="00C62A4E">
        <w:rPr>
          <w:rFonts w:ascii="Verdana" w:hAnsi="Verdana"/>
          <w:sz w:val="16"/>
          <w:szCs w:val="16"/>
          <w:lang w:val="es-CL"/>
        </w:rPr>
        <w:t xml:space="preserve"> Victoria </w:t>
      </w:r>
      <w:proofErr w:type="spellStart"/>
      <w:r w:rsidRPr="00C62A4E">
        <w:rPr>
          <w:rFonts w:ascii="Verdana" w:hAnsi="Verdana"/>
          <w:sz w:val="16"/>
          <w:szCs w:val="16"/>
          <w:lang w:val="es-CL"/>
        </w:rPr>
        <w:t>Vilcapoma</w:t>
      </w:r>
      <w:proofErr w:type="spellEnd"/>
      <w:r w:rsidRPr="00C62A4E">
        <w:rPr>
          <w:rFonts w:ascii="Verdana" w:hAnsi="Verdana"/>
          <w:sz w:val="16"/>
          <w:szCs w:val="16"/>
          <w:lang w:val="es-CL"/>
        </w:rPr>
        <w:t xml:space="preserve"> Taquia. Asimismo, el Tribunal consideró que el Estado no es responsable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del deber de adoptar disposiciones de derecho interno, establecido en el artículo 2 de la Convención Americana.</w:t>
      </w:r>
    </w:p>
    <w:p w14:paraId="494E2740" w14:textId="77777777" w:rsidR="00401CD4" w:rsidRPr="00C62A4E" w:rsidRDefault="00401CD4" w:rsidP="00C62A4E">
      <w:pPr>
        <w:pStyle w:val="Textonotapie"/>
        <w:rPr>
          <w:rFonts w:ascii="Verdana" w:hAnsi="Verdana"/>
          <w:sz w:val="16"/>
          <w:szCs w:val="16"/>
          <w:lang w:val="es-CL"/>
        </w:rPr>
      </w:pPr>
    </w:p>
  </w:footnote>
  <w:footnote w:id="20">
    <w:p w14:paraId="2C43FF4F" w14:textId="5E062A2E" w:rsidR="009D5E41" w:rsidRPr="00C62A4E" w:rsidRDefault="009D5E41"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 muerte y lesiones de niños internos en el Instituto de Reeducación del Menor “Coronel Panchito López”, así como a las deficientes condiciones de dicho centro. La Corte estableció la responsabilidad internacional del Estado por la violación de los siguientes derechos </w:t>
      </w:r>
      <w:proofErr w:type="spellStart"/>
      <w:r w:rsidRPr="00C62A4E">
        <w:rPr>
          <w:rFonts w:ascii="Verdana" w:hAnsi="Verdana"/>
          <w:sz w:val="16"/>
          <w:szCs w:val="16"/>
          <w:lang w:val="es-CL"/>
        </w:rPr>
        <w:t>conmvencionales</w:t>
      </w:r>
      <w:proofErr w:type="spellEnd"/>
      <w:r w:rsidRPr="00C62A4E">
        <w:rPr>
          <w:rFonts w:ascii="Verdana" w:hAnsi="Verdana"/>
          <w:sz w:val="16"/>
          <w:szCs w:val="16"/>
          <w:lang w:val="es-CL"/>
        </w:rPr>
        <w:t xml:space="preserve">: Artículo 1 (Obligación de respetar los derechos.) , Artículo 2 (Deber de adoptar disposiciones de derecho interno) , Artículo 25 (Protección Judicial) , Artículo 26 (Desarrollo progresivo) , Artículo 4 (Derecho a la vida) , Artículo 5 (Derecho a la Integridad Personal) , Artículo 7 (Derecho a la libertad personal) , Artículo 8 (Garantías Judiciales). </w:t>
      </w:r>
    </w:p>
    <w:p w14:paraId="59D3EC9A" w14:textId="77777777" w:rsidR="009D5E41" w:rsidRPr="00C62A4E" w:rsidRDefault="009D5E41" w:rsidP="00C62A4E">
      <w:pPr>
        <w:pStyle w:val="Textonotapie"/>
        <w:rPr>
          <w:rFonts w:ascii="Verdana" w:hAnsi="Verdana"/>
          <w:sz w:val="16"/>
          <w:szCs w:val="16"/>
          <w:lang w:val="es-CL"/>
        </w:rPr>
      </w:pPr>
    </w:p>
  </w:footnote>
  <w:footnote w:id="21">
    <w:p w14:paraId="17A6EEE8" w14:textId="2CB28CB1" w:rsidR="0094754F" w:rsidRPr="00C62A4E" w:rsidRDefault="0094754F" w:rsidP="00C62A4E">
      <w:pPr>
        <w:pStyle w:val="NormalWeb"/>
        <w:shd w:val="clear" w:color="auto" w:fill="FFFFFF"/>
        <w:spacing w:before="0" w:beforeAutospacing="0" w:after="0" w:afterAutospacing="0"/>
        <w:textAlignment w:val="top"/>
        <w:rPr>
          <w:rFonts w:ascii="Verdana" w:hAnsi="Verdana"/>
          <w:sz w:val="16"/>
          <w:szCs w:val="16"/>
        </w:rPr>
      </w:pPr>
      <w:r w:rsidRPr="00C62A4E">
        <w:rPr>
          <w:rStyle w:val="Refdenotaalpie"/>
          <w:rFonts w:ascii="Verdana" w:hAnsi="Verdana"/>
          <w:sz w:val="16"/>
          <w:szCs w:val="16"/>
        </w:rPr>
        <w:footnoteRef/>
      </w:r>
      <w:r w:rsidRPr="00C62A4E">
        <w:rPr>
          <w:rFonts w:ascii="Verdana" w:hAnsi="Verdana"/>
          <w:sz w:val="16"/>
          <w:szCs w:val="16"/>
        </w:rPr>
        <w:t xml:space="preserve"> </w:t>
      </w:r>
      <w:r w:rsidR="00C24F2D" w:rsidRPr="00C62A4E">
        <w:rPr>
          <w:rFonts w:ascii="Verdana" w:hAnsi="Verdana"/>
          <w:sz w:val="16"/>
          <w:szCs w:val="16"/>
        </w:rPr>
        <w:t xml:space="preserve">El caso se refiere a la responsabilidad internacional del Estado por la privación de libertad ilegal y arbitraria de Daniel David Tibi, así como por los </w:t>
      </w:r>
      <w:proofErr w:type="spellStart"/>
      <w:r w:rsidR="00C24F2D" w:rsidRPr="00C62A4E">
        <w:rPr>
          <w:rFonts w:ascii="Verdana" w:hAnsi="Verdana"/>
          <w:sz w:val="16"/>
          <w:szCs w:val="16"/>
        </w:rPr>
        <w:t>matratos</w:t>
      </w:r>
      <w:proofErr w:type="spellEnd"/>
      <w:r w:rsidR="00C24F2D" w:rsidRPr="00C62A4E">
        <w:rPr>
          <w:rFonts w:ascii="Verdana" w:hAnsi="Verdana"/>
          <w:sz w:val="16"/>
          <w:szCs w:val="16"/>
        </w:rPr>
        <w:t xml:space="preserve"> recibidos y las condiciones de su detención. La Corte estableció la responsabilidad internacional del Estado por la violación de los siguientes derechos convencionales: Artículo 1 (Obligación de respetar los derechos.) , Artículo 17 ( Protección a la Familia) , Artículo 2 (Deber de adoptar disposiciones de derecho interno) , Artículo 21 (Derecho a la propiedad privada) , Artículo 25 (Protección Judicial) , Artículo 5 (Derecho a la Integridad Personal) , Artículo 7 (Derecho a la libertad personal) , Artículo 8 (Garantías Judiciales)</w:t>
      </w:r>
      <w:r w:rsidRPr="00C62A4E">
        <w:rPr>
          <w:rFonts w:ascii="Verdana" w:hAnsi="Verdana"/>
          <w:sz w:val="16"/>
          <w:szCs w:val="16"/>
        </w:rPr>
        <w:t>.</w:t>
      </w:r>
    </w:p>
    <w:p w14:paraId="2D0B9216" w14:textId="77777777" w:rsidR="00C24F2D" w:rsidRPr="00C62A4E" w:rsidRDefault="00C24F2D" w:rsidP="00C62A4E">
      <w:pPr>
        <w:pStyle w:val="NormalWeb"/>
        <w:shd w:val="clear" w:color="auto" w:fill="FFFFFF"/>
        <w:spacing w:before="0" w:beforeAutospacing="0" w:after="0" w:afterAutospacing="0"/>
        <w:textAlignment w:val="top"/>
        <w:rPr>
          <w:rFonts w:ascii="Verdana" w:hAnsi="Verdana"/>
          <w:sz w:val="16"/>
          <w:szCs w:val="16"/>
        </w:rPr>
      </w:pPr>
    </w:p>
  </w:footnote>
  <w:footnote w:id="22">
    <w:p w14:paraId="5EE55A88" w14:textId="52922FDC" w:rsidR="00386954" w:rsidRPr="00C62A4E" w:rsidRDefault="00386954"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peruano por la detención arbitraria y condena sin un debido proceso en perjuicio de </w:t>
      </w:r>
      <w:proofErr w:type="spellStart"/>
      <w:r w:rsidRPr="00C62A4E">
        <w:rPr>
          <w:rFonts w:ascii="Verdana" w:hAnsi="Verdana"/>
          <w:sz w:val="16"/>
          <w:szCs w:val="16"/>
          <w:lang w:val="es-CL"/>
        </w:rPr>
        <w:t>de</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Lori</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Berenson</w:t>
      </w:r>
      <w:proofErr w:type="spellEnd"/>
      <w:r w:rsidRPr="00C62A4E">
        <w:rPr>
          <w:rFonts w:ascii="Verdana" w:hAnsi="Verdana"/>
          <w:sz w:val="16"/>
          <w:szCs w:val="16"/>
          <w:lang w:val="es-CL"/>
        </w:rPr>
        <w:t>, así como por las condiciones del centro penitenciario donde estuvo. La corte estableció la responsabilidad internacional del Estado por la violación de los siguientes derechos convencionales: Artículo 1 (Obligación de respetar los derechos.) , Artículo 11 (Derecho a la honra y dignidad) , Artículo 2 (Deber de adoptar disposiciones de derecho interno) , Artículo 5 (Derecho a la Integridad Personal) , Artículo 7 (Derecho a la libertad personal) , Artículo 8 (Garantías Judiciales) , Artículo 9 (Principio de legalidad y de retroactividad).</w:t>
      </w:r>
    </w:p>
    <w:p w14:paraId="4D42E07D" w14:textId="77777777" w:rsidR="00386954" w:rsidRPr="00C62A4E" w:rsidRDefault="00386954" w:rsidP="00C62A4E">
      <w:pPr>
        <w:pStyle w:val="Textonotapie"/>
        <w:rPr>
          <w:rFonts w:ascii="Verdana" w:hAnsi="Verdana"/>
          <w:sz w:val="16"/>
          <w:szCs w:val="16"/>
          <w:lang w:val="es-CL"/>
        </w:rPr>
      </w:pPr>
    </w:p>
  </w:footnote>
  <w:footnote w:id="23">
    <w:p w14:paraId="2679BCC3" w14:textId="6B0BEC36" w:rsidR="00386954" w:rsidRPr="00C62A4E" w:rsidRDefault="00386954"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el castigo corporal </w:t>
      </w:r>
      <w:proofErr w:type="spellStart"/>
      <w:r w:rsidRPr="00C62A4E">
        <w:rPr>
          <w:rFonts w:ascii="Verdana" w:hAnsi="Verdana"/>
          <w:sz w:val="16"/>
          <w:szCs w:val="16"/>
          <w:lang w:val="es-CL"/>
        </w:rPr>
        <w:t>inflingido</w:t>
      </w:r>
      <w:proofErr w:type="spellEnd"/>
      <w:r w:rsidRPr="00C62A4E">
        <w:rPr>
          <w:rFonts w:ascii="Verdana" w:hAnsi="Verdana"/>
          <w:sz w:val="16"/>
          <w:szCs w:val="16"/>
          <w:lang w:val="es-CL"/>
        </w:rPr>
        <w:t xml:space="preserve"> contra Winston </w:t>
      </w:r>
      <w:proofErr w:type="spellStart"/>
      <w:r w:rsidRPr="00C62A4E">
        <w:rPr>
          <w:rFonts w:ascii="Verdana" w:hAnsi="Verdana"/>
          <w:sz w:val="16"/>
          <w:szCs w:val="16"/>
          <w:lang w:val="es-CL"/>
        </w:rPr>
        <w:t>Caesar</w:t>
      </w:r>
      <w:proofErr w:type="spellEnd"/>
      <w:r w:rsidRPr="00C62A4E">
        <w:rPr>
          <w:rFonts w:ascii="Verdana" w:hAnsi="Verdana"/>
          <w:sz w:val="16"/>
          <w:szCs w:val="16"/>
          <w:lang w:val="es-CL"/>
        </w:rPr>
        <w:t xml:space="preserve"> por parte de agentes policiales en un centro penitenciario. La Corte estableció la responsabilidad internacional del Estado y por la violación de los siguientes derechos convencionales: Artículo 1 (Obligación de respetar los derechos.) , Artículo 2 (Deber de adoptar disposiciones de derecho interno) , Artículo 25 (Protección Judicial) , Artículo 5 (Derecho a la Integridad Personal) , Artículo 7 (Derecho a la libertad personal) , Artículo 8 (Garantías Judiciales).</w:t>
      </w:r>
    </w:p>
    <w:p w14:paraId="4371CE20" w14:textId="77777777" w:rsidR="009E10C1" w:rsidRPr="00C62A4E" w:rsidRDefault="009E10C1" w:rsidP="00C62A4E">
      <w:pPr>
        <w:pStyle w:val="Textonotapie"/>
        <w:rPr>
          <w:rFonts w:ascii="Verdana" w:hAnsi="Verdana"/>
          <w:sz w:val="16"/>
          <w:szCs w:val="16"/>
          <w:lang w:val="es-CL"/>
        </w:rPr>
      </w:pPr>
    </w:p>
  </w:footnote>
  <w:footnote w:id="24">
    <w:p w14:paraId="45D22A16" w14:textId="798FC51D" w:rsidR="009E10C1" w:rsidRPr="00C62A4E" w:rsidRDefault="009E10C1"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los actos de tortura en perjuicio de Juan Francisco Bueno Alves por parte de agentes policiales, así como la falta de investigación y sanción de los responsables de los hechos. La Corte establece la responsabilidad internacional del Estado por la violación de los siguientes derechos convencionales: Artículo 1 (Obligación de respetar los derechos.) , Artículo 11 (Derecho a la honra y dignidad) , Artículo 24 (Igualdad ante la ley) , Artículo 25 (Protección Judicial) , Artículo 5 (Derecho a la Integridad Personal) , Artículo 7 (Derecho a la libertad personal) , Artículo 8 (Garantías Judiciales).</w:t>
      </w:r>
    </w:p>
    <w:p w14:paraId="1B89E385" w14:textId="77777777" w:rsidR="009E10C1" w:rsidRPr="00C62A4E" w:rsidRDefault="009E10C1" w:rsidP="00C62A4E">
      <w:pPr>
        <w:pStyle w:val="Textonotapie"/>
        <w:rPr>
          <w:rFonts w:ascii="Verdana" w:hAnsi="Verdana"/>
          <w:sz w:val="16"/>
          <w:szCs w:val="16"/>
          <w:lang w:val="es-CL"/>
        </w:rPr>
      </w:pPr>
    </w:p>
  </w:footnote>
  <w:footnote w:id="25">
    <w:p w14:paraId="48705D96" w14:textId="7E7C76C7" w:rsidR="005A07D0" w:rsidRPr="00C62A4E" w:rsidRDefault="005A07D0"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25 de octubre de 2012 la Corte Interamericana de Derechos Humanos </w:t>
      </w:r>
      <w:proofErr w:type="spellStart"/>
      <w:r w:rsidRPr="00C62A4E">
        <w:rPr>
          <w:rFonts w:ascii="Verdana" w:hAnsi="Verdana"/>
          <w:sz w:val="16"/>
          <w:szCs w:val="16"/>
          <w:lang w:val="es-CL"/>
        </w:rPr>
        <w:t>emitio</w:t>
      </w:r>
      <w:proofErr w:type="spellEnd"/>
      <w:r w:rsidRPr="00C62A4E">
        <w:rPr>
          <w:rFonts w:ascii="Verdana" w:hAnsi="Verdana"/>
          <w:sz w:val="16"/>
          <w:szCs w:val="16"/>
          <w:lang w:val="es-CL"/>
        </w:rPr>
        <w:t xml:space="preserve">́ una Sentencia, mediante la cual declaró responsable internacionalmente a la </w:t>
      </w:r>
      <w:proofErr w:type="spellStart"/>
      <w:r w:rsidRPr="00C62A4E">
        <w:rPr>
          <w:rFonts w:ascii="Verdana" w:hAnsi="Verdana"/>
          <w:sz w:val="16"/>
          <w:szCs w:val="16"/>
          <w:lang w:val="es-CL"/>
        </w:rPr>
        <w:t>República</w:t>
      </w:r>
      <w:proofErr w:type="spellEnd"/>
      <w:r w:rsidRPr="00C62A4E">
        <w:rPr>
          <w:rFonts w:ascii="Verdana" w:hAnsi="Verdana"/>
          <w:sz w:val="16"/>
          <w:szCs w:val="16"/>
          <w:lang w:val="es-CL"/>
        </w:rPr>
        <w:t xml:space="preserve"> de El Salvador por las violaciones de derechos humanos perpetradas por la Fuerza Armada </w:t>
      </w:r>
      <w:proofErr w:type="spellStart"/>
      <w:r w:rsidRPr="00C62A4E">
        <w:rPr>
          <w:rFonts w:ascii="Verdana" w:hAnsi="Verdana"/>
          <w:sz w:val="16"/>
          <w:szCs w:val="16"/>
          <w:lang w:val="es-CL"/>
        </w:rPr>
        <w:t>salvadoreña</w:t>
      </w:r>
      <w:proofErr w:type="spellEnd"/>
      <w:r w:rsidRPr="00C62A4E">
        <w:rPr>
          <w:rFonts w:ascii="Verdana" w:hAnsi="Verdana"/>
          <w:sz w:val="16"/>
          <w:szCs w:val="16"/>
          <w:lang w:val="es-CL"/>
        </w:rPr>
        <w:t xml:space="preserve"> en las masacres cometidas del 11 al 13 de diciembre de 1981 en el </w:t>
      </w:r>
      <w:proofErr w:type="spellStart"/>
      <w:r w:rsidRPr="00C62A4E">
        <w:rPr>
          <w:rFonts w:ascii="Verdana" w:hAnsi="Verdana"/>
          <w:sz w:val="16"/>
          <w:szCs w:val="16"/>
          <w:lang w:val="es-CL"/>
        </w:rPr>
        <w:t>caserío</w:t>
      </w:r>
      <w:proofErr w:type="spellEnd"/>
      <w:r w:rsidRPr="00C62A4E">
        <w:rPr>
          <w:rFonts w:ascii="Verdana" w:hAnsi="Verdana"/>
          <w:sz w:val="16"/>
          <w:szCs w:val="16"/>
          <w:lang w:val="es-CL"/>
        </w:rPr>
        <w:t xml:space="preserve"> el Mozote, el </w:t>
      </w:r>
      <w:proofErr w:type="spellStart"/>
      <w:r w:rsidRPr="00C62A4E">
        <w:rPr>
          <w:rFonts w:ascii="Verdana" w:hAnsi="Verdana"/>
          <w:sz w:val="16"/>
          <w:szCs w:val="16"/>
          <w:lang w:val="es-CL"/>
        </w:rPr>
        <w:t>cantón</w:t>
      </w:r>
      <w:proofErr w:type="spellEnd"/>
      <w:r w:rsidRPr="00C62A4E">
        <w:rPr>
          <w:rFonts w:ascii="Verdana" w:hAnsi="Verdana"/>
          <w:sz w:val="16"/>
          <w:szCs w:val="16"/>
          <w:lang w:val="es-CL"/>
        </w:rPr>
        <w:t xml:space="preserve"> la Joya, los </w:t>
      </w:r>
      <w:proofErr w:type="spellStart"/>
      <w:r w:rsidRPr="00C62A4E">
        <w:rPr>
          <w:rFonts w:ascii="Verdana" w:hAnsi="Verdana"/>
          <w:sz w:val="16"/>
          <w:szCs w:val="16"/>
          <w:lang w:val="es-CL"/>
        </w:rPr>
        <w:t>caseríos</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Ranchería</w:t>
      </w:r>
      <w:proofErr w:type="spellEnd"/>
      <w:r w:rsidRPr="00C62A4E">
        <w:rPr>
          <w:rFonts w:ascii="Verdana" w:hAnsi="Verdana"/>
          <w:sz w:val="16"/>
          <w:szCs w:val="16"/>
          <w:lang w:val="es-CL"/>
        </w:rPr>
        <w:t xml:space="preserve">, Los Toriles y Jocote Amarillo,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en el </w:t>
      </w:r>
      <w:proofErr w:type="spellStart"/>
      <w:r w:rsidRPr="00C62A4E">
        <w:rPr>
          <w:rFonts w:ascii="Verdana" w:hAnsi="Verdana"/>
          <w:sz w:val="16"/>
          <w:szCs w:val="16"/>
          <w:lang w:val="es-CL"/>
        </w:rPr>
        <w:t>cantón</w:t>
      </w:r>
      <w:proofErr w:type="spellEnd"/>
      <w:r w:rsidRPr="00C62A4E">
        <w:rPr>
          <w:rFonts w:ascii="Verdana" w:hAnsi="Verdana"/>
          <w:sz w:val="16"/>
          <w:szCs w:val="16"/>
          <w:lang w:val="es-CL"/>
        </w:rPr>
        <w:t xml:space="preserve"> Cerro Pando y en una cueva del Cerro Ortiz, del Departamento de </w:t>
      </w:r>
      <w:proofErr w:type="spellStart"/>
      <w:r w:rsidRPr="00C62A4E">
        <w:rPr>
          <w:rFonts w:ascii="Verdana" w:hAnsi="Verdana"/>
          <w:sz w:val="16"/>
          <w:szCs w:val="16"/>
          <w:lang w:val="es-CL"/>
        </w:rPr>
        <w:t>Morazán</w:t>
      </w:r>
      <w:proofErr w:type="spellEnd"/>
      <w:r w:rsidRPr="00C62A4E">
        <w:rPr>
          <w:rFonts w:ascii="Verdana" w:hAnsi="Verdana"/>
          <w:sz w:val="16"/>
          <w:szCs w:val="16"/>
          <w:lang w:val="es-CL"/>
        </w:rPr>
        <w:t xml:space="preserve">. Asimismo, la Corte Interamericana determinó que la </w:t>
      </w:r>
      <w:proofErr w:type="spellStart"/>
      <w:r w:rsidRPr="00C62A4E">
        <w:rPr>
          <w:rFonts w:ascii="Verdana" w:hAnsi="Verdana"/>
          <w:sz w:val="16"/>
          <w:szCs w:val="16"/>
          <w:lang w:val="es-CL"/>
        </w:rPr>
        <w:t>aprobación</w:t>
      </w:r>
      <w:proofErr w:type="spellEnd"/>
      <w:r w:rsidRPr="00C62A4E">
        <w:rPr>
          <w:rFonts w:ascii="Verdana" w:hAnsi="Verdana"/>
          <w:sz w:val="16"/>
          <w:szCs w:val="16"/>
          <w:lang w:val="es-CL"/>
        </w:rPr>
        <w:t xml:space="preserve"> por parte de la Asamblea Legislativa de la </w:t>
      </w:r>
      <w:proofErr w:type="spellStart"/>
      <w:r w:rsidRPr="00C62A4E">
        <w:rPr>
          <w:rFonts w:ascii="Verdana" w:hAnsi="Verdana"/>
          <w:sz w:val="16"/>
          <w:szCs w:val="16"/>
          <w:lang w:val="es-CL"/>
        </w:rPr>
        <w:t>República</w:t>
      </w:r>
      <w:proofErr w:type="spellEnd"/>
      <w:r w:rsidRPr="00C62A4E">
        <w:rPr>
          <w:rFonts w:ascii="Verdana" w:hAnsi="Verdana"/>
          <w:sz w:val="16"/>
          <w:szCs w:val="16"/>
          <w:lang w:val="es-CL"/>
        </w:rPr>
        <w:t xml:space="preserve"> de El Salvador de la Ley de </w:t>
      </w:r>
      <w:proofErr w:type="spellStart"/>
      <w:r w:rsidRPr="00C62A4E">
        <w:rPr>
          <w:rFonts w:ascii="Verdana" w:hAnsi="Verdana"/>
          <w:sz w:val="16"/>
          <w:szCs w:val="16"/>
          <w:lang w:val="es-CL"/>
        </w:rPr>
        <w:t>Amnistía</w:t>
      </w:r>
      <w:proofErr w:type="spellEnd"/>
      <w:r w:rsidRPr="00C62A4E">
        <w:rPr>
          <w:rFonts w:ascii="Verdana" w:hAnsi="Verdana"/>
          <w:sz w:val="16"/>
          <w:szCs w:val="16"/>
          <w:lang w:val="es-CL"/>
        </w:rPr>
        <w:t xml:space="preserve"> General para la </w:t>
      </w:r>
      <w:proofErr w:type="spellStart"/>
      <w:r w:rsidRPr="00C62A4E">
        <w:rPr>
          <w:rFonts w:ascii="Verdana" w:hAnsi="Verdana"/>
          <w:sz w:val="16"/>
          <w:szCs w:val="16"/>
          <w:lang w:val="es-CL"/>
        </w:rPr>
        <w:t>Consolidación</w:t>
      </w:r>
      <w:proofErr w:type="spellEnd"/>
      <w:r w:rsidRPr="00C62A4E">
        <w:rPr>
          <w:rFonts w:ascii="Verdana" w:hAnsi="Verdana"/>
          <w:sz w:val="16"/>
          <w:szCs w:val="16"/>
          <w:lang w:val="es-CL"/>
        </w:rPr>
        <w:t xml:space="preserve"> de la Paz y su posterior </w:t>
      </w:r>
      <w:proofErr w:type="spellStart"/>
      <w:r w:rsidRPr="00C62A4E">
        <w:rPr>
          <w:rFonts w:ascii="Verdana" w:hAnsi="Verdana"/>
          <w:sz w:val="16"/>
          <w:szCs w:val="16"/>
          <w:lang w:val="es-CL"/>
        </w:rPr>
        <w:t>aplicación</w:t>
      </w:r>
      <w:proofErr w:type="spellEnd"/>
      <w:r w:rsidRPr="00C62A4E">
        <w:rPr>
          <w:rFonts w:ascii="Verdana" w:hAnsi="Verdana"/>
          <w:sz w:val="16"/>
          <w:szCs w:val="16"/>
          <w:lang w:val="es-CL"/>
        </w:rPr>
        <w:t xml:space="preserve"> en el presente caso por parte del Juzgado Segundo de Primera Instancia de San Francisco Gotera es contraria a la letra y </w:t>
      </w:r>
      <w:proofErr w:type="spellStart"/>
      <w:r w:rsidRPr="00C62A4E">
        <w:rPr>
          <w:rFonts w:ascii="Verdana" w:hAnsi="Verdana"/>
          <w:sz w:val="16"/>
          <w:szCs w:val="16"/>
          <w:lang w:val="es-CL"/>
        </w:rPr>
        <w:t>espíritu</w:t>
      </w:r>
      <w:proofErr w:type="spellEnd"/>
      <w:r w:rsidRPr="00C62A4E">
        <w:rPr>
          <w:rFonts w:ascii="Verdana" w:hAnsi="Verdana"/>
          <w:sz w:val="16"/>
          <w:szCs w:val="16"/>
          <w:lang w:val="es-CL"/>
        </w:rPr>
        <w:t xml:space="preserve"> de los Acuerdos de Paz, lo cual </w:t>
      </w:r>
      <w:proofErr w:type="spellStart"/>
      <w:r w:rsidRPr="00C62A4E">
        <w:rPr>
          <w:rFonts w:ascii="Verdana" w:hAnsi="Verdana"/>
          <w:sz w:val="16"/>
          <w:szCs w:val="16"/>
          <w:lang w:val="es-CL"/>
        </w:rPr>
        <w:t>leído</w:t>
      </w:r>
      <w:proofErr w:type="spellEnd"/>
      <w:r w:rsidRPr="00C62A4E">
        <w:rPr>
          <w:rFonts w:ascii="Verdana" w:hAnsi="Verdana"/>
          <w:sz w:val="16"/>
          <w:szCs w:val="16"/>
          <w:lang w:val="es-CL"/>
        </w:rPr>
        <w:t xml:space="preserve"> a la luz de la Convención Americana se refleja en una grave </w:t>
      </w:r>
      <w:proofErr w:type="spellStart"/>
      <w:r w:rsidRPr="00C62A4E">
        <w:rPr>
          <w:rFonts w:ascii="Verdana" w:hAnsi="Verdana"/>
          <w:sz w:val="16"/>
          <w:szCs w:val="16"/>
          <w:lang w:val="es-CL"/>
        </w:rPr>
        <w:t>afectación</w:t>
      </w:r>
      <w:proofErr w:type="spellEnd"/>
      <w:r w:rsidRPr="00C62A4E">
        <w:rPr>
          <w:rFonts w:ascii="Verdana" w:hAnsi="Verdana"/>
          <w:sz w:val="16"/>
          <w:szCs w:val="16"/>
          <w:lang w:val="es-CL"/>
        </w:rPr>
        <w:t xml:space="preserve"> de la obligación internacional del Estado de investigar y sancionar las graves violaciones de derechos humanos referidas a las masacres de El Mozote y lugares </w:t>
      </w:r>
      <w:proofErr w:type="spellStart"/>
      <w:r w:rsidRPr="00C62A4E">
        <w:rPr>
          <w:rFonts w:ascii="Verdana" w:hAnsi="Verdana"/>
          <w:sz w:val="16"/>
          <w:szCs w:val="16"/>
          <w:lang w:val="es-CL"/>
        </w:rPr>
        <w:t>aledaños</w:t>
      </w:r>
      <w:proofErr w:type="spellEnd"/>
      <w:r w:rsidRPr="00C62A4E">
        <w:rPr>
          <w:rFonts w:ascii="Verdana" w:hAnsi="Verdana"/>
          <w:sz w:val="16"/>
          <w:szCs w:val="16"/>
          <w:lang w:val="es-CL"/>
        </w:rPr>
        <w:t>.</w:t>
      </w:r>
    </w:p>
    <w:p w14:paraId="3FF823FB" w14:textId="77777777" w:rsidR="005A07D0" w:rsidRPr="00C62A4E" w:rsidRDefault="005A07D0" w:rsidP="00C62A4E">
      <w:pPr>
        <w:pStyle w:val="Textonotapie"/>
        <w:rPr>
          <w:rFonts w:ascii="Verdana" w:hAnsi="Verdana"/>
          <w:sz w:val="16"/>
          <w:szCs w:val="16"/>
          <w:lang w:val="es-CL"/>
        </w:rPr>
      </w:pPr>
    </w:p>
  </w:footnote>
  <w:footnote w:id="26">
    <w:p w14:paraId="0F60625C" w14:textId="7E764F2B" w:rsidR="007B2062" w:rsidRPr="00C62A4E" w:rsidRDefault="007B2062"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28 de noviembre de 2018 la Corte Interamericana de Derechos Humanos </w:t>
      </w:r>
      <w:proofErr w:type="spellStart"/>
      <w:r w:rsidRPr="00C62A4E">
        <w:rPr>
          <w:rFonts w:ascii="Verdana" w:hAnsi="Verdana"/>
          <w:sz w:val="16"/>
          <w:szCs w:val="16"/>
          <w:lang w:val="es-CL"/>
        </w:rPr>
        <w:t>emitio</w:t>
      </w:r>
      <w:proofErr w:type="spellEnd"/>
      <w:r w:rsidRPr="00C62A4E">
        <w:rPr>
          <w:rFonts w:ascii="Verdana" w:hAnsi="Verdana"/>
          <w:sz w:val="16"/>
          <w:szCs w:val="16"/>
          <w:lang w:val="es-CL"/>
        </w:rPr>
        <w:t xml:space="preserve">́ una Sentencia, mediante la cual declaró responsable internacionalmente a los Estados Unidos Mexicanos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(i) la integridad personal, a la vida privada, y a no ser sometido a tortura, consagrados en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5.1, 5.2 y 11 de la Convención,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las obligaciones de respetar y garantizar dichos derechos sin discriminación, consagradas en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1.1 y 2 del mismo tratado,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en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1 y 6 de la Convención Interamericana contra la Tortura y el artículo 7 de la Convención de </w:t>
      </w:r>
      <w:proofErr w:type="spellStart"/>
      <w:r w:rsidRPr="00C62A4E">
        <w:rPr>
          <w:rFonts w:ascii="Verdana" w:hAnsi="Verdana"/>
          <w:sz w:val="16"/>
          <w:szCs w:val="16"/>
          <w:lang w:val="es-CL"/>
        </w:rPr>
        <w:t>Belém</w:t>
      </w:r>
      <w:proofErr w:type="spellEnd"/>
      <w:r w:rsidRPr="00C62A4E">
        <w:rPr>
          <w:rFonts w:ascii="Verdana" w:hAnsi="Verdana"/>
          <w:sz w:val="16"/>
          <w:szCs w:val="16"/>
          <w:lang w:val="es-CL"/>
        </w:rPr>
        <w:t xml:space="preserve"> do Pará; (ii) el derecho a la libertad personal, consagrado en el artículo 7, numerales 1, 2, 3 y 4, y el derecho a la defensa, consagrado en el artículo 8.2, literales b, d y e, de la Convención Americana; (iii) los derechos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protección judicial, reconocidos en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8.1 y 25.1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las obligaciones generales contenidas en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1.1 y 2 de la misma,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1, 6 y 8 de la Convención Interamericana contra la Tortura, y el artículo 7.b de la Convención de Belem do Pará; todo ello en perjuicio de Yolanda </w:t>
      </w:r>
      <w:proofErr w:type="spellStart"/>
      <w:r w:rsidRPr="00C62A4E">
        <w:rPr>
          <w:rFonts w:ascii="Verdana" w:hAnsi="Verdana"/>
          <w:sz w:val="16"/>
          <w:szCs w:val="16"/>
          <w:lang w:val="es-CL"/>
        </w:rPr>
        <w:t>Muñoz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Diosdada</w:t>
      </w:r>
      <w:proofErr w:type="spellEnd"/>
      <w:r w:rsidRPr="00C62A4E">
        <w:rPr>
          <w:rFonts w:ascii="Verdana" w:hAnsi="Verdana"/>
          <w:sz w:val="16"/>
          <w:szCs w:val="16"/>
          <w:lang w:val="es-CL"/>
        </w:rPr>
        <w:t xml:space="preserve">, Norma </w:t>
      </w:r>
      <w:proofErr w:type="spellStart"/>
      <w:r w:rsidRPr="00C62A4E">
        <w:rPr>
          <w:rFonts w:ascii="Verdana" w:hAnsi="Verdana"/>
          <w:sz w:val="16"/>
          <w:szCs w:val="16"/>
          <w:lang w:val="es-CL"/>
        </w:rPr>
        <w:t>Aide</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Jiménez</w:t>
      </w:r>
      <w:proofErr w:type="spellEnd"/>
      <w:r w:rsidRPr="00C62A4E">
        <w:rPr>
          <w:rFonts w:ascii="Verdana" w:hAnsi="Verdana"/>
          <w:sz w:val="16"/>
          <w:szCs w:val="16"/>
          <w:lang w:val="es-CL"/>
        </w:rPr>
        <w:t xml:space="preserve"> Osorio, </w:t>
      </w:r>
      <w:proofErr w:type="spellStart"/>
      <w:r w:rsidRPr="00C62A4E">
        <w:rPr>
          <w:rFonts w:ascii="Verdana" w:hAnsi="Verdana"/>
          <w:sz w:val="16"/>
          <w:szCs w:val="16"/>
          <w:lang w:val="es-CL"/>
        </w:rPr>
        <w:t>María</w:t>
      </w:r>
      <w:proofErr w:type="spellEnd"/>
      <w:r w:rsidRPr="00C62A4E">
        <w:rPr>
          <w:rFonts w:ascii="Verdana" w:hAnsi="Verdana"/>
          <w:sz w:val="16"/>
          <w:szCs w:val="16"/>
          <w:lang w:val="es-CL"/>
        </w:rPr>
        <w:t xml:space="preserve"> Patricia Romero </w:t>
      </w:r>
      <w:proofErr w:type="spellStart"/>
      <w:r w:rsidRPr="00C62A4E">
        <w:rPr>
          <w:rFonts w:ascii="Verdana" w:hAnsi="Verdana"/>
          <w:sz w:val="16"/>
          <w:szCs w:val="16"/>
          <w:lang w:val="es-CL"/>
        </w:rPr>
        <w:t>Hernández</w:t>
      </w:r>
      <w:proofErr w:type="spellEnd"/>
      <w:r w:rsidRPr="00C62A4E">
        <w:rPr>
          <w:rFonts w:ascii="Verdana" w:hAnsi="Verdana"/>
          <w:sz w:val="16"/>
          <w:szCs w:val="16"/>
          <w:lang w:val="es-CL"/>
        </w:rPr>
        <w:t xml:space="preserve">, Mariana Selvas </w:t>
      </w:r>
      <w:proofErr w:type="spellStart"/>
      <w:r w:rsidRPr="00C62A4E">
        <w:rPr>
          <w:rFonts w:ascii="Verdana" w:hAnsi="Verdana"/>
          <w:sz w:val="16"/>
          <w:szCs w:val="16"/>
          <w:lang w:val="es-CL"/>
        </w:rPr>
        <w:t>Gómez</w:t>
      </w:r>
      <w:proofErr w:type="spellEnd"/>
      <w:r w:rsidRPr="00C62A4E">
        <w:rPr>
          <w:rFonts w:ascii="Verdana" w:hAnsi="Verdana"/>
          <w:sz w:val="16"/>
          <w:szCs w:val="16"/>
          <w:lang w:val="es-CL"/>
        </w:rPr>
        <w:t xml:space="preserve">, Georgina Edith Rosales </w:t>
      </w:r>
      <w:proofErr w:type="spellStart"/>
      <w:r w:rsidRPr="00C62A4E">
        <w:rPr>
          <w:rFonts w:ascii="Verdana" w:hAnsi="Verdana"/>
          <w:sz w:val="16"/>
          <w:szCs w:val="16"/>
          <w:lang w:val="es-CL"/>
        </w:rPr>
        <w:t>Gutiérrez</w:t>
      </w:r>
      <w:proofErr w:type="spellEnd"/>
      <w:r w:rsidRPr="00C62A4E">
        <w:rPr>
          <w:rFonts w:ascii="Verdana" w:hAnsi="Verdana"/>
          <w:sz w:val="16"/>
          <w:szCs w:val="16"/>
          <w:lang w:val="es-CL"/>
        </w:rPr>
        <w:t xml:space="preserve">, Ana </w:t>
      </w:r>
      <w:proofErr w:type="spellStart"/>
      <w:r w:rsidRPr="00C62A4E">
        <w:rPr>
          <w:rFonts w:ascii="Verdana" w:hAnsi="Verdana"/>
          <w:sz w:val="16"/>
          <w:szCs w:val="16"/>
          <w:lang w:val="es-CL"/>
        </w:rPr>
        <w:t>María</w:t>
      </w:r>
      <w:proofErr w:type="spellEnd"/>
      <w:r w:rsidRPr="00C62A4E">
        <w:rPr>
          <w:rFonts w:ascii="Verdana" w:hAnsi="Verdana"/>
          <w:sz w:val="16"/>
          <w:szCs w:val="16"/>
          <w:lang w:val="es-CL"/>
        </w:rPr>
        <w:t xml:space="preserve"> Velasco </w:t>
      </w:r>
      <w:proofErr w:type="spellStart"/>
      <w:r w:rsidRPr="00C62A4E">
        <w:rPr>
          <w:rFonts w:ascii="Verdana" w:hAnsi="Verdana"/>
          <w:sz w:val="16"/>
          <w:szCs w:val="16"/>
          <w:lang w:val="es-CL"/>
        </w:rPr>
        <w:t>Rodríguez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Suhelen</w:t>
      </w:r>
      <w:proofErr w:type="spellEnd"/>
      <w:r w:rsidRPr="00C62A4E">
        <w:rPr>
          <w:rFonts w:ascii="Verdana" w:hAnsi="Verdana"/>
          <w:sz w:val="16"/>
          <w:szCs w:val="16"/>
          <w:lang w:val="es-CL"/>
        </w:rPr>
        <w:t xml:space="preserve"> Gabriela Cuevas Jaramillo, </w:t>
      </w:r>
      <w:proofErr w:type="spellStart"/>
      <w:r w:rsidRPr="00C62A4E">
        <w:rPr>
          <w:rFonts w:ascii="Verdana" w:hAnsi="Verdana"/>
          <w:sz w:val="16"/>
          <w:szCs w:val="16"/>
          <w:lang w:val="es-CL"/>
        </w:rPr>
        <w:t>Bárbara</w:t>
      </w:r>
      <w:proofErr w:type="spellEnd"/>
      <w:r w:rsidRPr="00C62A4E">
        <w:rPr>
          <w:rFonts w:ascii="Verdana" w:hAnsi="Verdana"/>
          <w:sz w:val="16"/>
          <w:szCs w:val="16"/>
          <w:lang w:val="es-CL"/>
        </w:rPr>
        <w:t xml:space="preserve"> Italia </w:t>
      </w:r>
      <w:proofErr w:type="spellStart"/>
      <w:r w:rsidRPr="00C62A4E">
        <w:rPr>
          <w:rFonts w:ascii="Verdana" w:hAnsi="Verdana"/>
          <w:sz w:val="16"/>
          <w:szCs w:val="16"/>
          <w:lang w:val="es-CL"/>
        </w:rPr>
        <w:t>Méndez</w:t>
      </w:r>
      <w:proofErr w:type="spellEnd"/>
      <w:r w:rsidRPr="00C62A4E">
        <w:rPr>
          <w:rFonts w:ascii="Verdana" w:hAnsi="Verdana"/>
          <w:sz w:val="16"/>
          <w:szCs w:val="16"/>
          <w:lang w:val="es-CL"/>
        </w:rPr>
        <w:t xml:space="preserve"> Moreno, </w:t>
      </w:r>
      <w:proofErr w:type="spellStart"/>
      <w:r w:rsidRPr="00C62A4E">
        <w:rPr>
          <w:rFonts w:ascii="Verdana" w:hAnsi="Verdana"/>
          <w:sz w:val="16"/>
          <w:szCs w:val="16"/>
          <w:lang w:val="es-CL"/>
        </w:rPr>
        <w:t>María</w:t>
      </w:r>
      <w:proofErr w:type="spellEnd"/>
      <w:r w:rsidRPr="00C62A4E">
        <w:rPr>
          <w:rFonts w:ascii="Verdana" w:hAnsi="Verdana"/>
          <w:sz w:val="16"/>
          <w:szCs w:val="16"/>
          <w:lang w:val="es-CL"/>
        </w:rPr>
        <w:t xml:space="preserve"> Cristina </w:t>
      </w:r>
      <w:proofErr w:type="spellStart"/>
      <w:r w:rsidRPr="00C62A4E">
        <w:rPr>
          <w:rFonts w:ascii="Verdana" w:hAnsi="Verdana"/>
          <w:sz w:val="16"/>
          <w:szCs w:val="16"/>
          <w:lang w:val="es-CL"/>
        </w:rPr>
        <w:t>Sánchez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Hernández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Angélica</w:t>
      </w:r>
      <w:proofErr w:type="spellEnd"/>
      <w:r w:rsidRPr="00C62A4E">
        <w:rPr>
          <w:rFonts w:ascii="Verdana" w:hAnsi="Verdana"/>
          <w:sz w:val="16"/>
          <w:szCs w:val="16"/>
          <w:lang w:val="es-CL"/>
        </w:rPr>
        <w:t xml:space="preserve"> Patricia Torres Linares y Claudia </w:t>
      </w:r>
      <w:proofErr w:type="spellStart"/>
      <w:r w:rsidRPr="00C62A4E">
        <w:rPr>
          <w:rFonts w:ascii="Verdana" w:hAnsi="Verdana"/>
          <w:sz w:val="16"/>
          <w:szCs w:val="16"/>
          <w:lang w:val="es-CL"/>
        </w:rPr>
        <w:t>Hernández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Martínez</w:t>
      </w:r>
      <w:proofErr w:type="spellEnd"/>
      <w:r w:rsidRPr="00C62A4E">
        <w:rPr>
          <w:rFonts w:ascii="Verdana" w:hAnsi="Verdana"/>
          <w:sz w:val="16"/>
          <w:szCs w:val="16"/>
          <w:lang w:val="es-CL"/>
        </w:rPr>
        <w:t xml:space="preserve">. Asimismo, la Corte </w:t>
      </w:r>
      <w:proofErr w:type="spellStart"/>
      <w:r w:rsidRPr="00C62A4E">
        <w:rPr>
          <w:rFonts w:ascii="Verdana" w:hAnsi="Verdana"/>
          <w:sz w:val="16"/>
          <w:szCs w:val="16"/>
          <w:lang w:val="es-CL"/>
        </w:rPr>
        <w:t>encontro</w:t>
      </w:r>
      <w:proofErr w:type="spellEnd"/>
      <w:r w:rsidRPr="00C62A4E">
        <w:rPr>
          <w:rFonts w:ascii="Verdana" w:hAnsi="Verdana"/>
          <w:sz w:val="16"/>
          <w:szCs w:val="16"/>
          <w:lang w:val="es-CL"/>
        </w:rPr>
        <w:t xml:space="preserve">́ al Estado responsable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del derecho de </w:t>
      </w:r>
      <w:proofErr w:type="spellStart"/>
      <w:r w:rsidRPr="00C62A4E">
        <w:rPr>
          <w:rFonts w:ascii="Verdana" w:hAnsi="Verdana"/>
          <w:sz w:val="16"/>
          <w:szCs w:val="16"/>
          <w:lang w:val="es-CL"/>
        </w:rPr>
        <w:t>reunión</w:t>
      </w:r>
      <w:proofErr w:type="spellEnd"/>
      <w:r w:rsidRPr="00C62A4E">
        <w:rPr>
          <w:rFonts w:ascii="Verdana" w:hAnsi="Verdana"/>
          <w:sz w:val="16"/>
          <w:szCs w:val="16"/>
          <w:lang w:val="es-CL"/>
        </w:rPr>
        <w:t xml:space="preserve">, consagrado en el artículo 15 de la Convención,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el artículo 1.1 del mismo tratado, en perjuicio de Norma </w:t>
      </w:r>
      <w:proofErr w:type="spellStart"/>
      <w:r w:rsidRPr="00C62A4E">
        <w:rPr>
          <w:rFonts w:ascii="Verdana" w:hAnsi="Verdana"/>
          <w:sz w:val="16"/>
          <w:szCs w:val="16"/>
          <w:lang w:val="es-CL"/>
        </w:rPr>
        <w:t>Aide</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Jiménez</w:t>
      </w:r>
      <w:proofErr w:type="spellEnd"/>
      <w:r w:rsidRPr="00C62A4E">
        <w:rPr>
          <w:rFonts w:ascii="Verdana" w:hAnsi="Verdana"/>
          <w:sz w:val="16"/>
          <w:szCs w:val="16"/>
          <w:lang w:val="es-CL"/>
        </w:rPr>
        <w:t xml:space="preserve"> Osorio, </w:t>
      </w:r>
      <w:proofErr w:type="spellStart"/>
      <w:r w:rsidRPr="00C62A4E">
        <w:rPr>
          <w:rFonts w:ascii="Verdana" w:hAnsi="Verdana"/>
          <w:sz w:val="16"/>
          <w:szCs w:val="16"/>
          <w:lang w:val="es-CL"/>
        </w:rPr>
        <w:t>Suhelen</w:t>
      </w:r>
      <w:proofErr w:type="spellEnd"/>
      <w:r w:rsidRPr="00C62A4E">
        <w:rPr>
          <w:rFonts w:ascii="Verdana" w:hAnsi="Verdana"/>
          <w:sz w:val="16"/>
          <w:szCs w:val="16"/>
          <w:lang w:val="es-CL"/>
        </w:rPr>
        <w:t xml:space="preserve"> Gabriela Cuevas Jaramillo, </w:t>
      </w:r>
      <w:proofErr w:type="spellStart"/>
      <w:r w:rsidRPr="00C62A4E">
        <w:rPr>
          <w:rFonts w:ascii="Verdana" w:hAnsi="Verdana"/>
          <w:sz w:val="16"/>
          <w:szCs w:val="16"/>
          <w:lang w:val="es-CL"/>
        </w:rPr>
        <w:t>Bárbara</w:t>
      </w:r>
      <w:proofErr w:type="spellEnd"/>
      <w:r w:rsidRPr="00C62A4E">
        <w:rPr>
          <w:rFonts w:ascii="Verdana" w:hAnsi="Verdana"/>
          <w:sz w:val="16"/>
          <w:szCs w:val="16"/>
          <w:lang w:val="es-CL"/>
        </w:rPr>
        <w:t xml:space="preserve"> Italia </w:t>
      </w:r>
      <w:proofErr w:type="spellStart"/>
      <w:r w:rsidRPr="00C62A4E">
        <w:rPr>
          <w:rFonts w:ascii="Verdana" w:hAnsi="Verdana"/>
          <w:sz w:val="16"/>
          <w:szCs w:val="16"/>
          <w:lang w:val="es-CL"/>
        </w:rPr>
        <w:t>Méndez</w:t>
      </w:r>
      <w:proofErr w:type="spellEnd"/>
      <w:r w:rsidRPr="00C62A4E">
        <w:rPr>
          <w:rFonts w:ascii="Verdana" w:hAnsi="Verdana"/>
          <w:sz w:val="16"/>
          <w:szCs w:val="16"/>
          <w:lang w:val="es-CL"/>
        </w:rPr>
        <w:t xml:space="preserve"> Moreno, </w:t>
      </w:r>
      <w:proofErr w:type="spellStart"/>
      <w:r w:rsidRPr="00C62A4E">
        <w:rPr>
          <w:rFonts w:ascii="Verdana" w:hAnsi="Verdana"/>
          <w:sz w:val="16"/>
          <w:szCs w:val="16"/>
          <w:lang w:val="es-CL"/>
        </w:rPr>
        <w:t>Angélica</w:t>
      </w:r>
      <w:proofErr w:type="spellEnd"/>
      <w:r w:rsidRPr="00C62A4E">
        <w:rPr>
          <w:rFonts w:ascii="Verdana" w:hAnsi="Verdana"/>
          <w:sz w:val="16"/>
          <w:szCs w:val="16"/>
          <w:lang w:val="es-CL"/>
        </w:rPr>
        <w:t xml:space="preserve"> Patricia Torres Linares, Claudia </w:t>
      </w:r>
      <w:proofErr w:type="spellStart"/>
      <w:r w:rsidRPr="00C62A4E">
        <w:rPr>
          <w:rFonts w:ascii="Verdana" w:hAnsi="Verdana"/>
          <w:sz w:val="16"/>
          <w:szCs w:val="16"/>
          <w:lang w:val="es-CL"/>
        </w:rPr>
        <w:t>Hernández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Martínez</w:t>
      </w:r>
      <w:proofErr w:type="spellEnd"/>
      <w:r w:rsidRPr="00C62A4E">
        <w:rPr>
          <w:rFonts w:ascii="Verdana" w:hAnsi="Verdana"/>
          <w:sz w:val="16"/>
          <w:szCs w:val="16"/>
          <w:lang w:val="es-CL"/>
        </w:rPr>
        <w:t xml:space="preserve">, Mariana Selvas </w:t>
      </w:r>
      <w:proofErr w:type="spellStart"/>
      <w:r w:rsidRPr="00C62A4E">
        <w:rPr>
          <w:rFonts w:ascii="Verdana" w:hAnsi="Verdana"/>
          <w:sz w:val="16"/>
          <w:szCs w:val="16"/>
          <w:lang w:val="es-CL"/>
        </w:rPr>
        <w:t>Gómez</w:t>
      </w:r>
      <w:proofErr w:type="spellEnd"/>
      <w:r w:rsidRPr="00C62A4E">
        <w:rPr>
          <w:rFonts w:ascii="Verdana" w:hAnsi="Verdana"/>
          <w:sz w:val="16"/>
          <w:szCs w:val="16"/>
          <w:lang w:val="es-CL"/>
        </w:rPr>
        <w:t xml:space="preserve"> y Georgina Edith Rosales </w:t>
      </w:r>
      <w:proofErr w:type="spellStart"/>
      <w:r w:rsidRPr="00C62A4E">
        <w:rPr>
          <w:rFonts w:ascii="Verdana" w:hAnsi="Verdana"/>
          <w:sz w:val="16"/>
          <w:szCs w:val="16"/>
          <w:lang w:val="es-CL"/>
        </w:rPr>
        <w:t>Gutiérrez</w:t>
      </w:r>
      <w:proofErr w:type="spellEnd"/>
      <w:r w:rsidRPr="00C62A4E">
        <w:rPr>
          <w:rFonts w:ascii="Verdana" w:hAnsi="Verdana"/>
          <w:sz w:val="16"/>
          <w:szCs w:val="16"/>
          <w:lang w:val="es-CL"/>
        </w:rPr>
        <w:t xml:space="preserve">. Finalmente, la Corte declaró al Estado responsable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del derecho a la integridad personal reconocido en el artículo 5.1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el artículo 1.1 de la misma, en perjuicio de los familiares de las once mujeres </w:t>
      </w:r>
      <w:proofErr w:type="spellStart"/>
      <w:r w:rsidRPr="00C62A4E">
        <w:rPr>
          <w:rFonts w:ascii="Verdana" w:hAnsi="Verdana"/>
          <w:sz w:val="16"/>
          <w:szCs w:val="16"/>
          <w:lang w:val="es-CL"/>
        </w:rPr>
        <w:t>víctimas</w:t>
      </w:r>
      <w:proofErr w:type="spellEnd"/>
      <w:r w:rsidRPr="00C62A4E">
        <w:rPr>
          <w:rFonts w:ascii="Verdana" w:hAnsi="Verdana"/>
          <w:sz w:val="16"/>
          <w:szCs w:val="16"/>
          <w:lang w:val="es-CL"/>
        </w:rPr>
        <w:t xml:space="preserve"> de tortura sexual, enlistados en la sentencia.</w:t>
      </w:r>
    </w:p>
    <w:p w14:paraId="4285B2C1" w14:textId="77777777" w:rsidR="007B2062" w:rsidRPr="00C62A4E" w:rsidRDefault="007B2062" w:rsidP="00C62A4E">
      <w:pPr>
        <w:pStyle w:val="Textonotapie"/>
        <w:rPr>
          <w:rFonts w:ascii="Verdana" w:hAnsi="Verdana"/>
          <w:sz w:val="16"/>
          <w:szCs w:val="16"/>
          <w:lang w:val="es-CL"/>
        </w:rPr>
      </w:pPr>
    </w:p>
  </w:footnote>
  <w:footnote w:id="27">
    <w:p w14:paraId="0C6D268D" w14:textId="1608573E" w:rsidR="009B0099" w:rsidRPr="00C62A4E" w:rsidRDefault="009B0099"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12 de marzo de 2020 la Corte Interamericana de Derechos Humanos dictó Sentencia mediante la cual declaró internacionalmente responsable a la </w:t>
      </w:r>
      <w:proofErr w:type="spellStart"/>
      <w:r w:rsidRPr="00C62A4E">
        <w:rPr>
          <w:rFonts w:ascii="Verdana" w:hAnsi="Verdana"/>
          <w:sz w:val="16"/>
          <w:szCs w:val="16"/>
          <w:lang w:val="es-CL"/>
        </w:rPr>
        <w:t>República</w:t>
      </w:r>
      <w:proofErr w:type="spellEnd"/>
      <w:r w:rsidRPr="00C62A4E">
        <w:rPr>
          <w:rFonts w:ascii="Verdana" w:hAnsi="Verdana"/>
          <w:sz w:val="16"/>
          <w:szCs w:val="16"/>
          <w:lang w:val="es-CL"/>
        </w:rPr>
        <w:t xml:space="preserve"> del </w:t>
      </w:r>
      <w:proofErr w:type="spellStart"/>
      <w:r w:rsidRPr="00C62A4E">
        <w:rPr>
          <w:rFonts w:ascii="Verdana" w:hAnsi="Verdana"/>
          <w:sz w:val="16"/>
          <w:szCs w:val="16"/>
          <w:lang w:val="es-CL"/>
        </w:rPr>
        <w:t>Peru</w:t>
      </w:r>
      <w:proofErr w:type="spellEnd"/>
      <w:r w:rsidRPr="00C62A4E">
        <w:rPr>
          <w:rFonts w:ascii="Verdana" w:hAnsi="Verdana"/>
          <w:sz w:val="16"/>
          <w:szCs w:val="16"/>
          <w:lang w:val="es-CL"/>
        </w:rPr>
        <w:t xml:space="preserv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la libertad personal, a la integridad personal, a la vida privada, a no ser sometida a tortura,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protección judicial de Azul Rojas </w:t>
      </w:r>
      <w:proofErr w:type="spellStart"/>
      <w:r w:rsidRPr="00C62A4E">
        <w:rPr>
          <w:rFonts w:ascii="Verdana" w:hAnsi="Verdana"/>
          <w:sz w:val="16"/>
          <w:szCs w:val="16"/>
          <w:lang w:val="es-CL"/>
        </w:rPr>
        <w:t>Marín</w:t>
      </w:r>
      <w:proofErr w:type="spellEnd"/>
      <w:r w:rsidRPr="00C62A4E">
        <w:rPr>
          <w:rFonts w:ascii="Verdana" w:hAnsi="Verdana"/>
          <w:sz w:val="16"/>
          <w:szCs w:val="16"/>
          <w:lang w:val="es-CL"/>
        </w:rPr>
        <w:t xml:space="preserve">,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las obligaciones de respetar y garantizar dichos derechos sin discriminación y de adoptar disposiciones de derecho interno. La Corte también declaró responsable al Estado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del derecho a la integridad personal de la madre de Azul Rojas </w:t>
      </w:r>
      <w:proofErr w:type="spellStart"/>
      <w:r w:rsidRPr="00C62A4E">
        <w:rPr>
          <w:rFonts w:ascii="Verdana" w:hAnsi="Verdana"/>
          <w:sz w:val="16"/>
          <w:szCs w:val="16"/>
          <w:lang w:val="es-CL"/>
        </w:rPr>
        <w:t>Marín</w:t>
      </w:r>
      <w:proofErr w:type="spellEnd"/>
      <w:r w:rsidRPr="00C62A4E">
        <w:rPr>
          <w:rFonts w:ascii="Verdana" w:hAnsi="Verdana"/>
          <w:sz w:val="16"/>
          <w:szCs w:val="16"/>
          <w:lang w:val="es-CL"/>
        </w:rPr>
        <w:t xml:space="preserve">, la </w:t>
      </w:r>
      <w:proofErr w:type="spellStart"/>
      <w:r w:rsidRPr="00C62A4E">
        <w:rPr>
          <w:rFonts w:ascii="Verdana" w:hAnsi="Verdana"/>
          <w:sz w:val="16"/>
          <w:szCs w:val="16"/>
          <w:lang w:val="es-CL"/>
        </w:rPr>
        <w:t>señora</w:t>
      </w:r>
      <w:proofErr w:type="spellEnd"/>
      <w:r w:rsidRPr="00C62A4E">
        <w:rPr>
          <w:rFonts w:ascii="Verdana" w:hAnsi="Verdana"/>
          <w:sz w:val="16"/>
          <w:szCs w:val="16"/>
          <w:lang w:val="es-CL"/>
        </w:rPr>
        <w:t xml:space="preserve"> Juan Rosa Tanta </w:t>
      </w:r>
      <w:proofErr w:type="spellStart"/>
      <w:r w:rsidRPr="00C62A4E">
        <w:rPr>
          <w:rFonts w:ascii="Verdana" w:hAnsi="Verdana"/>
          <w:sz w:val="16"/>
          <w:szCs w:val="16"/>
          <w:lang w:val="es-CL"/>
        </w:rPr>
        <w:t>Marín</w:t>
      </w:r>
      <w:proofErr w:type="spellEnd"/>
      <w:r w:rsidRPr="00C62A4E">
        <w:rPr>
          <w:rFonts w:ascii="Verdana" w:hAnsi="Verdana"/>
          <w:sz w:val="16"/>
          <w:szCs w:val="16"/>
          <w:lang w:val="es-CL"/>
        </w:rPr>
        <w:t>.</w:t>
      </w:r>
    </w:p>
    <w:p w14:paraId="5907B09A" w14:textId="77777777" w:rsidR="009B0099" w:rsidRPr="00C62A4E" w:rsidRDefault="009B0099" w:rsidP="00C62A4E">
      <w:pPr>
        <w:pStyle w:val="Textonotapie"/>
        <w:rPr>
          <w:rFonts w:ascii="Verdana" w:hAnsi="Verdana"/>
          <w:sz w:val="16"/>
          <w:szCs w:val="16"/>
          <w:lang w:val="es-CL"/>
        </w:rPr>
      </w:pPr>
    </w:p>
  </w:footnote>
  <w:footnote w:id="28">
    <w:p w14:paraId="58EF8B82" w14:textId="067D5EBE" w:rsidR="0094754F" w:rsidRPr="00C62A4E" w:rsidRDefault="0094754F"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Los hechos del presente caso se enmarcan dentro de la práctica del Ejército de capturar guerrilleros y mantenerlos en reclusión clandestina a efectos de obtener, mediante torturas físicas y psicológicas, información útil. El 12 de marzo de 1992 se produjo un enfrentamiento armado entre combatientes de la guerrilla pertenecientes al Frente Luis </w:t>
      </w:r>
      <w:proofErr w:type="spellStart"/>
      <w:r w:rsidRPr="00C62A4E">
        <w:rPr>
          <w:rFonts w:ascii="Verdana" w:hAnsi="Verdana"/>
          <w:sz w:val="16"/>
          <w:szCs w:val="16"/>
          <w:lang w:val="es-CL"/>
        </w:rPr>
        <w:t>Ixmatá</w:t>
      </w:r>
      <w:proofErr w:type="spellEnd"/>
      <w:r w:rsidRPr="00C62A4E">
        <w:rPr>
          <w:rFonts w:ascii="Verdana" w:hAnsi="Verdana"/>
          <w:sz w:val="16"/>
          <w:szCs w:val="16"/>
          <w:lang w:val="es-CL"/>
        </w:rPr>
        <w:t xml:space="preserve"> y miembros del Ejército en el Municipio de Nuevo San Carlos, Departamento de Retalhuleu. En dicho enfrentamiento fue capturado Efraín </w:t>
      </w:r>
      <w:proofErr w:type="spellStart"/>
      <w:r w:rsidRPr="00C62A4E">
        <w:rPr>
          <w:rFonts w:ascii="Verdana" w:hAnsi="Verdana"/>
          <w:sz w:val="16"/>
          <w:szCs w:val="16"/>
          <w:lang w:val="es-CL"/>
        </w:rPr>
        <w:t>Bámaca</w:t>
      </w:r>
      <w:proofErr w:type="spellEnd"/>
      <w:r w:rsidRPr="00C62A4E">
        <w:rPr>
          <w:rFonts w:ascii="Verdana" w:hAnsi="Verdana"/>
          <w:sz w:val="16"/>
          <w:szCs w:val="16"/>
          <w:lang w:val="es-CL"/>
        </w:rPr>
        <w:t xml:space="preserve"> Velásquez.  Los captores trasladaron a Efraín </w:t>
      </w:r>
      <w:proofErr w:type="spellStart"/>
      <w:r w:rsidRPr="00C62A4E">
        <w:rPr>
          <w:rFonts w:ascii="Verdana" w:hAnsi="Verdana"/>
          <w:sz w:val="16"/>
          <w:szCs w:val="16"/>
          <w:lang w:val="es-CL"/>
        </w:rPr>
        <w:t>Bámaca</w:t>
      </w:r>
      <w:proofErr w:type="spellEnd"/>
      <w:r w:rsidRPr="00C62A4E">
        <w:rPr>
          <w:rFonts w:ascii="Verdana" w:hAnsi="Verdana"/>
          <w:sz w:val="16"/>
          <w:szCs w:val="16"/>
          <w:lang w:val="es-CL"/>
        </w:rPr>
        <w:t xml:space="preserve"> Velásquez, quien estaba herido, a un destacamento militar. Durante su reclusión en dicho centro, permaneció atado y con los ojos vendados, y fue sometido a numerosos maltratos durante su interrogatorio. La última vez que fue visto el señor </w:t>
      </w:r>
      <w:proofErr w:type="spellStart"/>
      <w:r w:rsidRPr="00C62A4E">
        <w:rPr>
          <w:rFonts w:ascii="Verdana" w:hAnsi="Verdana"/>
          <w:sz w:val="16"/>
          <w:szCs w:val="16"/>
          <w:lang w:val="es-CL"/>
        </w:rPr>
        <w:t>Bámaca</w:t>
      </w:r>
      <w:proofErr w:type="spellEnd"/>
      <w:r w:rsidRPr="00C62A4E">
        <w:rPr>
          <w:rFonts w:ascii="Verdana" w:hAnsi="Verdana"/>
          <w:sz w:val="16"/>
          <w:szCs w:val="16"/>
          <w:lang w:val="es-CL"/>
        </w:rPr>
        <w:t xml:space="preserve"> Velásquez se encontraba en la enfermería de una base militar atado a una cama de metal. Como resultado de los hechos del presente caso, se iniciaron varios procesos judiciales. No obstante, no se realizaron mayores investigaciones ni se sancionaron a los responsables.</w:t>
      </w:r>
      <w:r w:rsidR="009B0099" w:rsidRPr="00C62A4E">
        <w:rPr>
          <w:rFonts w:ascii="Verdana" w:hAnsi="Verdana"/>
          <w:sz w:val="16"/>
          <w:szCs w:val="16"/>
          <w:lang w:val="es-CL"/>
        </w:rPr>
        <w:t xml:space="preserve"> La corte estableció la responsabilidad internacional del Estado por violación de los siguientes derechos convencionales: Artículo 1 (Obligación de respetar los derechos.) , Artículo 25 (Protección Judicial) , Artículo 3 (Derecho al reconocimiento de la personalidad jurídica) , Artículo 4 (Derecho a la vida) , Artículo 5 (Derecho a la Integridad Personal) , Artículo 7 (Derecho a la libertad personal) , Artículo 8 (Garantías Judiciales).</w:t>
      </w:r>
    </w:p>
    <w:p w14:paraId="12A84EFB" w14:textId="77777777" w:rsidR="009B0099" w:rsidRPr="00C62A4E" w:rsidRDefault="009B0099" w:rsidP="00C62A4E">
      <w:pPr>
        <w:pStyle w:val="Textonotapie"/>
        <w:rPr>
          <w:rFonts w:ascii="Verdana" w:hAnsi="Verdana"/>
          <w:sz w:val="16"/>
          <w:szCs w:val="16"/>
          <w:lang w:val="es-CL"/>
        </w:rPr>
      </w:pPr>
    </w:p>
  </w:footnote>
  <w:footnote w:id="29">
    <w:p w14:paraId="78C7E931" w14:textId="4B9369F7" w:rsidR="0094754F" w:rsidRPr="00C62A4E" w:rsidRDefault="0094754F" w:rsidP="00C62A4E">
      <w:pPr>
        <w:pStyle w:val="Textonotapie"/>
        <w:rPr>
          <w:rFonts w:ascii="Verdana" w:hAnsi="Verdana"/>
          <w:sz w:val="16"/>
          <w:szCs w:val="16"/>
          <w:lang w:val="es-CL"/>
        </w:rPr>
      </w:pPr>
      <w:r w:rsidRPr="00C62A4E">
        <w:rPr>
          <w:rStyle w:val="Refdenotaalpie"/>
          <w:rFonts w:ascii="Verdana" w:hAnsi="Verdana"/>
          <w:sz w:val="16"/>
          <w:szCs w:val="16"/>
        </w:rPr>
        <w:footnoteRef/>
      </w:r>
      <w:r w:rsidR="00B305AC" w:rsidRPr="00C62A4E">
        <w:rPr>
          <w:rFonts w:ascii="Verdana" w:hAnsi="Verdana"/>
          <w:sz w:val="16"/>
          <w:szCs w:val="16"/>
          <w:lang w:val="es-CL"/>
        </w:rPr>
        <w:t xml:space="preserve"> El caso se refiere a la responsabilidad internacional del Estado por la detención ilegal y arbitraria de Luis Cantoral Benavides, los actos de tortura durante su encarcelamiento, y la falta de investigación y sanción de los responsables sobre lo sucedido. La Corte estableció la responsabilidad internacional del Estado por violación de los siguientes derechos convencionales: Artículo 1 (Obligación de respetar los derechos.) , Artículo 2 (Deber de adoptar disposiciones de derecho interno) , Artículo 25 (Protección Judicial) , Artículo 5 (Derecho a la Integridad Personal) , Artículo 7 (Derecho a la libertad personal) , Artículo 8 (Garantías Judiciales) , Artículo 9 (Principio de legalidad y de retroactividad).</w:t>
      </w:r>
    </w:p>
    <w:p w14:paraId="715502F1" w14:textId="77777777" w:rsidR="00A056EF" w:rsidRPr="00C62A4E" w:rsidRDefault="00A056EF" w:rsidP="00C62A4E">
      <w:pPr>
        <w:pStyle w:val="Textonotapie"/>
        <w:rPr>
          <w:rFonts w:ascii="Verdana" w:hAnsi="Verdana"/>
          <w:sz w:val="16"/>
          <w:szCs w:val="16"/>
          <w:lang w:val="es-CL"/>
        </w:rPr>
      </w:pPr>
    </w:p>
  </w:footnote>
  <w:footnote w:id="30">
    <w:p w14:paraId="00F2FAE6" w14:textId="18F0267A" w:rsidR="00A056EF" w:rsidRPr="00C62A4E" w:rsidRDefault="00A056EF" w:rsidP="00C62A4E">
      <w:pPr>
        <w:pStyle w:val="Textonotapie"/>
        <w:rPr>
          <w:rFonts w:ascii="Verdana" w:hAnsi="Verdana" w:cstheme="minorHAnsi"/>
          <w:sz w:val="16"/>
          <w:szCs w:val="16"/>
          <w:lang w:val="es-CL"/>
        </w:rPr>
      </w:pPr>
      <w:r w:rsidRPr="00C62A4E">
        <w:rPr>
          <w:rStyle w:val="Refdenotaalpie"/>
          <w:rFonts w:ascii="Verdana" w:hAnsi="Verdana" w:cstheme="minorHAnsi"/>
          <w:sz w:val="16"/>
          <w:szCs w:val="16"/>
        </w:rPr>
        <w:footnoteRef/>
      </w:r>
      <w:r w:rsidRPr="00C62A4E">
        <w:rPr>
          <w:rFonts w:ascii="Verdana" w:hAnsi="Verdana" w:cstheme="minorHAnsi"/>
          <w:sz w:val="16"/>
          <w:szCs w:val="16"/>
          <w:lang w:val="es-CL"/>
        </w:rPr>
        <w:t xml:space="preserve"> El caso se refiere a la responsabilidad internacional del Estado por la utilización excesiva de la fuerza que resultó en la muerte de decenas de presos, así como de numerosos heridos en el marco de un operativo en el centro penitenciario Miguel Castro </w:t>
      </w:r>
      <w:proofErr w:type="spellStart"/>
      <w:r w:rsidRPr="00C62A4E">
        <w:rPr>
          <w:rFonts w:ascii="Verdana" w:hAnsi="Verdana" w:cstheme="minorHAnsi"/>
          <w:sz w:val="16"/>
          <w:szCs w:val="16"/>
          <w:lang w:val="es-CL"/>
        </w:rPr>
        <w:t>Castro</w:t>
      </w:r>
      <w:proofErr w:type="spellEnd"/>
      <w:r w:rsidRPr="00C62A4E">
        <w:rPr>
          <w:rFonts w:ascii="Verdana" w:hAnsi="Verdana" w:cstheme="minorHAnsi"/>
          <w:sz w:val="16"/>
          <w:szCs w:val="16"/>
          <w:lang w:val="es-CL"/>
        </w:rPr>
        <w:t>. La Corte determinó la violación de los siguientes derechos: Artículo 1 (Obligación de respetar los derechos), Artículo 11 (Derecho a la honra y dignidad), Artículo 12 (Libertad de conciencia y de religión), Artículo 13 (Libertad de pensamiento y expresión), Artículo 25 (Protección Judicial), Artículo 4 (Derecho a la vida), Artículo 5 (Derecho a la Integridad Personal), Artículo 7 (Derecho a la libertad personal), Artículo 8 (Garantías Judiciales).</w:t>
      </w:r>
    </w:p>
    <w:p w14:paraId="5000D90B" w14:textId="77777777" w:rsidR="00A056EF" w:rsidRPr="00C62A4E" w:rsidRDefault="00A056EF" w:rsidP="00C62A4E">
      <w:pPr>
        <w:pStyle w:val="Textonotapie"/>
        <w:rPr>
          <w:rFonts w:ascii="Verdana" w:hAnsi="Verdana" w:cstheme="minorHAnsi"/>
          <w:sz w:val="16"/>
          <w:szCs w:val="16"/>
          <w:lang w:val="es-CL"/>
        </w:rPr>
      </w:pPr>
    </w:p>
  </w:footnote>
  <w:footnote w:id="31">
    <w:p w14:paraId="173985C7" w14:textId="77777777" w:rsidR="00BD210B" w:rsidRPr="00C62A4E" w:rsidRDefault="00BD210B"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30 de agosto de 2010 la Corte Interamericana de Derechos Humanos declare, par unanimidad, que el Estado de </w:t>
      </w:r>
      <w:proofErr w:type="spellStart"/>
      <w:r w:rsidRPr="00C62A4E">
        <w:rPr>
          <w:rFonts w:ascii="Verdana" w:hAnsi="Verdana"/>
          <w:sz w:val="16"/>
          <w:szCs w:val="16"/>
          <w:lang w:val="es-CL"/>
        </w:rPr>
        <w:t>Mexico</w:t>
      </w:r>
      <w:proofErr w:type="spellEnd"/>
      <w:r w:rsidRPr="00C62A4E">
        <w:rPr>
          <w:rFonts w:ascii="Verdana" w:hAnsi="Verdana"/>
          <w:sz w:val="16"/>
          <w:szCs w:val="16"/>
          <w:lang w:val="es-CL"/>
        </w:rPr>
        <w:t xml:space="preserve"> result6 internacionalmente responsable par la violaci6n de las derechos a la integridad personal, a la dignidad, a la vida privada,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protecci6n judicial en perjuicio de la </w:t>
      </w:r>
      <w:proofErr w:type="spellStart"/>
      <w:r w:rsidRPr="00C62A4E">
        <w:rPr>
          <w:rFonts w:ascii="Verdana" w:hAnsi="Verdana"/>
          <w:sz w:val="16"/>
          <w:szCs w:val="16"/>
          <w:lang w:val="es-CL"/>
        </w:rPr>
        <w:t>senora</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Ines</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Fernandez</w:t>
      </w:r>
      <w:proofErr w:type="spellEnd"/>
      <w:r w:rsidRPr="00C62A4E">
        <w:rPr>
          <w:rFonts w:ascii="Verdana" w:hAnsi="Verdana"/>
          <w:sz w:val="16"/>
          <w:szCs w:val="16"/>
          <w:lang w:val="es-CL"/>
        </w:rPr>
        <w:t xml:space="preserve"> Ortega. Asimismo, el Estado result6 responsable de la violaci6n de las derechos a la integridad personal y a la vida privada en perjuicio </w:t>
      </w:r>
      <w:proofErr w:type="spellStart"/>
      <w:r w:rsidRPr="00C62A4E">
        <w:rPr>
          <w:rFonts w:ascii="Verdana" w:hAnsi="Verdana"/>
          <w:sz w:val="16"/>
          <w:szCs w:val="16"/>
          <w:lang w:val="es-CL"/>
        </w:rPr>
        <w:t>def</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Prisciliano Sierra y de </w:t>
      </w:r>
      <w:proofErr w:type="spellStart"/>
      <w:r w:rsidRPr="00C62A4E">
        <w:rPr>
          <w:rFonts w:ascii="Verdana" w:hAnsi="Verdana"/>
          <w:sz w:val="16"/>
          <w:szCs w:val="16"/>
          <w:lang w:val="es-CL"/>
        </w:rPr>
        <w:t>Noemi</w:t>
      </w:r>
      <w:proofErr w:type="spellEnd"/>
      <w:r w:rsidRPr="00C62A4E">
        <w:rPr>
          <w:rFonts w:ascii="Verdana" w:hAnsi="Verdana"/>
          <w:sz w:val="16"/>
          <w:szCs w:val="16"/>
          <w:lang w:val="es-CL"/>
        </w:rPr>
        <w:t xml:space="preserve">, Ana Luz, Colosio y </w:t>
      </w:r>
      <w:proofErr w:type="spellStart"/>
      <w:r w:rsidRPr="00C62A4E">
        <w:rPr>
          <w:rFonts w:ascii="Verdana" w:hAnsi="Verdana"/>
          <w:sz w:val="16"/>
          <w:szCs w:val="16"/>
          <w:lang w:val="es-CL"/>
        </w:rPr>
        <w:t>Nelida</w:t>
      </w:r>
      <w:proofErr w:type="spellEnd"/>
      <w:r w:rsidRPr="00C62A4E">
        <w:rPr>
          <w:rFonts w:ascii="Verdana" w:hAnsi="Verdana"/>
          <w:sz w:val="16"/>
          <w:szCs w:val="16"/>
          <w:lang w:val="es-CL"/>
        </w:rPr>
        <w:t xml:space="preserve">, todos ellos de apellidos Prisciliano </w:t>
      </w:r>
      <w:proofErr w:type="spellStart"/>
      <w:r w:rsidRPr="00C62A4E">
        <w:rPr>
          <w:rFonts w:ascii="Verdana" w:hAnsi="Verdana"/>
          <w:sz w:val="16"/>
          <w:szCs w:val="16"/>
          <w:lang w:val="es-CL"/>
        </w:rPr>
        <w:t>Fernandez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coma par la violaci6n de la integridad personal de </w:t>
      </w:r>
      <w:proofErr w:type="spellStart"/>
      <w:r w:rsidRPr="00C62A4E">
        <w:rPr>
          <w:rFonts w:ascii="Verdana" w:hAnsi="Verdana"/>
          <w:sz w:val="16"/>
          <w:szCs w:val="16"/>
          <w:lang w:val="es-CL"/>
        </w:rPr>
        <w:t>Neftali</w:t>
      </w:r>
      <w:proofErr w:type="spellEnd"/>
      <w:r w:rsidRPr="00C62A4E">
        <w:rPr>
          <w:rFonts w:ascii="Verdana" w:hAnsi="Verdana"/>
          <w:sz w:val="16"/>
          <w:szCs w:val="16"/>
          <w:lang w:val="es-CL"/>
        </w:rPr>
        <w:t xml:space="preserve"> Prisciliano Sierra.  </w:t>
      </w:r>
    </w:p>
  </w:footnote>
  <w:footnote w:id="32">
    <w:p w14:paraId="19BB38BC" w14:textId="4122B78C" w:rsidR="00A869F1" w:rsidRPr="00C62A4E" w:rsidRDefault="00A869F1"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31 de agosto de 2010 la Corte Interamericana de Derechos Humanos declaró, por unanimidad, que el Estado de </w:t>
      </w:r>
      <w:proofErr w:type="spellStart"/>
      <w:r w:rsidRPr="00C62A4E">
        <w:rPr>
          <w:rFonts w:ascii="Verdana" w:hAnsi="Verdana"/>
          <w:sz w:val="16"/>
          <w:szCs w:val="16"/>
          <w:lang w:val="es-CL"/>
        </w:rPr>
        <w:t>Mexico</w:t>
      </w:r>
      <w:proofErr w:type="spellEnd"/>
      <w:r w:rsidRPr="00C62A4E">
        <w:rPr>
          <w:rFonts w:ascii="Verdana" w:hAnsi="Verdana"/>
          <w:sz w:val="16"/>
          <w:szCs w:val="16"/>
          <w:lang w:val="es-CL"/>
        </w:rPr>
        <w:t xml:space="preserve"> resultó internacionalmente responsable por la violación de los derechos a la integridad personal, a la dignidad, a la vida privada, a los derechos </w:t>
      </w:r>
      <w:proofErr w:type="spellStart"/>
      <w:r w:rsidRPr="00C62A4E">
        <w:rPr>
          <w:rFonts w:ascii="Verdana" w:hAnsi="Verdana"/>
          <w:sz w:val="16"/>
          <w:szCs w:val="16"/>
          <w:lang w:val="es-CL"/>
        </w:rPr>
        <w:t>def</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nino</w:t>
      </w:r>
      <w:proofErr w:type="spellEnd"/>
      <w:r w:rsidRPr="00C62A4E">
        <w:rPr>
          <w:rFonts w:ascii="Verdana" w:hAnsi="Verdana"/>
          <w:sz w:val="16"/>
          <w:szCs w:val="16"/>
          <w:lang w:val="es-CL"/>
        </w:rPr>
        <w:t xml:space="preserve">,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protección judicial en perjuicio de la señora Rosendo </w:t>
      </w:r>
      <w:proofErr w:type="spellStart"/>
      <w:r w:rsidRPr="00C62A4E">
        <w:rPr>
          <w:rFonts w:ascii="Verdana" w:hAnsi="Verdana"/>
          <w:sz w:val="16"/>
          <w:szCs w:val="16"/>
          <w:lang w:val="es-CL"/>
        </w:rPr>
        <w:t>Cantu</w:t>
      </w:r>
      <w:proofErr w:type="spellEnd"/>
      <w:r w:rsidRPr="00C62A4E">
        <w:rPr>
          <w:rFonts w:ascii="Verdana" w:hAnsi="Verdana"/>
          <w:sz w:val="16"/>
          <w:szCs w:val="16"/>
          <w:lang w:val="es-CL"/>
        </w:rPr>
        <w:t xml:space="preserve">. Asimismo, el Estado resultó responsable por la violación del derecho a la integridad personal en perjuicio de </w:t>
      </w:r>
      <w:proofErr w:type="spellStart"/>
      <w:r w:rsidRPr="00C62A4E">
        <w:rPr>
          <w:rFonts w:ascii="Verdana" w:hAnsi="Verdana"/>
          <w:sz w:val="16"/>
          <w:szCs w:val="16"/>
          <w:lang w:val="es-CL"/>
        </w:rPr>
        <w:t>Yenys</w:t>
      </w:r>
      <w:proofErr w:type="spellEnd"/>
      <w:r w:rsidRPr="00C62A4E">
        <w:rPr>
          <w:rFonts w:ascii="Verdana" w:hAnsi="Verdana"/>
          <w:sz w:val="16"/>
          <w:szCs w:val="16"/>
          <w:lang w:val="es-CL"/>
        </w:rPr>
        <w:t xml:space="preserve"> Bernardino Rosendo, hija de la </w:t>
      </w:r>
      <w:proofErr w:type="spellStart"/>
      <w:r w:rsidRPr="00C62A4E">
        <w:rPr>
          <w:rFonts w:ascii="Verdana" w:hAnsi="Verdana"/>
          <w:sz w:val="16"/>
          <w:szCs w:val="16"/>
          <w:lang w:val="es-CL"/>
        </w:rPr>
        <w:t>senora</w:t>
      </w:r>
      <w:proofErr w:type="spellEnd"/>
      <w:r w:rsidRPr="00C62A4E">
        <w:rPr>
          <w:rFonts w:ascii="Verdana" w:hAnsi="Verdana"/>
          <w:sz w:val="16"/>
          <w:szCs w:val="16"/>
          <w:lang w:val="es-CL"/>
        </w:rPr>
        <w:t xml:space="preserve"> Rosendo </w:t>
      </w:r>
      <w:proofErr w:type="spellStart"/>
      <w:r w:rsidRPr="00C62A4E">
        <w:rPr>
          <w:rFonts w:ascii="Verdana" w:hAnsi="Verdana"/>
          <w:sz w:val="16"/>
          <w:szCs w:val="16"/>
          <w:lang w:val="es-CL"/>
        </w:rPr>
        <w:t>Cantu</w:t>
      </w:r>
      <w:proofErr w:type="spellEnd"/>
      <w:r w:rsidRPr="00C62A4E">
        <w:rPr>
          <w:rFonts w:ascii="Verdana" w:hAnsi="Verdana"/>
          <w:sz w:val="16"/>
          <w:szCs w:val="16"/>
          <w:lang w:val="es-CL"/>
        </w:rPr>
        <w:t xml:space="preserve">. </w:t>
      </w:r>
    </w:p>
    <w:p w14:paraId="6BE858D6" w14:textId="77777777" w:rsidR="004B653C" w:rsidRPr="00C62A4E" w:rsidRDefault="004B653C" w:rsidP="00C62A4E">
      <w:pPr>
        <w:pStyle w:val="Textonotapie"/>
        <w:rPr>
          <w:rFonts w:ascii="Verdana" w:hAnsi="Verdana"/>
          <w:sz w:val="16"/>
          <w:szCs w:val="16"/>
          <w:lang w:val="es-CL"/>
        </w:rPr>
      </w:pPr>
    </w:p>
  </w:footnote>
  <w:footnote w:id="33">
    <w:p w14:paraId="640FAC63" w14:textId="63C3541F" w:rsidR="004B653C" w:rsidRPr="00C62A4E" w:rsidRDefault="004B653C"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20 de noviembre de 2014 la Corte Interamericana de Derechos Humanos dictó Sentencia, mediante la cual declaró responsable internacionalmente al Estado del Perú por la violación de los derechos a la libertad personal, integridad personal, protección de la honra y dignidad, garantías judiciales y protección judicial, así como por el incumplimiento del deber de no discriminar, todos en perjuicio de Gladys Carol Espinoza Gonzáles. Además, declaró la responsabilidad del Perú por la violación del derecho a la integridad personal de Teodora Gonzáles de Espinoza y Manuel Espinoza Gonzáles, madre y hermano de Gladys Espinoza. La Corte estableció la responsabilidad internacional del Estado por la violación de los siguientes derechos convencionales: Artículo 1 (Obligación de respetar los derechos), Artículo 25 (Protección Judicial), Artículo 5 (Derecho a la Integridad Personal), Artículo 7 (Derecho a la libertad personal), Artículo 8 (Garantías Judiciales).</w:t>
      </w:r>
    </w:p>
    <w:p w14:paraId="577F06C5" w14:textId="77777777" w:rsidR="0044235D" w:rsidRPr="00C62A4E" w:rsidRDefault="0044235D" w:rsidP="00C62A4E">
      <w:pPr>
        <w:pStyle w:val="Textonotapie"/>
        <w:rPr>
          <w:rFonts w:ascii="Verdana" w:hAnsi="Verdana"/>
          <w:sz w:val="16"/>
          <w:szCs w:val="16"/>
          <w:lang w:val="es-CL"/>
        </w:rPr>
      </w:pPr>
    </w:p>
  </w:footnote>
  <w:footnote w:id="34">
    <w:p w14:paraId="4035370B" w14:textId="77777777" w:rsidR="0094754F" w:rsidRPr="00C62A4E" w:rsidRDefault="0094754F"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5 de febrero de 2018 la Corte Interamericana de Derechos Humanos dictó una Sentencia mediante la cual declaró responsable internacionalmente al Estado brasileño por la violación del derecho a la garantía judicial de plazo razonable, previsto en el artículo 8.1 de la Convención Americana sobre Derechos Humanos, así como la violación de los derechos a la protección judicial y a la propiedad colectiva, previstos en los artículos 25 y 21 de la Convención Americana, en perjuicio del Pueblo Indígena </w:t>
      </w:r>
      <w:proofErr w:type="spellStart"/>
      <w:r w:rsidRPr="00C62A4E">
        <w:rPr>
          <w:rFonts w:ascii="Verdana" w:hAnsi="Verdana"/>
          <w:sz w:val="16"/>
          <w:szCs w:val="16"/>
          <w:lang w:val="es-CL"/>
        </w:rPr>
        <w:t>Xucuru</w:t>
      </w:r>
      <w:proofErr w:type="spellEnd"/>
      <w:r w:rsidRPr="00C62A4E">
        <w:rPr>
          <w:rFonts w:ascii="Verdana" w:hAnsi="Verdana"/>
          <w:sz w:val="16"/>
          <w:szCs w:val="16"/>
          <w:lang w:val="es-CL"/>
        </w:rPr>
        <w:t xml:space="preserve"> y sus miembros. Además, la Corte consideró que el Estado no es responsable de la violación del deber de adoptar disposiciones de derecho interno, previsto en el artículo 2 de la Convención Americana, ni de la violación del derecho a la integridad personal, previsto en el artículo 5.1 de la misma Convención. Por último, la Corte ordenó al Estado la adopción de diversas medidas de reparación.</w:t>
      </w:r>
    </w:p>
  </w:footnote>
  <w:footnote w:id="35">
    <w:p w14:paraId="4D38E0FB" w14:textId="7DF8C42E" w:rsidR="00482232" w:rsidRPr="00C62A4E" w:rsidRDefault="00482232"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 detención arbitraria y tortura en perjuicio de Maritza </w:t>
      </w:r>
      <w:proofErr w:type="spellStart"/>
      <w:r w:rsidRPr="00C62A4E">
        <w:rPr>
          <w:rFonts w:ascii="Verdana" w:hAnsi="Verdana"/>
          <w:sz w:val="16"/>
          <w:szCs w:val="16"/>
          <w:lang w:val="es-CL"/>
        </w:rPr>
        <w:t>Ninette</w:t>
      </w:r>
      <w:proofErr w:type="spellEnd"/>
      <w:r w:rsidRPr="00C62A4E">
        <w:rPr>
          <w:rFonts w:ascii="Verdana" w:hAnsi="Verdana"/>
          <w:sz w:val="16"/>
          <w:szCs w:val="16"/>
          <w:lang w:val="es-CL"/>
        </w:rPr>
        <w:t xml:space="preserve"> Urrutia García por parte de miembros de la Inteligencia del Ejército, así como por la falta de investigación y sanción de los responsables. La Corte estableció la responsabilidad internacional del Estado por violaciones de los siguientes derechos convencionales: Artículo 1 (Obligación de respetar los derechos.) , Artículo 11 (Derecho a la honra y dignidad) , Artículo 13 (Libertad de pensamiento y expresión) , Artículo 19 (Derecho de niño) , Artículo 25 (Protección Judicial) , Artículo 5 (Derecho a la Integridad Personal) , Artículo 7 (Derecho a la libertad personal) , Artículo 8 (Garantías Judiciales).</w:t>
      </w:r>
    </w:p>
  </w:footnote>
  <w:footnote w:id="36">
    <w:p w14:paraId="442F39F6" w14:textId="77777777" w:rsidR="00482232" w:rsidRPr="00C62A4E" w:rsidRDefault="00482232"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27 de noviembre de 2013 la Corte Interamericana de Derechos Humanos emitió su sentencia sobre la excepción preliminar, fondo, reparaciones y costas en el presente caso, en la cual desestimó la excepción preliminar planteada por el Estado y declaró, por unanimidad, que el Estado es responsable por la violación del derecho a la libertad personal, de las garantías judiciales, de los derechos a la integridad personal, a la dignidad y a la vida privada, así como del incumplimiento de su obligación de garantizar dichos derechos, a través de una investigación efectiva de los hechos, en perjuicio de la señora J.</w:t>
      </w:r>
    </w:p>
  </w:footnote>
  <w:footnote w:id="37">
    <w:p w14:paraId="6B37810E" w14:textId="77777777" w:rsidR="005821EA" w:rsidRPr="00C62A4E" w:rsidRDefault="005821EA"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24 de junio de 2020 la Corte Interamericana de Derechos Humanos dictó una Sentencia mediante la cual declaró la responsabilidad internacional del Estado de Ecuador por: (i) la violencia sexual sufrida por la adolescente Paola del Rosario Guzmán Albarracín en el ámbito educativo estatal, cometida por el Vicerrector del colegio al que asistía, que tuvo relación con el suicido de la niña; (ii) la violación de las garantías judiciales y del derecho a la protección judicial, en relación con el derecho a la igualdad ante la ley, en perjuicio de la madre y la hermana de Paola, </w:t>
      </w:r>
      <w:proofErr w:type="spellStart"/>
      <w:r w:rsidRPr="00C62A4E">
        <w:rPr>
          <w:rFonts w:ascii="Verdana" w:hAnsi="Verdana"/>
          <w:sz w:val="16"/>
          <w:szCs w:val="16"/>
          <w:lang w:val="es-CL"/>
        </w:rPr>
        <w:t>Petita</w:t>
      </w:r>
      <w:proofErr w:type="spellEnd"/>
      <w:r w:rsidRPr="00C62A4E">
        <w:rPr>
          <w:rFonts w:ascii="Verdana" w:hAnsi="Verdana"/>
          <w:sz w:val="16"/>
          <w:szCs w:val="16"/>
          <w:lang w:val="es-CL"/>
        </w:rPr>
        <w:t xml:space="preserve"> Paulina Albarracín Albán y Denisse Selena Guzmán Albarracín, y (iii) la violación del derecho a la integridad personal de las últimas dos personas nombradas.</w:t>
      </w:r>
    </w:p>
  </w:footnote>
  <w:footnote w:id="38">
    <w:p w14:paraId="7DC48A6E" w14:textId="70ADA0A6" w:rsidR="005821EA" w:rsidRPr="00C62A4E" w:rsidRDefault="005821EA"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26 de agosto de 2021 la Corte Interamericana de Derechos Humanos dictó una Sentencia mediante la cual declaró la responsabilidad internacional del Estado de Colombia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la integridad personal, libertad personal, honra y dignidad y libertad de pensamiento y </w:t>
      </w:r>
      <w:proofErr w:type="spellStart"/>
      <w:r w:rsidRPr="00C62A4E">
        <w:rPr>
          <w:rFonts w:ascii="Verdana" w:hAnsi="Verdana"/>
          <w:sz w:val="16"/>
          <w:szCs w:val="16"/>
          <w:lang w:val="es-CL"/>
        </w:rPr>
        <w:t>expresión</w:t>
      </w:r>
      <w:proofErr w:type="spellEnd"/>
      <w:r w:rsidRPr="00C62A4E">
        <w:rPr>
          <w:rFonts w:ascii="Verdana" w:hAnsi="Verdana"/>
          <w:sz w:val="16"/>
          <w:szCs w:val="16"/>
          <w:lang w:val="es-CL"/>
        </w:rPr>
        <w:t xml:space="preserve"> en perjuicio de la periodista </w:t>
      </w:r>
      <w:proofErr w:type="spellStart"/>
      <w:r w:rsidRPr="00C62A4E">
        <w:rPr>
          <w:rFonts w:ascii="Verdana" w:hAnsi="Verdana"/>
          <w:sz w:val="16"/>
          <w:szCs w:val="16"/>
          <w:lang w:val="es-CL"/>
        </w:rPr>
        <w:t>Jineth</w:t>
      </w:r>
      <w:proofErr w:type="spellEnd"/>
      <w:r w:rsidRPr="00C62A4E">
        <w:rPr>
          <w:rFonts w:ascii="Verdana" w:hAnsi="Verdana"/>
          <w:sz w:val="16"/>
          <w:szCs w:val="16"/>
          <w:lang w:val="es-CL"/>
        </w:rPr>
        <w:t xml:space="preserve"> Bedoya Lima, como resultado de los hechos ocurridos el 25 de mayo de 2000, cuando la </w:t>
      </w:r>
      <w:proofErr w:type="spellStart"/>
      <w:r w:rsidRPr="00C62A4E">
        <w:rPr>
          <w:rFonts w:ascii="Verdana" w:hAnsi="Verdana"/>
          <w:sz w:val="16"/>
          <w:szCs w:val="16"/>
          <w:lang w:val="es-CL"/>
        </w:rPr>
        <w:t>señora</w:t>
      </w:r>
      <w:proofErr w:type="spellEnd"/>
      <w:r w:rsidRPr="00C62A4E">
        <w:rPr>
          <w:rFonts w:ascii="Verdana" w:hAnsi="Verdana"/>
          <w:sz w:val="16"/>
          <w:szCs w:val="16"/>
          <w:lang w:val="es-CL"/>
        </w:rPr>
        <w:t xml:space="preserve"> Bedoya fue interceptada y secuestrada a las puertas de la </w:t>
      </w:r>
      <w:proofErr w:type="spellStart"/>
      <w:r w:rsidRPr="00C62A4E">
        <w:rPr>
          <w:rFonts w:ascii="Verdana" w:hAnsi="Verdana"/>
          <w:sz w:val="16"/>
          <w:szCs w:val="16"/>
          <w:lang w:val="es-CL"/>
        </w:rPr>
        <w:t>Cárcel</w:t>
      </w:r>
      <w:proofErr w:type="spellEnd"/>
      <w:r w:rsidRPr="00C62A4E">
        <w:rPr>
          <w:rFonts w:ascii="Verdana" w:hAnsi="Verdana"/>
          <w:sz w:val="16"/>
          <w:szCs w:val="16"/>
          <w:lang w:val="es-CL"/>
        </w:rPr>
        <w:t xml:space="preserve"> La Modelo por paramilitares y sometida durante las aproximadamente 10 horas que duró dicho secuestro a un trato vejatorio y extremadamente violento, durante el cual </w:t>
      </w:r>
      <w:proofErr w:type="spellStart"/>
      <w:r w:rsidRPr="00C62A4E">
        <w:rPr>
          <w:rFonts w:ascii="Verdana" w:hAnsi="Verdana"/>
          <w:sz w:val="16"/>
          <w:szCs w:val="16"/>
          <w:lang w:val="es-CL"/>
        </w:rPr>
        <w:t>sufrio</w:t>
      </w:r>
      <w:proofErr w:type="spellEnd"/>
      <w:r w:rsidRPr="00C62A4E">
        <w:rPr>
          <w:rFonts w:ascii="Verdana" w:hAnsi="Verdana"/>
          <w:sz w:val="16"/>
          <w:szCs w:val="16"/>
          <w:lang w:val="es-CL"/>
        </w:rPr>
        <w:t xml:space="preserve">́ graves agresiones verbales y </w:t>
      </w:r>
      <w:proofErr w:type="spellStart"/>
      <w:r w:rsidRPr="00C62A4E">
        <w:rPr>
          <w:rFonts w:ascii="Verdana" w:hAnsi="Verdana"/>
          <w:sz w:val="16"/>
          <w:szCs w:val="16"/>
          <w:lang w:val="es-CL"/>
        </w:rPr>
        <w:t>físicas</w:t>
      </w:r>
      <w:proofErr w:type="spellEnd"/>
      <w:r w:rsidRPr="00C62A4E">
        <w:rPr>
          <w:rFonts w:ascii="Verdana" w:hAnsi="Verdana"/>
          <w:sz w:val="16"/>
          <w:szCs w:val="16"/>
          <w:lang w:val="es-CL"/>
        </w:rPr>
        <w:t xml:space="preserve">, dentro de las que se incluye una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sexual por parte de varios de los secuestradores. Asimismo, se declaró la responsabilidad internacional del Estado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protección judicial e igualdad ante la ley por la falta de debida diligencia en las investigaciones realizadas sobre dichos hechos, el </w:t>
      </w:r>
      <w:proofErr w:type="spellStart"/>
      <w:r w:rsidRPr="00C62A4E">
        <w:rPr>
          <w:rFonts w:ascii="Verdana" w:hAnsi="Verdana"/>
          <w:sz w:val="16"/>
          <w:szCs w:val="16"/>
          <w:lang w:val="es-CL"/>
        </w:rPr>
        <w:t>carácter</w:t>
      </w:r>
      <w:proofErr w:type="spellEnd"/>
      <w:r w:rsidRPr="00C62A4E">
        <w:rPr>
          <w:rFonts w:ascii="Verdana" w:hAnsi="Verdana"/>
          <w:sz w:val="16"/>
          <w:szCs w:val="16"/>
          <w:lang w:val="es-CL"/>
        </w:rPr>
        <w:t xml:space="preserve"> discriminatorio en </w:t>
      </w:r>
      <w:proofErr w:type="spellStart"/>
      <w:r w:rsidRPr="00C62A4E">
        <w:rPr>
          <w:rFonts w:ascii="Verdana" w:hAnsi="Verdana"/>
          <w:sz w:val="16"/>
          <w:szCs w:val="16"/>
          <w:lang w:val="es-CL"/>
        </w:rPr>
        <w:t>razón</w:t>
      </w:r>
      <w:proofErr w:type="spellEnd"/>
      <w:r w:rsidRPr="00C62A4E">
        <w:rPr>
          <w:rFonts w:ascii="Verdana" w:hAnsi="Verdana"/>
          <w:sz w:val="16"/>
          <w:szCs w:val="16"/>
          <w:lang w:val="es-CL"/>
        </w:rPr>
        <w:t xml:space="preserve"> de </w:t>
      </w:r>
      <w:proofErr w:type="spellStart"/>
      <w:r w:rsidRPr="00C62A4E">
        <w:rPr>
          <w:rFonts w:ascii="Verdana" w:hAnsi="Verdana"/>
          <w:sz w:val="16"/>
          <w:szCs w:val="16"/>
          <w:lang w:val="es-CL"/>
        </w:rPr>
        <w:t>género</w:t>
      </w:r>
      <w:proofErr w:type="spellEnd"/>
      <w:r w:rsidRPr="00C62A4E">
        <w:rPr>
          <w:rFonts w:ascii="Verdana" w:hAnsi="Verdana"/>
          <w:sz w:val="16"/>
          <w:szCs w:val="16"/>
          <w:lang w:val="es-CL"/>
        </w:rPr>
        <w:t xml:space="preserve"> de dichas investigaciones y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del plazo razonable. Por otro lado, el Tribunal declaró la responsabilidad internacional del Estado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la integridad personal, honra y dignidad, libertad de pensamiento y </w:t>
      </w:r>
      <w:proofErr w:type="spellStart"/>
      <w:r w:rsidRPr="00C62A4E">
        <w:rPr>
          <w:rFonts w:ascii="Verdana" w:hAnsi="Verdana"/>
          <w:sz w:val="16"/>
          <w:szCs w:val="16"/>
          <w:lang w:val="es-CL"/>
        </w:rPr>
        <w:t>expresión</w:t>
      </w:r>
      <w:proofErr w:type="spellEnd"/>
      <w:r w:rsidRPr="00C62A4E">
        <w:rPr>
          <w:rFonts w:ascii="Verdana" w:hAnsi="Verdana"/>
          <w:sz w:val="16"/>
          <w:szCs w:val="16"/>
          <w:lang w:val="es-CL"/>
        </w:rPr>
        <w:t xml:space="preserve"> y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en perjuicio de la periodista por la ausencia de investigaciones sobre las amenazas que </w:t>
      </w:r>
      <w:proofErr w:type="spellStart"/>
      <w:r w:rsidRPr="00C62A4E">
        <w:rPr>
          <w:rFonts w:ascii="Verdana" w:hAnsi="Verdana"/>
          <w:sz w:val="16"/>
          <w:szCs w:val="16"/>
          <w:lang w:val="es-CL"/>
        </w:rPr>
        <w:t>recibio</w:t>
      </w:r>
      <w:proofErr w:type="spellEnd"/>
      <w:r w:rsidRPr="00C62A4E">
        <w:rPr>
          <w:rFonts w:ascii="Verdana" w:hAnsi="Verdana"/>
          <w:sz w:val="16"/>
          <w:szCs w:val="16"/>
          <w:lang w:val="es-CL"/>
        </w:rPr>
        <w:t xml:space="preserve">́ con </w:t>
      </w:r>
      <w:proofErr w:type="spellStart"/>
      <w:r w:rsidRPr="00C62A4E">
        <w:rPr>
          <w:rFonts w:ascii="Verdana" w:hAnsi="Verdana"/>
          <w:sz w:val="16"/>
          <w:szCs w:val="16"/>
          <w:lang w:val="es-CL"/>
        </w:rPr>
        <w:t>carácter</w:t>
      </w:r>
      <w:proofErr w:type="spellEnd"/>
      <w:r w:rsidRPr="00C62A4E">
        <w:rPr>
          <w:rFonts w:ascii="Verdana" w:hAnsi="Verdana"/>
          <w:sz w:val="16"/>
          <w:szCs w:val="16"/>
          <w:lang w:val="es-CL"/>
        </w:rPr>
        <w:t xml:space="preserve"> previo y de manera posterior a los referidos hechos de 25 de mayo de 2000. Finalmente, la Corte declaró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la integridad personal, honra y dignidad,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protección judicial en perjuicio de la madre de la </w:t>
      </w:r>
      <w:proofErr w:type="spellStart"/>
      <w:r w:rsidRPr="00C62A4E">
        <w:rPr>
          <w:rFonts w:ascii="Verdana" w:hAnsi="Verdana"/>
          <w:sz w:val="16"/>
          <w:szCs w:val="16"/>
          <w:lang w:val="es-CL"/>
        </w:rPr>
        <w:t>señora</w:t>
      </w:r>
      <w:proofErr w:type="spellEnd"/>
      <w:r w:rsidRPr="00C62A4E">
        <w:rPr>
          <w:rFonts w:ascii="Verdana" w:hAnsi="Verdana"/>
          <w:sz w:val="16"/>
          <w:szCs w:val="16"/>
          <w:lang w:val="es-CL"/>
        </w:rPr>
        <w:t xml:space="preserve"> Bedoya Lima, la </w:t>
      </w:r>
      <w:proofErr w:type="spellStart"/>
      <w:r w:rsidRPr="00C62A4E">
        <w:rPr>
          <w:rFonts w:ascii="Verdana" w:hAnsi="Verdana"/>
          <w:sz w:val="16"/>
          <w:szCs w:val="16"/>
          <w:lang w:val="es-CL"/>
        </w:rPr>
        <w:t>señora</w:t>
      </w:r>
      <w:proofErr w:type="spellEnd"/>
      <w:r w:rsidRPr="00C62A4E">
        <w:rPr>
          <w:rFonts w:ascii="Verdana" w:hAnsi="Verdana"/>
          <w:sz w:val="16"/>
          <w:szCs w:val="16"/>
          <w:lang w:val="es-CL"/>
        </w:rPr>
        <w:t xml:space="preserve"> Luz Nelly Lima.</w:t>
      </w:r>
    </w:p>
  </w:footnote>
  <w:footnote w:id="39">
    <w:p w14:paraId="58C33B1F" w14:textId="77777777" w:rsidR="003C49CE" w:rsidRPr="00C62A4E" w:rsidRDefault="003C49CE"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26 de septiembre de 2018 la Corte Interamericana de Derechos Humanos emitió una Sentencia, mediante la cual declaró responsable internacionalmente a la República Bolivariana de Venezuela por la violación de los derechos al reconocimiento de la personalidad jurídica, integridad personal, prohibición de la tortura y otros tratos crueles, inhumanos o degradantes, prohibición de la esclavitud, libertad personal, garantías judiciales, dignidad, autonomía y vida privada, circulación y residencia, igualdad ante la ley y protección judicial, en relación con las obligaciones de respetar y garantizar los derechos, de no discriminar, y de adoptar medidas de derecho interno, así como por el incumplimiento de las obligaciones derivadas del artículo 7 de la Convención Interamericana para Prevenir, Sancionar y Erradicar la Violencia contra la Mujer o Convención de Belém do Pará y de los artículos 1, 6 y 8 de la Convención Interamericana para Prevenir y Sancionar la Tortura, en perjuicio de Linda Loaiza López Soto. Asimismo, declaró la responsabilidad del Estado por la violación del derecho a la integridad personal de su grupo familiar.</w:t>
      </w:r>
    </w:p>
  </w:footnote>
  <w:footnote w:id="40">
    <w:p w14:paraId="34CD843A" w14:textId="45BED27B" w:rsidR="00FF6B9C" w:rsidRPr="00C62A4E" w:rsidRDefault="00FF6B9C" w:rsidP="00C62A4E">
      <w:pPr>
        <w:rPr>
          <w:sz w:val="16"/>
          <w:szCs w:val="16"/>
        </w:rPr>
      </w:pPr>
      <w:r w:rsidRPr="00C62A4E">
        <w:rPr>
          <w:rStyle w:val="Refdenotaalpie"/>
          <w:sz w:val="16"/>
          <w:szCs w:val="16"/>
        </w:rPr>
        <w:footnoteRef/>
      </w:r>
      <w:r w:rsidRPr="00C62A4E">
        <w:rPr>
          <w:sz w:val="16"/>
          <w:szCs w:val="16"/>
        </w:rPr>
        <w:t xml:space="preserve"> </w:t>
      </w:r>
      <w:r w:rsidR="0047135E" w:rsidRPr="00C62A4E">
        <w:rPr>
          <w:sz w:val="16"/>
          <w:szCs w:val="16"/>
        </w:rPr>
        <w:t xml:space="preserve">El caso se refiere a la responsabilidad internacional del estado por la detención y posterior asesinato de Julio </w:t>
      </w:r>
      <w:proofErr w:type="spellStart"/>
      <w:r w:rsidR="0047135E" w:rsidRPr="00C62A4E">
        <w:rPr>
          <w:sz w:val="16"/>
          <w:szCs w:val="16"/>
        </w:rPr>
        <w:t>Caal</w:t>
      </w:r>
      <w:proofErr w:type="spellEnd"/>
      <w:r w:rsidR="0047135E" w:rsidRPr="00C62A4E">
        <w:rPr>
          <w:sz w:val="16"/>
          <w:szCs w:val="16"/>
        </w:rPr>
        <w:t xml:space="preserve"> Sandoval, </w:t>
      </w:r>
      <w:proofErr w:type="spellStart"/>
      <w:r w:rsidR="0047135E" w:rsidRPr="00C62A4E">
        <w:rPr>
          <w:sz w:val="16"/>
          <w:szCs w:val="16"/>
        </w:rPr>
        <w:t>Jovito</w:t>
      </w:r>
      <w:proofErr w:type="spellEnd"/>
      <w:r w:rsidR="0047135E" w:rsidRPr="00C62A4E">
        <w:rPr>
          <w:sz w:val="16"/>
          <w:szCs w:val="16"/>
        </w:rPr>
        <w:t xml:space="preserve"> Juárez Cifuentes, </w:t>
      </w:r>
      <w:proofErr w:type="spellStart"/>
      <w:r w:rsidR="0047135E" w:rsidRPr="00C62A4E">
        <w:rPr>
          <w:sz w:val="16"/>
          <w:szCs w:val="16"/>
        </w:rPr>
        <w:t>Anstraum</w:t>
      </w:r>
      <w:proofErr w:type="spellEnd"/>
      <w:r w:rsidR="0047135E" w:rsidRPr="00C62A4E">
        <w:rPr>
          <w:sz w:val="16"/>
          <w:szCs w:val="16"/>
        </w:rPr>
        <w:t xml:space="preserve"> Villagrán, Henry Giovanni Contreras, Federico Figueroa </w:t>
      </w:r>
      <w:proofErr w:type="spellStart"/>
      <w:r w:rsidR="0047135E" w:rsidRPr="00C62A4E">
        <w:rPr>
          <w:sz w:val="16"/>
          <w:szCs w:val="16"/>
        </w:rPr>
        <w:t>Túnchez</w:t>
      </w:r>
      <w:proofErr w:type="spellEnd"/>
      <w:r w:rsidR="0047135E" w:rsidRPr="00C62A4E">
        <w:rPr>
          <w:sz w:val="16"/>
          <w:szCs w:val="16"/>
        </w:rPr>
        <w:t xml:space="preserve"> por parte de agentes policiales, así como a la falta de investigación y sanción de los responsables de los hechos. La Corte estableció la responsabilidad del Estado por la violación de los siguientes derechos de la convención americana: artículo 1 (obligación de respetar los derechos), artículo 19 (derecho de niño)</w:t>
      </w:r>
      <w:r w:rsidRPr="00C62A4E">
        <w:rPr>
          <w:sz w:val="16"/>
          <w:szCs w:val="16"/>
        </w:rPr>
        <w:t>,</w:t>
      </w:r>
      <w:r w:rsidR="0047135E" w:rsidRPr="00C62A4E">
        <w:rPr>
          <w:sz w:val="16"/>
          <w:szCs w:val="16"/>
        </w:rPr>
        <w:t xml:space="preserve"> artículo 25 (protección judicial)</w:t>
      </w:r>
      <w:r w:rsidRPr="00C62A4E">
        <w:rPr>
          <w:sz w:val="16"/>
          <w:szCs w:val="16"/>
        </w:rPr>
        <w:t>,</w:t>
      </w:r>
      <w:r w:rsidR="0047135E" w:rsidRPr="00C62A4E">
        <w:rPr>
          <w:sz w:val="16"/>
          <w:szCs w:val="16"/>
        </w:rPr>
        <w:t xml:space="preserve"> artículo 4 (derecho a la vida)</w:t>
      </w:r>
      <w:r w:rsidRPr="00C62A4E">
        <w:rPr>
          <w:sz w:val="16"/>
          <w:szCs w:val="16"/>
        </w:rPr>
        <w:t>,</w:t>
      </w:r>
      <w:r w:rsidR="0047135E" w:rsidRPr="00C62A4E">
        <w:rPr>
          <w:sz w:val="16"/>
          <w:szCs w:val="16"/>
        </w:rPr>
        <w:t xml:space="preserve"> artículo 5 (derecho a la integridad personal)</w:t>
      </w:r>
      <w:r w:rsidRPr="00C62A4E">
        <w:rPr>
          <w:sz w:val="16"/>
          <w:szCs w:val="16"/>
        </w:rPr>
        <w:t>,</w:t>
      </w:r>
      <w:r w:rsidR="0047135E" w:rsidRPr="00C62A4E">
        <w:rPr>
          <w:sz w:val="16"/>
          <w:szCs w:val="16"/>
        </w:rPr>
        <w:t xml:space="preserve"> artículo 7 (derecho a la libertad personal)</w:t>
      </w:r>
      <w:r w:rsidRPr="00C62A4E">
        <w:rPr>
          <w:sz w:val="16"/>
          <w:szCs w:val="16"/>
        </w:rPr>
        <w:t>,</w:t>
      </w:r>
      <w:r w:rsidR="0047135E" w:rsidRPr="00C62A4E">
        <w:rPr>
          <w:sz w:val="16"/>
          <w:szCs w:val="16"/>
        </w:rPr>
        <w:t xml:space="preserve"> artículo 8 (garantías judiciales).</w:t>
      </w:r>
    </w:p>
  </w:footnote>
  <w:footnote w:id="41">
    <w:p w14:paraId="3D3B066A" w14:textId="27A32E31" w:rsidR="0094754F" w:rsidRPr="00C62A4E" w:rsidRDefault="0094754F" w:rsidP="00C62A4E">
      <w:pPr>
        <w:pStyle w:val="NormalWeb"/>
        <w:rPr>
          <w:rFonts w:ascii="Verdana" w:hAnsi="Verdana"/>
          <w:sz w:val="16"/>
          <w:szCs w:val="16"/>
          <w:lang w:eastAsia="es-CL"/>
        </w:rPr>
      </w:pPr>
      <w:r w:rsidRPr="00C62A4E">
        <w:rPr>
          <w:rStyle w:val="Refdenotaalpie"/>
          <w:rFonts w:ascii="Verdana" w:hAnsi="Verdana"/>
          <w:sz w:val="16"/>
          <w:szCs w:val="16"/>
        </w:rPr>
        <w:footnoteRef/>
      </w:r>
      <w:r w:rsidRPr="00C62A4E">
        <w:rPr>
          <w:rFonts w:ascii="Verdana" w:hAnsi="Verdana"/>
          <w:sz w:val="16"/>
          <w:szCs w:val="16"/>
        </w:rPr>
        <w:t xml:space="preserve"> </w:t>
      </w:r>
      <w:r w:rsidR="0047135E" w:rsidRPr="00C62A4E">
        <w:rPr>
          <w:rFonts w:ascii="Verdana" w:eastAsia="Times New Roman" w:hAnsi="Verdana" w:cs="Times New Roman"/>
          <w:sz w:val="16"/>
          <w:szCs w:val="16"/>
          <w:lang w:eastAsia="es-CL"/>
        </w:rPr>
        <w:t xml:space="preserve">El caso se refiere a la responsabilidad internacional del Estado por la desaparición forzada de 19 comerciantes por parte de un grupo paramilitar, así como a la falta de una investigación para esclarecer los hechos y la falta de sanción a los responsables. </w:t>
      </w:r>
      <w:r w:rsidR="0047135E" w:rsidRPr="0047135E">
        <w:rPr>
          <w:rFonts w:ascii="Verdana" w:eastAsia="Times New Roman" w:hAnsi="Verdana" w:cs="Times New Roman"/>
          <w:sz w:val="16"/>
          <w:szCs w:val="16"/>
          <w:lang w:eastAsia="es-CL"/>
        </w:rPr>
        <w:t xml:space="preserve">La </w:t>
      </w:r>
      <w:r w:rsidR="0047135E" w:rsidRPr="00C62A4E">
        <w:rPr>
          <w:rFonts w:ascii="Verdana" w:eastAsia="Times New Roman" w:hAnsi="Verdana" w:cs="Times New Roman"/>
          <w:sz w:val="16"/>
          <w:szCs w:val="16"/>
          <w:lang w:eastAsia="es-CL"/>
        </w:rPr>
        <w:t>C</w:t>
      </w:r>
      <w:r w:rsidR="0047135E" w:rsidRPr="0047135E">
        <w:rPr>
          <w:rFonts w:ascii="Verdana" w:eastAsia="Times New Roman" w:hAnsi="Verdana" w:cs="Times New Roman"/>
          <w:sz w:val="16"/>
          <w:szCs w:val="16"/>
          <w:lang w:eastAsia="es-CL"/>
        </w:rPr>
        <w:t xml:space="preserve">orte estableció la responsabilidad del </w:t>
      </w:r>
      <w:r w:rsidR="0047135E" w:rsidRPr="00C62A4E">
        <w:rPr>
          <w:rFonts w:ascii="Verdana" w:eastAsia="Times New Roman" w:hAnsi="Verdana" w:cs="Times New Roman"/>
          <w:sz w:val="16"/>
          <w:szCs w:val="16"/>
          <w:lang w:eastAsia="es-CL"/>
        </w:rPr>
        <w:t>E</w:t>
      </w:r>
      <w:r w:rsidR="0047135E" w:rsidRPr="0047135E">
        <w:rPr>
          <w:rFonts w:ascii="Verdana" w:eastAsia="Times New Roman" w:hAnsi="Verdana" w:cs="Times New Roman"/>
          <w:sz w:val="16"/>
          <w:szCs w:val="16"/>
          <w:lang w:eastAsia="es-CL"/>
        </w:rPr>
        <w:t xml:space="preserve">stado por la violación de los siguientes derechos </w:t>
      </w:r>
      <w:r w:rsidR="0047135E" w:rsidRPr="00C62A4E">
        <w:rPr>
          <w:rFonts w:ascii="Verdana" w:eastAsia="Times New Roman" w:hAnsi="Verdana" w:cs="Times New Roman"/>
          <w:sz w:val="16"/>
          <w:szCs w:val="16"/>
          <w:lang w:eastAsia="es-CL"/>
        </w:rPr>
        <w:t>convencionales</w:t>
      </w:r>
      <w:r w:rsidR="0047135E" w:rsidRPr="0047135E">
        <w:rPr>
          <w:rFonts w:ascii="Verdana" w:eastAsia="Times New Roman" w:hAnsi="Verdana" w:cs="Times New Roman"/>
          <w:sz w:val="16"/>
          <w:szCs w:val="16"/>
          <w:lang w:eastAsia="es-CL"/>
        </w:rPr>
        <w:t>:</w:t>
      </w:r>
      <w:r w:rsidR="0047135E" w:rsidRPr="00C62A4E">
        <w:rPr>
          <w:rFonts w:ascii="Verdana" w:eastAsia="Times New Roman" w:hAnsi="Verdana" w:cs="Times New Roman"/>
          <w:sz w:val="16"/>
          <w:szCs w:val="16"/>
          <w:lang w:eastAsia="es-CL"/>
        </w:rPr>
        <w:t xml:space="preserve"> </w:t>
      </w:r>
      <w:r w:rsidR="0047135E" w:rsidRPr="00C62A4E">
        <w:rPr>
          <w:rFonts w:ascii="Verdana" w:hAnsi="Verdana"/>
          <w:sz w:val="16"/>
          <w:szCs w:val="16"/>
          <w:lang w:eastAsia="es-CL"/>
        </w:rPr>
        <w:t>Artículo 1 (Obligación de respetar los derechos.) , Artículo 25 (Protección Judicial) , Artículo 4 (Derecho a la vida) , Artículo 5 (Derecho a la Integridad Personal) , Artículo 7 (Derecho a la libertad personal) , Artículo 8 (Garantías Judiciales).</w:t>
      </w:r>
    </w:p>
  </w:footnote>
  <w:footnote w:id="42">
    <w:p w14:paraId="05980C23" w14:textId="6A1C3A81" w:rsidR="00BA6752" w:rsidRPr="00C62A4E" w:rsidRDefault="00BA6752"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los actos de tortura y asesinato de pobladores en el municipio de </w:t>
      </w:r>
      <w:proofErr w:type="spellStart"/>
      <w:r w:rsidRPr="00C62A4E">
        <w:rPr>
          <w:rFonts w:ascii="Verdana" w:hAnsi="Verdana"/>
          <w:sz w:val="16"/>
          <w:szCs w:val="16"/>
          <w:lang w:val="es-CL"/>
        </w:rPr>
        <w:t>Ituango</w:t>
      </w:r>
      <w:proofErr w:type="spellEnd"/>
      <w:r w:rsidRPr="00C62A4E">
        <w:rPr>
          <w:rFonts w:ascii="Verdana" w:hAnsi="Verdana"/>
          <w:sz w:val="16"/>
          <w:szCs w:val="16"/>
          <w:lang w:val="es-CL"/>
        </w:rPr>
        <w:t>, así como a la falta de investigación para esclarecer los hechos y sancionar a los responsables. La corte estableció la responsabilidad internacional del Estado por la violación de los siguientes derechos convencionales: Artículo 1 (Obligación de respetar los derechos.) , Artículo 11 (Derecho a la honra y dignidad) , Artículo 19 (Derecho de niño) , Artículo 21 (Derecho a la propiedad privada) , Artículo 22 ( Derecho de circulación y de residencia) , Artículo 25 (Protección Judicial) , Artículo 4 (Derecho a la vida) , Artículo 5 (Derecho a la Integridad Personal) , Artículo 6 (Prohibición de la esclavitud y servidumbre) , Artículo 7 (Derecho a la libertad personal) , Artículo 8 (Garantías Judiciales).</w:t>
      </w:r>
    </w:p>
    <w:p w14:paraId="57FD5A8D" w14:textId="77777777" w:rsidR="00BA6752" w:rsidRPr="00C62A4E" w:rsidRDefault="00BA6752" w:rsidP="00C62A4E">
      <w:pPr>
        <w:pStyle w:val="Textonotapie"/>
        <w:rPr>
          <w:rFonts w:ascii="Verdana" w:hAnsi="Verdana"/>
          <w:sz w:val="16"/>
          <w:szCs w:val="16"/>
          <w:lang w:val="es-CL"/>
        </w:rPr>
      </w:pPr>
    </w:p>
  </w:footnote>
  <w:footnote w:id="43">
    <w:p w14:paraId="5D90F211" w14:textId="105A9074" w:rsidR="00FE601E" w:rsidRPr="00C62A4E" w:rsidRDefault="00FE601E"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 falta de investigación de la ejecución extrajudicial de doce personas, y las lesiones de tres, por parte de grupos paramilitares, así como la falta de investigación y sanción de los responsables de los hechos. La Corte estableció la responsabilidad internacional del Estado por violación de los siguientes derechos convencionales: Artículo 1 (Obligación de respetar los derechos.) , Artículo 13 (Libertad de pensamiento y expresión) , Artículo 25 (Protección Judicial) , Artículo 4 (Derecho a la vida) , Artículo 5 (Derecho a la Integridad Personal) , Artículo 7 (Derecho a la libertad personal) , Artículo 8 (Garantías Judiciales).</w:t>
      </w:r>
    </w:p>
  </w:footnote>
  <w:footnote w:id="44">
    <w:p w14:paraId="3BA97BE4" w14:textId="5E15D69A" w:rsidR="00FE601E" w:rsidRPr="00C62A4E" w:rsidRDefault="00FE601E"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el secuestro y posterior ejecución de Saúl Isaac Cantoral </w:t>
      </w:r>
      <w:proofErr w:type="spellStart"/>
      <w:r w:rsidRPr="00C62A4E">
        <w:rPr>
          <w:rFonts w:ascii="Verdana" w:hAnsi="Verdana"/>
          <w:sz w:val="16"/>
          <w:szCs w:val="16"/>
          <w:lang w:val="es-CL"/>
        </w:rPr>
        <w:t>Huamaní</w:t>
      </w:r>
      <w:proofErr w:type="spellEnd"/>
      <w:r w:rsidRPr="00C62A4E">
        <w:rPr>
          <w:rFonts w:ascii="Verdana" w:hAnsi="Verdana"/>
          <w:sz w:val="16"/>
          <w:szCs w:val="16"/>
          <w:lang w:val="es-CL"/>
        </w:rPr>
        <w:t xml:space="preserve"> y Consuelo Trinidad García Santa Cruz, así como la falta de investigación y sanción de los hechos. La corte estableció la responsabilidad internacional del Estado por violación de los siguientes derechos convencionales: Artículo 1 (Obligación de respetar los derechos.) , Artículo 16 (Derecho a la Libertad de Asociación) , Artículo 25 (Protección Judicial) , Artículo 4 (Derecho a la vida) , Artículo 5 (Derecho a la Integridad Personal) , Artículo 7 (Derecho a la libertad personal) , Artículo 8 (Garantías Judiciales).</w:t>
      </w:r>
    </w:p>
    <w:p w14:paraId="0C979091" w14:textId="77777777" w:rsidR="00FE601E" w:rsidRPr="00C62A4E" w:rsidRDefault="00FE601E" w:rsidP="00C62A4E">
      <w:pPr>
        <w:pStyle w:val="Textonotapie"/>
        <w:rPr>
          <w:rFonts w:ascii="Verdana" w:hAnsi="Verdana"/>
          <w:sz w:val="16"/>
          <w:szCs w:val="16"/>
          <w:lang w:val="es-CL"/>
        </w:rPr>
      </w:pPr>
    </w:p>
  </w:footnote>
  <w:footnote w:id="45">
    <w:p w14:paraId="3D131BF6" w14:textId="68954BCB" w:rsidR="00A056EF" w:rsidRPr="00C62A4E" w:rsidRDefault="00A056EF"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las restricciones a la libertad de expresión en perjuicio de 20 trabajadores del canal de televisión RCTV en el marco de sus labores periodísticas, así como la afectación a su integridad personal. La Corte estableció la responsabilidad internacional del Estado por violación de los siguientes derechos convencionales: Artículo 1 (Obligación de respetar los derechos.) , Artículo 13 (Libertad de pensamiento y expresión) , Artículo 24 (Igualdad ante la ley) , Artículo 25 (Protección Judicial) , Artículo 5 (Derecho a la Integridad Personal) , Artículo 8 (Garantías Judiciales).</w:t>
      </w:r>
    </w:p>
    <w:p w14:paraId="42898EB3" w14:textId="77777777" w:rsidR="007C15D9" w:rsidRPr="00C62A4E" w:rsidRDefault="007C15D9" w:rsidP="00C62A4E">
      <w:pPr>
        <w:pStyle w:val="Textonotapie"/>
        <w:rPr>
          <w:rFonts w:ascii="Verdana" w:hAnsi="Verdana"/>
          <w:sz w:val="16"/>
          <w:szCs w:val="16"/>
          <w:lang w:val="es-CL"/>
        </w:rPr>
      </w:pPr>
    </w:p>
  </w:footnote>
  <w:footnote w:id="46">
    <w:p w14:paraId="36B0D1E1" w14:textId="77777777" w:rsidR="007C15D9" w:rsidRPr="00C62A4E" w:rsidRDefault="007C15D9"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25 de noviembre de 2013 la Corte Interamericana de Derechos Humanos declaró que el Estado Plurinacional de Bolivia es responsable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de buscar y recibir asilo, principio de no </w:t>
      </w:r>
      <w:proofErr w:type="spellStart"/>
      <w:r w:rsidRPr="00C62A4E">
        <w:rPr>
          <w:rFonts w:ascii="Verdana" w:hAnsi="Verdana"/>
          <w:sz w:val="16"/>
          <w:szCs w:val="16"/>
          <w:lang w:val="es-CL"/>
        </w:rPr>
        <w:t>devolución</w:t>
      </w:r>
      <w:proofErr w:type="spellEnd"/>
      <w:r w:rsidRPr="00C62A4E">
        <w:rPr>
          <w:rFonts w:ascii="Verdana" w:hAnsi="Verdana"/>
          <w:sz w:val="16"/>
          <w:szCs w:val="16"/>
          <w:lang w:val="es-CL"/>
        </w:rPr>
        <w:t xml:space="preserve">, a ser </w:t>
      </w:r>
      <w:proofErr w:type="spellStart"/>
      <w:r w:rsidRPr="00C62A4E">
        <w:rPr>
          <w:rFonts w:ascii="Verdana" w:hAnsi="Verdana"/>
          <w:sz w:val="16"/>
          <w:szCs w:val="16"/>
          <w:lang w:val="es-CL"/>
        </w:rPr>
        <w:t>oído</w:t>
      </w:r>
      <w:proofErr w:type="spellEnd"/>
      <w:r w:rsidRPr="00C62A4E">
        <w:rPr>
          <w:rFonts w:ascii="Verdana" w:hAnsi="Verdana"/>
          <w:sz w:val="16"/>
          <w:szCs w:val="16"/>
          <w:lang w:val="es-CL"/>
        </w:rPr>
        <w:t xml:space="preserve"> con las debidas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a la protección judicial, a la integridad </w:t>
      </w:r>
      <w:proofErr w:type="spellStart"/>
      <w:r w:rsidRPr="00C62A4E">
        <w:rPr>
          <w:rFonts w:ascii="Verdana" w:hAnsi="Verdana"/>
          <w:sz w:val="16"/>
          <w:szCs w:val="16"/>
          <w:lang w:val="es-CL"/>
        </w:rPr>
        <w:t>psíquica</w:t>
      </w:r>
      <w:proofErr w:type="spellEnd"/>
      <w:r w:rsidRPr="00C62A4E">
        <w:rPr>
          <w:rFonts w:ascii="Verdana" w:hAnsi="Verdana"/>
          <w:sz w:val="16"/>
          <w:szCs w:val="16"/>
          <w:lang w:val="es-CL"/>
        </w:rPr>
        <w:t xml:space="preserve"> y moral, a la protección de los </w:t>
      </w:r>
      <w:proofErr w:type="spellStart"/>
      <w:r w:rsidRPr="00C62A4E">
        <w:rPr>
          <w:rFonts w:ascii="Verdana" w:hAnsi="Verdana"/>
          <w:sz w:val="16"/>
          <w:szCs w:val="16"/>
          <w:lang w:val="es-CL"/>
        </w:rPr>
        <w:t>niños</w:t>
      </w:r>
      <w:proofErr w:type="spellEnd"/>
      <w:r w:rsidRPr="00C62A4E">
        <w:rPr>
          <w:rFonts w:ascii="Verdana" w:hAnsi="Verdana"/>
          <w:sz w:val="16"/>
          <w:szCs w:val="16"/>
          <w:lang w:val="es-CL"/>
        </w:rPr>
        <w:t xml:space="preserve"> y de la familia, reconocidos en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22.7 y 22.8, 8, 25, 5.1, 19 y 17 de la Convención Americana sobre Derechos Humanos, en perjuicio de los miembros de la familia Pacheco Tineo. </w:t>
      </w:r>
    </w:p>
    <w:p w14:paraId="54D7DDF7" w14:textId="3870742A" w:rsidR="007C15D9" w:rsidRPr="00C62A4E" w:rsidRDefault="007C15D9" w:rsidP="00C62A4E">
      <w:pPr>
        <w:pStyle w:val="Textonotapie"/>
        <w:rPr>
          <w:rFonts w:ascii="Verdana" w:hAnsi="Verdana"/>
          <w:sz w:val="16"/>
          <w:szCs w:val="16"/>
          <w:lang w:val="es-CL"/>
        </w:rPr>
      </w:pPr>
      <w:r w:rsidRPr="00C62A4E">
        <w:rPr>
          <w:rFonts w:ascii="Verdana" w:hAnsi="Verdana"/>
          <w:sz w:val="16"/>
          <w:szCs w:val="16"/>
          <w:lang w:val="es-CL"/>
        </w:rPr>
        <w:t xml:space="preserve"> </w:t>
      </w:r>
    </w:p>
  </w:footnote>
  <w:footnote w:id="47">
    <w:p w14:paraId="744048D6" w14:textId="3B851892" w:rsidR="00AE1DC9" w:rsidRPr="00C62A4E" w:rsidRDefault="00AE1DC9"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hondureño por la detención y posterior desaparición de Ángel </w:t>
      </w:r>
      <w:proofErr w:type="spellStart"/>
      <w:r w:rsidRPr="00C62A4E">
        <w:rPr>
          <w:rFonts w:ascii="Verdana" w:hAnsi="Verdana"/>
          <w:sz w:val="16"/>
          <w:szCs w:val="16"/>
          <w:lang w:val="es-CL"/>
        </w:rPr>
        <w:t>Manfredo</w:t>
      </w:r>
      <w:proofErr w:type="spellEnd"/>
      <w:r w:rsidRPr="00C62A4E">
        <w:rPr>
          <w:rFonts w:ascii="Verdana" w:hAnsi="Verdana"/>
          <w:sz w:val="16"/>
          <w:szCs w:val="16"/>
          <w:lang w:val="es-CL"/>
        </w:rPr>
        <w:t xml:space="preserve"> Velásquez Rodríguez. La Corte estableció la responsabilidad internacional del Estado por la violación de los siguientes derechos convencionales: Artículo 1 (Obligación de respetar los derechos.) , Artículo 4 (Derecho a la vida) , Artículo 5 (Derecho a la Integridad Personal) , Artículo 7 (Derecho a la libertad personal).</w:t>
      </w:r>
    </w:p>
    <w:p w14:paraId="14CEA128" w14:textId="77777777" w:rsidR="00AE1DC9" w:rsidRPr="00C62A4E" w:rsidRDefault="00AE1DC9" w:rsidP="00C62A4E">
      <w:pPr>
        <w:pStyle w:val="Textonotapie"/>
        <w:rPr>
          <w:rFonts w:ascii="Verdana" w:hAnsi="Verdana"/>
          <w:sz w:val="16"/>
          <w:szCs w:val="16"/>
          <w:lang w:val="es-CL"/>
        </w:rPr>
      </w:pPr>
    </w:p>
  </w:footnote>
  <w:footnote w:id="48">
    <w:p w14:paraId="0F55111D" w14:textId="7BABB56C" w:rsidR="00FE3840" w:rsidRPr="00C62A4E" w:rsidRDefault="00FE3840"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 detención ilegal y arbitraria de Rafael Iván Suárez Rosero por parte de agentes policiales, así como la falta de diligencia en el proceso penal seguido contra él. La Corte estableció la responsabilidad del Estado por la violación de los siguientes derechos convencionales: Artículo 1 (Obligación de respetar los derechos.) , Artículo 11 (Derecho a la honra y dignidad) , Artículo 17 ( Protección a la Familia) , Artículo 25 (Protección Judicial) , Artículo 5 (Derecho a la Integridad Personal) , Artículo 7 (Derecho a la libertad personal) , Artículo 8 (Garantías Judiciales).</w:t>
      </w:r>
    </w:p>
  </w:footnote>
  <w:footnote w:id="49">
    <w:p w14:paraId="3BE50253" w14:textId="716FC6CD" w:rsidR="00FE3840" w:rsidRPr="00C62A4E" w:rsidRDefault="00FE3840"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 detención y condena sin un debido proceso en perjuicio de Wilson García </w:t>
      </w:r>
      <w:proofErr w:type="spellStart"/>
      <w:r w:rsidRPr="00C62A4E">
        <w:rPr>
          <w:rFonts w:ascii="Verdana" w:hAnsi="Verdana"/>
          <w:sz w:val="16"/>
          <w:szCs w:val="16"/>
          <w:lang w:val="es-CL"/>
        </w:rPr>
        <w:t>Asto</w:t>
      </w:r>
      <w:proofErr w:type="spellEnd"/>
      <w:r w:rsidRPr="00C62A4E">
        <w:rPr>
          <w:rFonts w:ascii="Verdana" w:hAnsi="Verdana"/>
          <w:sz w:val="16"/>
          <w:szCs w:val="16"/>
          <w:lang w:val="es-CL"/>
        </w:rPr>
        <w:t xml:space="preserve"> y </w:t>
      </w:r>
      <w:proofErr w:type="spellStart"/>
      <w:r w:rsidRPr="00C62A4E">
        <w:rPr>
          <w:rFonts w:ascii="Verdana" w:hAnsi="Verdana"/>
          <w:sz w:val="16"/>
          <w:szCs w:val="16"/>
          <w:lang w:val="es-CL"/>
        </w:rPr>
        <w:t>Urcesino</w:t>
      </w:r>
      <w:proofErr w:type="spellEnd"/>
      <w:r w:rsidRPr="00C62A4E">
        <w:rPr>
          <w:rFonts w:ascii="Verdana" w:hAnsi="Verdana"/>
          <w:sz w:val="16"/>
          <w:szCs w:val="16"/>
          <w:lang w:val="es-CL"/>
        </w:rPr>
        <w:t xml:space="preserve"> Ramírez Rojas. La corte estableció la responsabilidad internacional del Estado por violación de los siguientes derechos convencionales: Artículo 1 (Obligación de respetar los derechos.) , Artículo 11 (Derecho a la honra y dignidad) , Artículo 13 (Libertad de pensamiento y expresión) , Artículo 17 ( Protección a la Familia) , Artículo 2 (Deber de adoptar disposiciones de derecho interno) , Artículo 24 (Igualdad ante la ley) , Artículo 25 (Protección Judicial) , Artículo 5 (Derecho a la Integridad Personal) , Artículo 7 (Derecho a la libertad personal) , Artículo 8 (Garantías Judiciales) , Artículo 9 (Principio de legalidad y de retroactividad).</w:t>
      </w:r>
    </w:p>
    <w:p w14:paraId="682A9F08" w14:textId="77777777" w:rsidR="00FE3840" w:rsidRPr="00C62A4E" w:rsidRDefault="00FE3840" w:rsidP="00C62A4E">
      <w:pPr>
        <w:pStyle w:val="Textonotapie"/>
        <w:rPr>
          <w:rFonts w:ascii="Verdana" w:hAnsi="Verdana"/>
          <w:sz w:val="16"/>
          <w:szCs w:val="16"/>
          <w:lang w:val="es-CL"/>
        </w:rPr>
      </w:pPr>
    </w:p>
  </w:footnote>
  <w:footnote w:id="50">
    <w:p w14:paraId="36A07B85" w14:textId="7A3A7EE5" w:rsidR="00157701" w:rsidRPr="00C62A4E" w:rsidRDefault="00157701"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 de octubre de 2015 la Corte Interamericana de Derechos Humanos dictó una Sentencia, mediante la cual declaró responsable internacionalmente al Estado </w:t>
      </w:r>
      <w:proofErr w:type="spellStart"/>
      <w:r w:rsidRPr="00C62A4E">
        <w:rPr>
          <w:rFonts w:ascii="Verdana" w:hAnsi="Verdana"/>
          <w:sz w:val="16"/>
          <w:szCs w:val="16"/>
          <w:lang w:val="es-CL"/>
        </w:rPr>
        <w:t>dei</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Peru</w:t>
      </w:r>
      <w:proofErr w:type="spellEnd"/>
      <w:r w:rsidRPr="00C62A4E">
        <w:rPr>
          <w:rFonts w:ascii="Verdana" w:hAnsi="Verdana"/>
          <w:sz w:val="16"/>
          <w:szCs w:val="16"/>
          <w:lang w:val="es-CL"/>
        </w:rPr>
        <w:t xml:space="preserv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a los derechos a la libertad personal y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consagrados en el artículo 7, incisos 1, 2, 3, 4, 5 y 6, y en el artículo 8, inciso 2, apartados b) y c)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el artículo 1.1 del tratado, en perjuicio de Luis Antonio Galindo </w:t>
      </w:r>
      <w:proofErr w:type="spellStart"/>
      <w:r w:rsidRPr="00C62A4E">
        <w:rPr>
          <w:rFonts w:ascii="Verdana" w:hAnsi="Verdana"/>
          <w:sz w:val="16"/>
          <w:szCs w:val="16"/>
          <w:lang w:val="es-CL"/>
        </w:rPr>
        <w:t>Cárdenas</w:t>
      </w:r>
      <w:proofErr w:type="spellEnd"/>
      <w:r w:rsidRPr="00C62A4E">
        <w:rPr>
          <w:rFonts w:ascii="Verdana" w:hAnsi="Verdana"/>
          <w:sz w:val="16"/>
          <w:szCs w:val="16"/>
          <w:lang w:val="es-CL"/>
        </w:rPr>
        <w:t xml:space="preserve">, ya que fue detenido sin </w:t>
      </w:r>
      <w:proofErr w:type="spellStart"/>
      <w:r w:rsidRPr="00C62A4E">
        <w:rPr>
          <w:rFonts w:ascii="Verdana" w:hAnsi="Verdana"/>
          <w:sz w:val="16"/>
          <w:szCs w:val="16"/>
          <w:lang w:val="es-CL"/>
        </w:rPr>
        <w:t>motivación</w:t>
      </w:r>
      <w:proofErr w:type="spellEnd"/>
      <w:r w:rsidRPr="00C62A4E">
        <w:rPr>
          <w:rFonts w:ascii="Verdana" w:hAnsi="Verdana"/>
          <w:sz w:val="16"/>
          <w:szCs w:val="16"/>
          <w:lang w:val="es-CL"/>
        </w:rPr>
        <w:t xml:space="preserve"> suficiente; no fue informado de las razones de su </w:t>
      </w:r>
      <w:proofErr w:type="spellStart"/>
      <w:r w:rsidRPr="00C62A4E">
        <w:rPr>
          <w:rFonts w:ascii="Verdana" w:hAnsi="Verdana"/>
          <w:sz w:val="16"/>
          <w:szCs w:val="16"/>
          <w:lang w:val="es-CL"/>
        </w:rPr>
        <w:t>detención</w:t>
      </w:r>
      <w:proofErr w:type="spellEnd"/>
      <w:r w:rsidRPr="00C62A4E">
        <w:rPr>
          <w:rFonts w:ascii="Verdana" w:hAnsi="Verdana"/>
          <w:sz w:val="16"/>
          <w:szCs w:val="16"/>
          <w:lang w:val="es-CL"/>
        </w:rPr>
        <w:t xml:space="preserve">, lo que menoscabó su derecho de defensa; no fue llevado ante una autoridad que ejerciera funciones judiciales; su </w:t>
      </w:r>
      <w:proofErr w:type="spellStart"/>
      <w:r w:rsidRPr="00C62A4E">
        <w:rPr>
          <w:rFonts w:ascii="Verdana" w:hAnsi="Verdana"/>
          <w:sz w:val="16"/>
          <w:szCs w:val="16"/>
          <w:lang w:val="es-CL"/>
        </w:rPr>
        <w:t>privación</w:t>
      </w:r>
      <w:proofErr w:type="spellEnd"/>
      <w:r w:rsidRPr="00C62A4E">
        <w:rPr>
          <w:rFonts w:ascii="Verdana" w:hAnsi="Verdana"/>
          <w:sz w:val="16"/>
          <w:szCs w:val="16"/>
          <w:lang w:val="es-CL"/>
        </w:rPr>
        <w:t xml:space="preserve"> de libertad no fue registrada; la misma se prolongó algunos </w:t>
      </w:r>
      <w:proofErr w:type="spellStart"/>
      <w:r w:rsidRPr="00C62A4E">
        <w:rPr>
          <w:rFonts w:ascii="Verdana" w:hAnsi="Verdana"/>
          <w:sz w:val="16"/>
          <w:szCs w:val="16"/>
          <w:lang w:val="es-CL"/>
        </w:rPr>
        <w:t>días</w:t>
      </w:r>
      <w:proofErr w:type="spellEnd"/>
      <w:r w:rsidRPr="00C62A4E">
        <w:rPr>
          <w:rFonts w:ascii="Verdana" w:hAnsi="Verdana"/>
          <w:sz w:val="16"/>
          <w:szCs w:val="16"/>
          <w:lang w:val="es-CL"/>
        </w:rPr>
        <w:t xml:space="preserve"> pese que ya </w:t>
      </w:r>
      <w:proofErr w:type="spellStart"/>
      <w:r w:rsidRPr="00C62A4E">
        <w:rPr>
          <w:rFonts w:ascii="Verdana" w:hAnsi="Verdana"/>
          <w:sz w:val="16"/>
          <w:szCs w:val="16"/>
          <w:lang w:val="es-CL"/>
        </w:rPr>
        <w:t>había</w:t>
      </w:r>
      <w:proofErr w:type="spellEnd"/>
      <w:r w:rsidRPr="00C62A4E">
        <w:rPr>
          <w:rFonts w:ascii="Verdana" w:hAnsi="Verdana"/>
          <w:sz w:val="16"/>
          <w:szCs w:val="16"/>
          <w:lang w:val="es-CL"/>
        </w:rPr>
        <w:t xml:space="preserve"> concluido el procedimiento respectivo, y no tuvo posibilidad de presentar una acción efectiva para que un juez o tribunal decidera sin demora sobre su </w:t>
      </w:r>
      <w:proofErr w:type="spellStart"/>
      <w:r w:rsidRPr="00C62A4E">
        <w:rPr>
          <w:rFonts w:ascii="Verdana" w:hAnsi="Verdana"/>
          <w:sz w:val="16"/>
          <w:szCs w:val="16"/>
          <w:lang w:val="es-CL"/>
        </w:rPr>
        <w:t>detención</w:t>
      </w:r>
      <w:proofErr w:type="spellEnd"/>
      <w:r w:rsidRPr="00C62A4E">
        <w:rPr>
          <w:rFonts w:ascii="Verdana" w:hAnsi="Verdana"/>
          <w:sz w:val="16"/>
          <w:szCs w:val="16"/>
          <w:lang w:val="es-CL"/>
        </w:rPr>
        <w:t xml:space="preserve"> y pudiera ordenar su libertad. Asimismo, la Corte concluyó que el Estado es responsable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del derecho a la integridad personal reconocido en el artículo 5.1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el artículo 1.1 del tratado, en perjuicio de Luis Antonio Galindo </w:t>
      </w:r>
      <w:proofErr w:type="spellStart"/>
      <w:r w:rsidRPr="00C62A4E">
        <w:rPr>
          <w:rFonts w:ascii="Verdana" w:hAnsi="Verdana"/>
          <w:sz w:val="16"/>
          <w:szCs w:val="16"/>
          <w:lang w:val="es-CL"/>
        </w:rPr>
        <w:t>Cárdenas</w:t>
      </w:r>
      <w:proofErr w:type="spellEnd"/>
      <w:r w:rsidRPr="00C62A4E">
        <w:rPr>
          <w:rFonts w:ascii="Verdana" w:hAnsi="Verdana"/>
          <w:sz w:val="16"/>
          <w:szCs w:val="16"/>
          <w:lang w:val="es-CL"/>
        </w:rPr>
        <w:t xml:space="preserve">, su esposa, Irma </w:t>
      </w:r>
      <w:proofErr w:type="spellStart"/>
      <w:r w:rsidRPr="00C62A4E">
        <w:rPr>
          <w:rFonts w:ascii="Verdana" w:hAnsi="Verdana"/>
          <w:sz w:val="16"/>
          <w:szCs w:val="16"/>
          <w:lang w:val="es-CL"/>
        </w:rPr>
        <w:t>Díaz</w:t>
      </w:r>
      <w:proofErr w:type="spellEnd"/>
      <w:r w:rsidRPr="00C62A4E">
        <w:rPr>
          <w:rFonts w:ascii="Verdana" w:hAnsi="Verdana"/>
          <w:sz w:val="16"/>
          <w:szCs w:val="16"/>
          <w:lang w:val="es-CL"/>
        </w:rPr>
        <w:t xml:space="preserve"> de Galindo y su hijo Luis </w:t>
      </w:r>
      <w:proofErr w:type="spellStart"/>
      <w:r w:rsidRPr="00C62A4E">
        <w:rPr>
          <w:rFonts w:ascii="Verdana" w:hAnsi="Verdana"/>
          <w:sz w:val="16"/>
          <w:szCs w:val="16"/>
          <w:lang w:val="es-CL"/>
        </w:rPr>
        <w:t>Idelso</w:t>
      </w:r>
      <w:proofErr w:type="spellEnd"/>
      <w:r w:rsidRPr="00C62A4E">
        <w:rPr>
          <w:rFonts w:ascii="Verdana" w:hAnsi="Verdana"/>
          <w:sz w:val="16"/>
          <w:szCs w:val="16"/>
          <w:lang w:val="es-CL"/>
        </w:rPr>
        <w:t xml:space="preserve"> Galindo </w:t>
      </w:r>
      <w:proofErr w:type="spellStart"/>
      <w:r w:rsidRPr="00C62A4E">
        <w:rPr>
          <w:rFonts w:ascii="Verdana" w:hAnsi="Verdana"/>
          <w:sz w:val="16"/>
          <w:szCs w:val="16"/>
          <w:lang w:val="es-CL"/>
        </w:rPr>
        <w:t>Díaz</w:t>
      </w:r>
      <w:proofErr w:type="spellEnd"/>
      <w:r w:rsidRPr="00C62A4E">
        <w:rPr>
          <w:rFonts w:ascii="Verdana" w:hAnsi="Verdana"/>
          <w:sz w:val="16"/>
          <w:szCs w:val="16"/>
          <w:lang w:val="es-CL"/>
        </w:rPr>
        <w:t xml:space="preserve">, en </w:t>
      </w:r>
      <w:proofErr w:type="spellStart"/>
      <w:r w:rsidRPr="00C62A4E">
        <w:rPr>
          <w:rFonts w:ascii="Verdana" w:hAnsi="Verdana"/>
          <w:sz w:val="16"/>
          <w:szCs w:val="16"/>
          <w:lang w:val="es-CL"/>
        </w:rPr>
        <w:t>razón</w:t>
      </w:r>
      <w:proofErr w:type="spellEnd"/>
      <w:r w:rsidRPr="00C62A4E">
        <w:rPr>
          <w:rFonts w:ascii="Verdana" w:hAnsi="Verdana"/>
          <w:sz w:val="16"/>
          <w:szCs w:val="16"/>
          <w:lang w:val="es-CL"/>
        </w:rPr>
        <w:t xml:space="preserve"> del modo en que tuvo lugar la </w:t>
      </w:r>
      <w:proofErr w:type="spellStart"/>
      <w:r w:rsidRPr="00C62A4E">
        <w:rPr>
          <w:rFonts w:ascii="Verdana" w:hAnsi="Verdana"/>
          <w:sz w:val="16"/>
          <w:szCs w:val="16"/>
          <w:lang w:val="es-CL"/>
        </w:rPr>
        <w:t>detención</w:t>
      </w:r>
      <w:proofErr w:type="spellEnd"/>
      <w:r w:rsidRPr="00C62A4E">
        <w:rPr>
          <w:rFonts w:ascii="Verdana" w:hAnsi="Verdana"/>
          <w:sz w:val="16"/>
          <w:szCs w:val="16"/>
          <w:lang w:val="es-CL"/>
        </w:rPr>
        <w:t xml:space="preserve"> del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Galindo,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por la incertidumbre y sufrimiento que ello generó a sus familiares. </w:t>
      </w:r>
      <w:proofErr w:type="spellStart"/>
      <w:r w:rsidRPr="00C62A4E">
        <w:rPr>
          <w:rFonts w:ascii="Verdana" w:hAnsi="Verdana"/>
          <w:sz w:val="16"/>
          <w:szCs w:val="16"/>
          <w:lang w:val="es-CL"/>
        </w:rPr>
        <w:t>Además</w:t>
      </w:r>
      <w:proofErr w:type="spellEnd"/>
      <w:r w:rsidRPr="00C62A4E">
        <w:rPr>
          <w:rFonts w:ascii="Verdana" w:hAnsi="Verdana"/>
          <w:sz w:val="16"/>
          <w:szCs w:val="16"/>
          <w:lang w:val="es-CL"/>
        </w:rPr>
        <w:t xml:space="preserve"> el Tribunal declaró que </w:t>
      </w:r>
      <w:proofErr w:type="spellStart"/>
      <w:r w:rsidRPr="00C62A4E">
        <w:rPr>
          <w:rFonts w:ascii="Verdana" w:hAnsi="Verdana"/>
          <w:sz w:val="16"/>
          <w:szCs w:val="16"/>
          <w:lang w:val="es-CL"/>
        </w:rPr>
        <w:t>Peru</w:t>
      </w:r>
      <w:proofErr w:type="spellEnd"/>
      <w:r w:rsidRPr="00C62A4E">
        <w:rPr>
          <w:rFonts w:ascii="Verdana" w:hAnsi="Verdana"/>
          <w:sz w:val="16"/>
          <w:szCs w:val="16"/>
          <w:lang w:val="es-CL"/>
        </w:rPr>
        <w:t xml:space="preserve">́ violó los derechos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protección judicial consagrados en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8.1 y 25.1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el artículo 1.1 de la misma, por la omisión del Estado de iniciar en forma inmediata una </w:t>
      </w:r>
      <w:proofErr w:type="spellStart"/>
      <w:r w:rsidRPr="00C62A4E">
        <w:rPr>
          <w:rFonts w:ascii="Verdana" w:hAnsi="Verdana"/>
          <w:sz w:val="16"/>
          <w:szCs w:val="16"/>
          <w:lang w:val="es-CL"/>
        </w:rPr>
        <w:t>investigación</w:t>
      </w:r>
      <w:proofErr w:type="spellEnd"/>
      <w:r w:rsidRPr="00C62A4E">
        <w:rPr>
          <w:rFonts w:ascii="Verdana" w:hAnsi="Verdana"/>
          <w:sz w:val="16"/>
          <w:szCs w:val="16"/>
          <w:lang w:val="es-CL"/>
        </w:rPr>
        <w:t xml:space="preserve"> sobre los alegados hechos de “tortura </w:t>
      </w:r>
      <w:proofErr w:type="spellStart"/>
      <w:r w:rsidRPr="00C62A4E">
        <w:rPr>
          <w:rFonts w:ascii="Verdana" w:hAnsi="Verdana"/>
          <w:sz w:val="16"/>
          <w:szCs w:val="16"/>
          <w:lang w:val="es-CL"/>
        </w:rPr>
        <w:t>psicológica</w:t>
      </w:r>
      <w:proofErr w:type="spellEnd"/>
      <w:r w:rsidRPr="00C62A4E">
        <w:rPr>
          <w:rFonts w:ascii="Verdana" w:hAnsi="Verdana"/>
          <w:sz w:val="16"/>
          <w:szCs w:val="16"/>
          <w:lang w:val="es-CL"/>
        </w:rPr>
        <w:t xml:space="preserve">” presuntamente cometidos en perjuicio del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Galindo durante su </w:t>
      </w:r>
      <w:proofErr w:type="spellStart"/>
      <w:r w:rsidRPr="00C62A4E">
        <w:rPr>
          <w:rFonts w:ascii="Verdana" w:hAnsi="Verdana"/>
          <w:sz w:val="16"/>
          <w:szCs w:val="16"/>
          <w:lang w:val="es-CL"/>
        </w:rPr>
        <w:t>detención</w:t>
      </w:r>
      <w:proofErr w:type="spellEnd"/>
      <w:r w:rsidRPr="00C62A4E">
        <w:rPr>
          <w:rFonts w:ascii="Verdana" w:hAnsi="Verdana"/>
          <w:sz w:val="16"/>
          <w:szCs w:val="16"/>
          <w:lang w:val="es-CL"/>
        </w:rPr>
        <w:t xml:space="preserve">. La Corte concluyó que </w:t>
      </w:r>
      <w:proofErr w:type="spellStart"/>
      <w:r w:rsidRPr="00C62A4E">
        <w:rPr>
          <w:rFonts w:ascii="Verdana" w:hAnsi="Verdana"/>
          <w:sz w:val="16"/>
          <w:szCs w:val="16"/>
          <w:lang w:val="es-CL"/>
        </w:rPr>
        <w:t>Peru</w:t>
      </w:r>
      <w:proofErr w:type="spellEnd"/>
      <w:r w:rsidRPr="00C62A4E">
        <w:rPr>
          <w:rFonts w:ascii="Verdana" w:hAnsi="Verdana"/>
          <w:sz w:val="16"/>
          <w:szCs w:val="16"/>
          <w:lang w:val="es-CL"/>
        </w:rPr>
        <w:t>́ no vulneró el principio de legalidad, consagrado en el artículo 9 de la Convención Americana, ni su deber de adoptar disposiciones de derechos interno, consagrado en el artículo 2 de la Convención.</w:t>
      </w:r>
    </w:p>
    <w:p w14:paraId="3123239C" w14:textId="77777777" w:rsidR="003D49EB" w:rsidRPr="00C62A4E" w:rsidRDefault="003D49EB" w:rsidP="00C62A4E">
      <w:pPr>
        <w:pStyle w:val="Textonotapie"/>
        <w:rPr>
          <w:rFonts w:ascii="Verdana" w:hAnsi="Verdana"/>
          <w:sz w:val="16"/>
          <w:szCs w:val="16"/>
          <w:lang w:val="es-CL"/>
        </w:rPr>
      </w:pPr>
    </w:p>
  </w:footnote>
  <w:footnote w:id="51">
    <w:p w14:paraId="57FB0576" w14:textId="48FAC7FE" w:rsidR="003D49EB" w:rsidRPr="00C62A4E" w:rsidRDefault="003D49EB"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 ejecución extrajudicial de Jesús Valle Jaramillo, así como a la falta de investigación y sanción de los responsables del hecho. La Corte estableció la responsabilidad internacional del Estado por la violación de los siguientes derechos convencionales: Artículo 1 (Obligación de respetar los derechos.) , Artículo 11 (Derecho a la honra y dignidad) , Artículo 13 (Libertad de pensamiento y expresión) , Artículo 16 (Derecho a la Libertad de Asociación) , Artículo 17 ( Protección a la Familia) , Artículo 22 ( Derecho de circulación y de residencia) , Artículo 25 (Protección Judicial) , Artículo 4 (Derecho a la vida) , Artículo 5 (Derecho a la Integridad Personal) , Artículo 7 (Derecho a la libertad personal) , Artículo 8 (Garantías Judiciales).</w:t>
      </w:r>
    </w:p>
    <w:p w14:paraId="57D726F3" w14:textId="77777777" w:rsidR="003D49EB" w:rsidRPr="00C62A4E" w:rsidRDefault="003D49EB" w:rsidP="00C62A4E">
      <w:pPr>
        <w:pStyle w:val="Textonotapie"/>
        <w:rPr>
          <w:rFonts w:ascii="Verdana" w:hAnsi="Verdana"/>
          <w:sz w:val="16"/>
          <w:szCs w:val="16"/>
          <w:lang w:val="es-CL"/>
        </w:rPr>
      </w:pPr>
    </w:p>
  </w:footnote>
  <w:footnote w:id="52">
    <w:p w14:paraId="327D592B" w14:textId="65430E3F" w:rsidR="003A3C4C" w:rsidRPr="00C62A4E" w:rsidRDefault="003A3C4C"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19 de mayo de 2011 la Corte Interamericana de Derechos Humanos </w:t>
      </w:r>
      <w:proofErr w:type="spellStart"/>
      <w:r w:rsidRPr="00C62A4E">
        <w:rPr>
          <w:rFonts w:ascii="Verdana" w:hAnsi="Verdana"/>
          <w:sz w:val="16"/>
          <w:szCs w:val="16"/>
          <w:lang w:val="es-CL"/>
        </w:rPr>
        <w:t>emitio</w:t>
      </w:r>
      <w:proofErr w:type="spellEnd"/>
      <w:r w:rsidRPr="00C62A4E">
        <w:rPr>
          <w:rFonts w:ascii="Verdana" w:hAnsi="Verdana"/>
          <w:sz w:val="16"/>
          <w:szCs w:val="16"/>
          <w:lang w:val="es-CL"/>
        </w:rPr>
        <w:t xml:space="preserve">́ una Sentencia mediante la cual declaró la responsabilidad internacional de la </w:t>
      </w:r>
      <w:proofErr w:type="spellStart"/>
      <w:r w:rsidRPr="00C62A4E">
        <w:rPr>
          <w:rFonts w:ascii="Verdana" w:hAnsi="Verdana"/>
          <w:sz w:val="16"/>
          <w:szCs w:val="16"/>
          <w:lang w:val="es-CL"/>
        </w:rPr>
        <w:t>República</w:t>
      </w:r>
      <w:proofErr w:type="spellEnd"/>
      <w:r w:rsidRPr="00C62A4E">
        <w:rPr>
          <w:rFonts w:ascii="Verdana" w:hAnsi="Verdana"/>
          <w:sz w:val="16"/>
          <w:szCs w:val="16"/>
          <w:lang w:val="es-CL"/>
        </w:rPr>
        <w:t xml:space="preserve"> del Ecuador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la vida, a la integridad personal,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protección judicial en perjuicio del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Pedro Miguel Vera </w:t>
      </w:r>
      <w:proofErr w:type="spellStart"/>
      <w:r w:rsidRPr="00C62A4E">
        <w:rPr>
          <w:rFonts w:ascii="Verdana" w:hAnsi="Verdana"/>
          <w:sz w:val="16"/>
          <w:szCs w:val="16"/>
          <w:lang w:val="es-CL"/>
        </w:rPr>
        <w:t>Vera</w:t>
      </w:r>
      <w:proofErr w:type="spellEnd"/>
      <w:r w:rsidRPr="00C62A4E">
        <w:rPr>
          <w:rFonts w:ascii="Verdana" w:hAnsi="Verdana"/>
          <w:sz w:val="16"/>
          <w:szCs w:val="16"/>
          <w:lang w:val="es-CL"/>
        </w:rPr>
        <w:t xml:space="preserve"> por la falta de atención médica adecuada y oportuna luego de que fue detenido con una herida de bala y mantenido bajo la custodia del Estado, tras lo cual </w:t>
      </w:r>
      <w:proofErr w:type="spellStart"/>
      <w:r w:rsidRPr="00C62A4E">
        <w:rPr>
          <w:rFonts w:ascii="Verdana" w:hAnsi="Verdana"/>
          <w:sz w:val="16"/>
          <w:szCs w:val="16"/>
          <w:lang w:val="es-CL"/>
        </w:rPr>
        <w:t>fallecio</w:t>
      </w:r>
      <w:proofErr w:type="spellEnd"/>
      <w:r w:rsidRPr="00C62A4E">
        <w:rPr>
          <w:rFonts w:ascii="Verdana" w:hAnsi="Verdana"/>
          <w:sz w:val="16"/>
          <w:szCs w:val="16"/>
          <w:lang w:val="es-CL"/>
        </w:rPr>
        <w:t xml:space="preserve">́ diez </w:t>
      </w:r>
      <w:proofErr w:type="spellStart"/>
      <w:r w:rsidRPr="00C62A4E">
        <w:rPr>
          <w:rFonts w:ascii="Verdana" w:hAnsi="Verdana"/>
          <w:sz w:val="16"/>
          <w:szCs w:val="16"/>
          <w:lang w:val="es-CL"/>
        </w:rPr>
        <w:t>días</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después</w:t>
      </w:r>
      <w:proofErr w:type="spellEnd"/>
      <w:r w:rsidRPr="00C62A4E">
        <w:rPr>
          <w:rFonts w:ascii="Verdana" w:hAnsi="Verdana"/>
          <w:sz w:val="16"/>
          <w:szCs w:val="16"/>
          <w:lang w:val="es-CL"/>
        </w:rPr>
        <w:t xml:space="preserve">. El Ecuador no ha realizado una </w:t>
      </w:r>
      <w:proofErr w:type="spellStart"/>
      <w:r w:rsidRPr="00C62A4E">
        <w:rPr>
          <w:rFonts w:ascii="Verdana" w:hAnsi="Verdana"/>
          <w:sz w:val="16"/>
          <w:szCs w:val="16"/>
          <w:lang w:val="es-CL"/>
        </w:rPr>
        <w:t>investigación</w:t>
      </w:r>
      <w:proofErr w:type="spellEnd"/>
      <w:r w:rsidRPr="00C62A4E">
        <w:rPr>
          <w:rFonts w:ascii="Verdana" w:hAnsi="Verdana"/>
          <w:sz w:val="16"/>
          <w:szCs w:val="16"/>
          <w:lang w:val="es-CL"/>
        </w:rPr>
        <w:t xml:space="preserve"> sobre las circunstancias de su muerte.</w:t>
      </w:r>
    </w:p>
    <w:p w14:paraId="58867AF3" w14:textId="77777777" w:rsidR="008624B8" w:rsidRPr="00C62A4E" w:rsidRDefault="008624B8" w:rsidP="00C62A4E">
      <w:pPr>
        <w:pStyle w:val="Textonotapie"/>
        <w:rPr>
          <w:rFonts w:ascii="Verdana" w:hAnsi="Verdana"/>
          <w:sz w:val="16"/>
          <w:szCs w:val="16"/>
          <w:lang w:val="es-CL"/>
        </w:rPr>
      </w:pPr>
    </w:p>
  </w:footnote>
  <w:footnote w:id="53">
    <w:p w14:paraId="10144520" w14:textId="0E70B7E0" w:rsidR="008624B8" w:rsidRPr="00C62A4E" w:rsidRDefault="008624B8"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26 de junio de 2012 la Corte Interamericana de Derechos Humanos dictó Sentencia en el caso </w:t>
      </w:r>
      <w:proofErr w:type="spellStart"/>
      <w:r w:rsidRPr="00C62A4E">
        <w:rPr>
          <w:rFonts w:ascii="Verdana" w:hAnsi="Verdana"/>
          <w:sz w:val="16"/>
          <w:szCs w:val="16"/>
          <w:lang w:val="es-CL"/>
        </w:rPr>
        <w:t>Díaz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Peña</w:t>
      </w:r>
      <w:proofErr w:type="spellEnd"/>
      <w:r w:rsidRPr="00C62A4E">
        <w:rPr>
          <w:rFonts w:ascii="Verdana" w:hAnsi="Verdana"/>
          <w:sz w:val="16"/>
          <w:szCs w:val="16"/>
          <w:lang w:val="es-CL"/>
        </w:rPr>
        <w:t xml:space="preserve"> vs. Venezuela. La Corte </w:t>
      </w:r>
      <w:proofErr w:type="spellStart"/>
      <w:r w:rsidRPr="00C62A4E">
        <w:rPr>
          <w:rFonts w:ascii="Verdana" w:hAnsi="Verdana"/>
          <w:sz w:val="16"/>
          <w:szCs w:val="16"/>
          <w:lang w:val="es-CL"/>
        </w:rPr>
        <w:t>acogio</w:t>
      </w:r>
      <w:proofErr w:type="spellEnd"/>
      <w:r w:rsidRPr="00C62A4E">
        <w:rPr>
          <w:rFonts w:ascii="Verdana" w:hAnsi="Verdana"/>
          <w:sz w:val="16"/>
          <w:szCs w:val="16"/>
          <w:lang w:val="es-CL"/>
        </w:rPr>
        <w:t xml:space="preserve">́ la </w:t>
      </w:r>
      <w:proofErr w:type="spellStart"/>
      <w:r w:rsidRPr="00C62A4E">
        <w:rPr>
          <w:rFonts w:ascii="Verdana" w:hAnsi="Verdana"/>
          <w:sz w:val="16"/>
          <w:szCs w:val="16"/>
          <w:lang w:val="es-CL"/>
        </w:rPr>
        <w:t>excepción</w:t>
      </w:r>
      <w:proofErr w:type="spellEnd"/>
      <w:r w:rsidRPr="00C62A4E">
        <w:rPr>
          <w:rFonts w:ascii="Verdana" w:hAnsi="Verdana"/>
          <w:sz w:val="16"/>
          <w:szCs w:val="16"/>
          <w:lang w:val="es-CL"/>
        </w:rPr>
        <w:t xml:space="preserve"> preliminar sobre falta de agotamiento de recursos internos en lo que se refiere a la </w:t>
      </w:r>
      <w:proofErr w:type="spellStart"/>
      <w:r w:rsidRPr="00C62A4E">
        <w:rPr>
          <w:rFonts w:ascii="Verdana" w:hAnsi="Verdana"/>
          <w:sz w:val="16"/>
          <w:szCs w:val="16"/>
          <w:lang w:val="es-CL"/>
        </w:rPr>
        <w:t>detención</w:t>
      </w:r>
      <w:proofErr w:type="spellEnd"/>
      <w:r w:rsidRPr="00C62A4E">
        <w:rPr>
          <w:rFonts w:ascii="Verdana" w:hAnsi="Verdana"/>
          <w:sz w:val="16"/>
          <w:szCs w:val="16"/>
          <w:lang w:val="es-CL"/>
        </w:rPr>
        <w:t xml:space="preserve"> preventiva y la </w:t>
      </w:r>
      <w:proofErr w:type="spellStart"/>
      <w:r w:rsidRPr="00C62A4E">
        <w:rPr>
          <w:rFonts w:ascii="Verdana" w:hAnsi="Verdana"/>
          <w:sz w:val="16"/>
          <w:szCs w:val="16"/>
          <w:lang w:val="es-CL"/>
        </w:rPr>
        <w:t>duración</w:t>
      </w:r>
      <w:proofErr w:type="spellEnd"/>
      <w:r w:rsidRPr="00C62A4E">
        <w:rPr>
          <w:rFonts w:ascii="Verdana" w:hAnsi="Verdana"/>
          <w:sz w:val="16"/>
          <w:szCs w:val="16"/>
          <w:lang w:val="es-CL"/>
        </w:rPr>
        <w:t xml:space="preserve"> del proceso, entró a conocer sobre el fondo del asunto mencionado en lo que respecta a las condiciones de </w:t>
      </w:r>
      <w:proofErr w:type="spellStart"/>
      <w:r w:rsidRPr="00C62A4E">
        <w:rPr>
          <w:rFonts w:ascii="Verdana" w:hAnsi="Verdana"/>
          <w:sz w:val="16"/>
          <w:szCs w:val="16"/>
          <w:lang w:val="es-CL"/>
        </w:rPr>
        <w:t>detención</w:t>
      </w:r>
      <w:proofErr w:type="spellEnd"/>
      <w:r w:rsidRPr="00C62A4E">
        <w:rPr>
          <w:rFonts w:ascii="Verdana" w:hAnsi="Verdana"/>
          <w:sz w:val="16"/>
          <w:szCs w:val="16"/>
          <w:lang w:val="es-CL"/>
        </w:rPr>
        <w:t xml:space="preserve">, y declaró que el Estado de Venezuela es internacionalmente responsable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del derecho a la integridad personal y por los tratos inhumanos y degradantes en perjuicio del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Raúl</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Jose</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Díaz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Peña</w:t>
      </w:r>
      <w:proofErr w:type="spellEnd"/>
      <w:r w:rsidRPr="00C62A4E">
        <w:rPr>
          <w:rFonts w:ascii="Verdana" w:hAnsi="Verdana"/>
          <w:sz w:val="16"/>
          <w:szCs w:val="16"/>
          <w:lang w:val="es-CL"/>
        </w:rPr>
        <w:t>.</w:t>
      </w:r>
    </w:p>
    <w:p w14:paraId="154AC194" w14:textId="77777777" w:rsidR="008624B8" w:rsidRPr="00C62A4E" w:rsidRDefault="008624B8" w:rsidP="00C62A4E">
      <w:pPr>
        <w:pStyle w:val="Textonotapie"/>
        <w:rPr>
          <w:rFonts w:ascii="Verdana" w:hAnsi="Verdana"/>
          <w:sz w:val="16"/>
          <w:szCs w:val="16"/>
          <w:lang w:val="es-CL"/>
        </w:rPr>
      </w:pPr>
    </w:p>
  </w:footnote>
  <w:footnote w:id="54">
    <w:p w14:paraId="355860A6" w14:textId="7577AD17" w:rsidR="00BB58A8" w:rsidRPr="00C62A4E" w:rsidRDefault="00BB58A8"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24 de octubre de 2012 la Corte Interamericana de Derechos Humanos dictó Sentencia en el caso </w:t>
      </w:r>
      <w:proofErr w:type="spellStart"/>
      <w:r w:rsidRPr="00C62A4E">
        <w:rPr>
          <w:rFonts w:ascii="Verdana" w:hAnsi="Verdana"/>
          <w:sz w:val="16"/>
          <w:szCs w:val="16"/>
          <w:lang w:val="es-CL"/>
        </w:rPr>
        <w:t>Nadege</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Dorzema</w:t>
      </w:r>
      <w:proofErr w:type="spellEnd"/>
      <w:r w:rsidRPr="00C62A4E">
        <w:rPr>
          <w:rFonts w:ascii="Verdana" w:hAnsi="Verdana"/>
          <w:sz w:val="16"/>
          <w:szCs w:val="16"/>
          <w:lang w:val="es-CL"/>
        </w:rPr>
        <w:t xml:space="preserve"> y otros Vs. </w:t>
      </w:r>
      <w:proofErr w:type="spellStart"/>
      <w:r w:rsidRPr="00C62A4E">
        <w:rPr>
          <w:rFonts w:ascii="Verdana" w:hAnsi="Verdana"/>
          <w:sz w:val="16"/>
          <w:szCs w:val="16"/>
          <w:lang w:val="es-CL"/>
        </w:rPr>
        <w:t>República</w:t>
      </w:r>
      <w:proofErr w:type="spellEnd"/>
      <w:r w:rsidRPr="00C62A4E">
        <w:rPr>
          <w:rFonts w:ascii="Verdana" w:hAnsi="Verdana"/>
          <w:sz w:val="16"/>
          <w:szCs w:val="16"/>
          <w:lang w:val="es-CL"/>
        </w:rPr>
        <w:t xml:space="preserve"> Dominicana y declaró que el Estado es internacionalmente responsable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la vida, a la integridad personal, a la libertad personal,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de </w:t>
      </w:r>
      <w:proofErr w:type="spellStart"/>
      <w:r w:rsidRPr="00C62A4E">
        <w:rPr>
          <w:rFonts w:ascii="Verdana" w:hAnsi="Verdana"/>
          <w:sz w:val="16"/>
          <w:szCs w:val="16"/>
          <w:lang w:val="es-CL"/>
        </w:rPr>
        <w:t>circulación</w:t>
      </w:r>
      <w:proofErr w:type="spellEnd"/>
      <w:r w:rsidRPr="00C62A4E">
        <w:rPr>
          <w:rFonts w:ascii="Verdana" w:hAnsi="Verdana"/>
          <w:sz w:val="16"/>
          <w:szCs w:val="16"/>
          <w:lang w:val="es-CL"/>
        </w:rPr>
        <w:t xml:space="preserve">, y a la protección judicial,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por el incumplimiento de los deberes de adecuar su derecho interno y de no discriminar. Asimismo, la Corte declaró que el Estado no era responsable de la alegada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la personalidad </w:t>
      </w:r>
      <w:proofErr w:type="spellStart"/>
      <w:r w:rsidRPr="00C62A4E">
        <w:rPr>
          <w:rFonts w:ascii="Verdana" w:hAnsi="Verdana"/>
          <w:sz w:val="16"/>
          <w:szCs w:val="16"/>
          <w:lang w:val="es-CL"/>
        </w:rPr>
        <w:t>jurídica</w:t>
      </w:r>
      <w:proofErr w:type="spellEnd"/>
      <w:r w:rsidRPr="00C62A4E">
        <w:rPr>
          <w:rFonts w:ascii="Verdana" w:hAnsi="Verdana"/>
          <w:sz w:val="16"/>
          <w:szCs w:val="16"/>
          <w:lang w:val="es-CL"/>
        </w:rPr>
        <w:t xml:space="preserve"> y de igualdad ante la ley.</w:t>
      </w:r>
    </w:p>
  </w:footnote>
  <w:footnote w:id="55">
    <w:p w14:paraId="38997B29" w14:textId="77777777" w:rsidR="00D05109" w:rsidRPr="004F58F9" w:rsidRDefault="00D05109" w:rsidP="00D05109">
      <w:pPr>
        <w:pStyle w:val="Textonotapie"/>
        <w:rPr>
          <w:rFonts w:ascii="Verdana" w:hAnsi="Verdana"/>
          <w:sz w:val="16"/>
          <w:szCs w:val="16"/>
          <w:lang w:val="es-CL"/>
        </w:rPr>
      </w:pPr>
      <w:r w:rsidRPr="004F58F9">
        <w:rPr>
          <w:rStyle w:val="Refdenotaalpie"/>
          <w:rFonts w:ascii="Verdana" w:hAnsi="Verdana"/>
          <w:sz w:val="16"/>
          <w:szCs w:val="16"/>
        </w:rPr>
        <w:footnoteRef/>
      </w:r>
      <w:r w:rsidRPr="004F58F9">
        <w:rPr>
          <w:rFonts w:ascii="Verdana" w:hAnsi="Verdana"/>
          <w:sz w:val="16"/>
          <w:szCs w:val="16"/>
          <w:lang w:val="es-CL"/>
        </w:rPr>
        <w:t xml:space="preserve"> </w:t>
      </w:r>
      <w:r w:rsidRPr="004F58F9">
        <w:rPr>
          <w:rFonts w:ascii="Verdana" w:hAnsi="Verdana"/>
          <w:sz w:val="16"/>
          <w:szCs w:val="16"/>
          <w:lang w:val="es-CL"/>
        </w:rPr>
        <w:t xml:space="preserve">El 1 de octubre de 2021, la Corte Interamericana de Derechos Humanos dictó sentencia mediante la cual declaró la responsabilidad internacional del Estado de Chile por las violaciones a diversos derechos en perjuicio de Martina Vera Rojas, y del derecho a la integridad personal de sus padres, Carolina Andrea del Pilar Rojas </w:t>
      </w:r>
      <w:proofErr w:type="spellStart"/>
      <w:r w:rsidRPr="004F58F9">
        <w:rPr>
          <w:rFonts w:ascii="Verdana" w:hAnsi="Verdana"/>
          <w:sz w:val="16"/>
          <w:szCs w:val="16"/>
          <w:lang w:val="es-CL"/>
        </w:rPr>
        <w:t>Farías</w:t>
      </w:r>
      <w:proofErr w:type="spellEnd"/>
      <w:r w:rsidRPr="004F58F9">
        <w:rPr>
          <w:rFonts w:ascii="Verdana" w:hAnsi="Verdana"/>
          <w:sz w:val="16"/>
          <w:szCs w:val="16"/>
          <w:lang w:val="es-CL"/>
        </w:rPr>
        <w:t xml:space="preserve"> y Ramiro </w:t>
      </w:r>
      <w:proofErr w:type="spellStart"/>
      <w:r w:rsidRPr="004F58F9">
        <w:rPr>
          <w:rFonts w:ascii="Verdana" w:hAnsi="Verdana"/>
          <w:sz w:val="16"/>
          <w:szCs w:val="16"/>
          <w:lang w:val="es-CL"/>
        </w:rPr>
        <w:t>Álvaro</w:t>
      </w:r>
      <w:proofErr w:type="spellEnd"/>
      <w:r w:rsidRPr="004F58F9">
        <w:rPr>
          <w:rFonts w:ascii="Verdana" w:hAnsi="Verdana"/>
          <w:sz w:val="16"/>
          <w:szCs w:val="16"/>
          <w:lang w:val="es-CL"/>
        </w:rPr>
        <w:t xml:space="preserve"> Vera Rojas. En particular, la Corte </w:t>
      </w:r>
      <w:proofErr w:type="spellStart"/>
      <w:r w:rsidRPr="004F58F9">
        <w:rPr>
          <w:rFonts w:ascii="Verdana" w:hAnsi="Verdana"/>
          <w:sz w:val="16"/>
          <w:szCs w:val="16"/>
          <w:lang w:val="es-CL"/>
        </w:rPr>
        <w:t>encontro</w:t>
      </w:r>
      <w:proofErr w:type="spellEnd"/>
      <w:r w:rsidRPr="004F58F9">
        <w:rPr>
          <w:rFonts w:ascii="Verdana" w:hAnsi="Verdana"/>
          <w:sz w:val="16"/>
          <w:szCs w:val="16"/>
          <w:lang w:val="es-CL"/>
        </w:rPr>
        <w:t xml:space="preserve">́ que los derechos a la vida, la vida digna, la integridad personal, la </w:t>
      </w:r>
      <w:proofErr w:type="spellStart"/>
      <w:r w:rsidRPr="004F58F9">
        <w:rPr>
          <w:rFonts w:ascii="Verdana" w:hAnsi="Verdana"/>
          <w:sz w:val="16"/>
          <w:szCs w:val="16"/>
          <w:lang w:val="es-CL"/>
        </w:rPr>
        <w:t>niñez</w:t>
      </w:r>
      <w:proofErr w:type="spellEnd"/>
      <w:r w:rsidRPr="004F58F9">
        <w:rPr>
          <w:rFonts w:ascii="Verdana" w:hAnsi="Verdana"/>
          <w:sz w:val="16"/>
          <w:szCs w:val="16"/>
          <w:lang w:val="es-CL"/>
        </w:rPr>
        <w:t xml:space="preserve">, la salud y la seguridad social, en </w:t>
      </w:r>
      <w:proofErr w:type="spellStart"/>
      <w:r w:rsidRPr="004F58F9">
        <w:rPr>
          <w:rFonts w:ascii="Verdana" w:hAnsi="Verdana"/>
          <w:sz w:val="16"/>
          <w:szCs w:val="16"/>
          <w:lang w:val="es-CL"/>
        </w:rPr>
        <w:t>relación</w:t>
      </w:r>
      <w:proofErr w:type="spellEnd"/>
      <w:r w:rsidRPr="004F58F9">
        <w:rPr>
          <w:rFonts w:ascii="Verdana" w:hAnsi="Verdana"/>
          <w:sz w:val="16"/>
          <w:szCs w:val="16"/>
          <w:lang w:val="es-CL"/>
        </w:rPr>
        <w:t xml:space="preserve"> con la obligación de garantizar los derechos sin discriminación, y el deber de adoptar disposiciones de derecho interno, se vieron afectados como consecuencia de la </w:t>
      </w:r>
      <w:proofErr w:type="spellStart"/>
      <w:r w:rsidRPr="004F58F9">
        <w:rPr>
          <w:rFonts w:ascii="Verdana" w:hAnsi="Verdana"/>
          <w:sz w:val="16"/>
          <w:szCs w:val="16"/>
          <w:lang w:val="es-CL"/>
        </w:rPr>
        <w:t>decisión</w:t>
      </w:r>
      <w:proofErr w:type="spellEnd"/>
      <w:r w:rsidRPr="004F58F9">
        <w:rPr>
          <w:rFonts w:ascii="Verdana" w:hAnsi="Verdana"/>
          <w:sz w:val="16"/>
          <w:szCs w:val="16"/>
          <w:lang w:val="es-CL"/>
        </w:rPr>
        <w:t xml:space="preserve"> de la aseguradora privada </w:t>
      </w:r>
      <w:proofErr w:type="spellStart"/>
      <w:r w:rsidRPr="004F58F9">
        <w:rPr>
          <w:rFonts w:ascii="Verdana" w:hAnsi="Verdana"/>
          <w:sz w:val="16"/>
          <w:szCs w:val="16"/>
          <w:lang w:val="es-CL"/>
        </w:rPr>
        <w:t>Isapre</w:t>
      </w:r>
      <w:proofErr w:type="spellEnd"/>
      <w:r w:rsidRPr="004F58F9">
        <w:rPr>
          <w:rFonts w:ascii="Verdana" w:hAnsi="Verdana"/>
          <w:sz w:val="16"/>
          <w:szCs w:val="16"/>
          <w:lang w:val="es-CL"/>
        </w:rPr>
        <w:t xml:space="preserve"> </w:t>
      </w:r>
      <w:proofErr w:type="spellStart"/>
      <w:r w:rsidRPr="004F58F9">
        <w:rPr>
          <w:rFonts w:ascii="Verdana" w:hAnsi="Verdana"/>
          <w:sz w:val="16"/>
          <w:szCs w:val="16"/>
          <w:lang w:val="es-CL"/>
        </w:rPr>
        <w:t>MasVida</w:t>
      </w:r>
      <w:proofErr w:type="spellEnd"/>
      <w:r w:rsidRPr="004F58F9">
        <w:rPr>
          <w:rFonts w:ascii="Verdana" w:hAnsi="Verdana"/>
          <w:sz w:val="16"/>
          <w:szCs w:val="16"/>
          <w:lang w:val="es-CL"/>
        </w:rPr>
        <w:t xml:space="preserve">, en virtud de la cual se determinó el retiro de la </w:t>
      </w:r>
      <w:proofErr w:type="spellStart"/>
      <w:r w:rsidRPr="004F58F9">
        <w:rPr>
          <w:rFonts w:ascii="Verdana" w:hAnsi="Verdana"/>
          <w:sz w:val="16"/>
          <w:szCs w:val="16"/>
          <w:lang w:val="es-CL"/>
        </w:rPr>
        <w:t>hospitalización</w:t>
      </w:r>
      <w:proofErr w:type="spellEnd"/>
      <w:r w:rsidRPr="004F58F9">
        <w:rPr>
          <w:rFonts w:ascii="Verdana" w:hAnsi="Verdana"/>
          <w:sz w:val="16"/>
          <w:szCs w:val="16"/>
          <w:lang w:val="es-CL"/>
        </w:rPr>
        <w:t xml:space="preserve"> domiciliaria de Martina Vera, la cual era necesaria para su adecuado tratamiento </w:t>
      </w:r>
      <w:proofErr w:type="spellStart"/>
      <w:r w:rsidRPr="004F58F9">
        <w:rPr>
          <w:rFonts w:ascii="Verdana" w:hAnsi="Verdana"/>
          <w:sz w:val="16"/>
          <w:szCs w:val="16"/>
          <w:lang w:val="es-CL"/>
        </w:rPr>
        <w:t>médico</w:t>
      </w:r>
      <w:proofErr w:type="spellEnd"/>
      <w:r w:rsidRPr="004F58F9">
        <w:rPr>
          <w:rFonts w:ascii="Verdana" w:hAnsi="Verdana"/>
          <w:sz w:val="16"/>
          <w:szCs w:val="16"/>
          <w:lang w:val="es-CL"/>
        </w:rPr>
        <w:t xml:space="preserve">. La </w:t>
      </w:r>
      <w:proofErr w:type="spellStart"/>
      <w:r w:rsidRPr="004F58F9">
        <w:rPr>
          <w:rFonts w:ascii="Verdana" w:hAnsi="Verdana"/>
          <w:sz w:val="16"/>
          <w:szCs w:val="16"/>
          <w:lang w:val="es-CL"/>
        </w:rPr>
        <w:t>decisión</w:t>
      </w:r>
      <w:proofErr w:type="spellEnd"/>
      <w:r w:rsidRPr="004F58F9">
        <w:rPr>
          <w:rFonts w:ascii="Verdana" w:hAnsi="Verdana"/>
          <w:sz w:val="16"/>
          <w:szCs w:val="16"/>
          <w:lang w:val="es-CL"/>
        </w:rPr>
        <w:t xml:space="preserve"> de la aseguradora fue adoptada sobre la base de una </w:t>
      </w:r>
      <w:proofErr w:type="spellStart"/>
      <w:r w:rsidRPr="004F58F9">
        <w:rPr>
          <w:rFonts w:ascii="Verdana" w:hAnsi="Verdana"/>
          <w:sz w:val="16"/>
          <w:szCs w:val="16"/>
          <w:lang w:val="es-CL"/>
        </w:rPr>
        <w:t>disposición</w:t>
      </w:r>
      <w:proofErr w:type="spellEnd"/>
      <w:r w:rsidRPr="004F58F9">
        <w:rPr>
          <w:rFonts w:ascii="Verdana" w:hAnsi="Verdana"/>
          <w:sz w:val="16"/>
          <w:szCs w:val="16"/>
          <w:lang w:val="es-CL"/>
        </w:rPr>
        <w:t xml:space="preserve"> reglamentaria de la Superintendencia de Salud que </w:t>
      </w:r>
      <w:proofErr w:type="spellStart"/>
      <w:r w:rsidRPr="004F58F9">
        <w:rPr>
          <w:rFonts w:ascii="Verdana" w:hAnsi="Verdana"/>
          <w:sz w:val="16"/>
          <w:szCs w:val="16"/>
          <w:lang w:val="es-CL"/>
        </w:rPr>
        <w:t>permitía</w:t>
      </w:r>
      <w:proofErr w:type="spellEnd"/>
      <w:r w:rsidRPr="004F58F9">
        <w:rPr>
          <w:rFonts w:ascii="Verdana" w:hAnsi="Verdana"/>
          <w:sz w:val="16"/>
          <w:szCs w:val="16"/>
          <w:lang w:val="es-CL"/>
        </w:rPr>
        <w:t xml:space="preserve"> dicho retiro, por lo que la Corte determinó que el Estado </w:t>
      </w:r>
      <w:proofErr w:type="spellStart"/>
      <w:r w:rsidRPr="004F58F9">
        <w:rPr>
          <w:rFonts w:ascii="Verdana" w:hAnsi="Verdana"/>
          <w:sz w:val="16"/>
          <w:szCs w:val="16"/>
          <w:lang w:val="es-CL"/>
        </w:rPr>
        <w:t>incumplio</w:t>
      </w:r>
      <w:proofErr w:type="spellEnd"/>
      <w:r w:rsidRPr="004F58F9">
        <w:rPr>
          <w:rFonts w:ascii="Verdana" w:hAnsi="Verdana"/>
          <w:sz w:val="16"/>
          <w:szCs w:val="16"/>
          <w:lang w:val="es-CL"/>
        </w:rPr>
        <w:t xml:space="preserve">́ con su deber de regulación de los servicios de salud. Asimismo, el Tribunal determinó que los sufrimientos de los padres de Martina constituyeron una </w:t>
      </w:r>
      <w:proofErr w:type="spellStart"/>
      <w:r w:rsidRPr="004F58F9">
        <w:rPr>
          <w:rFonts w:ascii="Verdana" w:hAnsi="Verdana"/>
          <w:sz w:val="16"/>
          <w:szCs w:val="16"/>
          <w:lang w:val="es-CL"/>
        </w:rPr>
        <w:t>violación</w:t>
      </w:r>
      <w:proofErr w:type="spellEnd"/>
      <w:r w:rsidRPr="004F58F9">
        <w:rPr>
          <w:rFonts w:ascii="Verdana" w:hAnsi="Verdana"/>
          <w:sz w:val="16"/>
          <w:szCs w:val="16"/>
          <w:lang w:val="es-CL"/>
        </w:rPr>
        <w:t xml:space="preserve"> a su derecho a la integridad personal. En consecuencia, la Corte concluyó que el Estado es responsable por la </w:t>
      </w:r>
      <w:proofErr w:type="spellStart"/>
      <w:r w:rsidRPr="004F58F9">
        <w:rPr>
          <w:rFonts w:ascii="Verdana" w:hAnsi="Verdana"/>
          <w:sz w:val="16"/>
          <w:szCs w:val="16"/>
          <w:lang w:val="es-CL"/>
        </w:rPr>
        <w:t>violación</w:t>
      </w:r>
      <w:proofErr w:type="spellEnd"/>
      <w:r w:rsidRPr="004F58F9">
        <w:rPr>
          <w:rFonts w:ascii="Verdana" w:hAnsi="Verdana"/>
          <w:sz w:val="16"/>
          <w:szCs w:val="16"/>
          <w:lang w:val="es-CL"/>
        </w:rPr>
        <w:t xml:space="preserve"> de los </w:t>
      </w:r>
      <w:proofErr w:type="spellStart"/>
      <w:r w:rsidRPr="004F58F9">
        <w:rPr>
          <w:rFonts w:ascii="Verdana" w:hAnsi="Verdana"/>
          <w:sz w:val="16"/>
          <w:szCs w:val="16"/>
          <w:lang w:val="es-CL"/>
        </w:rPr>
        <w:t>artículos</w:t>
      </w:r>
      <w:proofErr w:type="spellEnd"/>
      <w:r w:rsidRPr="004F58F9">
        <w:rPr>
          <w:rFonts w:ascii="Verdana" w:hAnsi="Verdana"/>
          <w:sz w:val="16"/>
          <w:szCs w:val="16"/>
          <w:lang w:val="es-CL"/>
        </w:rPr>
        <w:t xml:space="preserve"> 4, 5, 19 y 26 de la Convención Americana sobre Derechos Humanos, en </w:t>
      </w:r>
      <w:proofErr w:type="spellStart"/>
      <w:r w:rsidRPr="004F58F9">
        <w:rPr>
          <w:rFonts w:ascii="Verdana" w:hAnsi="Verdana"/>
          <w:sz w:val="16"/>
          <w:szCs w:val="16"/>
          <w:lang w:val="es-CL"/>
        </w:rPr>
        <w:t>relación</w:t>
      </w:r>
      <w:proofErr w:type="spellEnd"/>
      <w:r w:rsidRPr="004F58F9">
        <w:rPr>
          <w:rFonts w:ascii="Verdana" w:hAnsi="Verdana"/>
          <w:sz w:val="16"/>
          <w:szCs w:val="16"/>
          <w:lang w:val="es-CL"/>
        </w:rPr>
        <w:t xml:space="preserve"> con los </w:t>
      </w:r>
      <w:proofErr w:type="spellStart"/>
      <w:r w:rsidRPr="004F58F9">
        <w:rPr>
          <w:rFonts w:ascii="Verdana" w:hAnsi="Verdana"/>
          <w:sz w:val="16"/>
          <w:szCs w:val="16"/>
          <w:lang w:val="es-CL"/>
        </w:rPr>
        <w:t>artículos</w:t>
      </w:r>
      <w:proofErr w:type="spellEnd"/>
      <w:r w:rsidRPr="004F58F9">
        <w:rPr>
          <w:rFonts w:ascii="Verdana" w:hAnsi="Verdana"/>
          <w:sz w:val="16"/>
          <w:szCs w:val="16"/>
          <w:lang w:val="es-CL"/>
        </w:rPr>
        <w:t xml:space="preserve"> 1.1 y 2 del mismo instrumento.</w:t>
      </w:r>
    </w:p>
  </w:footnote>
  <w:footnote w:id="56">
    <w:p w14:paraId="375D7317" w14:textId="77777777" w:rsidR="0094754F" w:rsidRPr="00C62A4E" w:rsidRDefault="0094754F" w:rsidP="00C62A4E">
      <w:pPr>
        <w:pStyle w:val="Textonotapie"/>
        <w:rPr>
          <w:rFonts w:ascii="Verdana" w:hAnsi="Verdana"/>
          <w:sz w:val="16"/>
          <w:szCs w:val="16"/>
          <w:lang w:val="es-ES"/>
        </w:rPr>
      </w:pPr>
      <w:r w:rsidRPr="00C62A4E">
        <w:rPr>
          <w:rStyle w:val="Refdenotaalpie"/>
          <w:rFonts w:ascii="Verdana" w:hAnsi="Verdana"/>
          <w:sz w:val="16"/>
          <w:szCs w:val="16"/>
        </w:rPr>
        <w:footnoteRef/>
      </w:r>
      <w:r w:rsidRPr="00C62A4E">
        <w:rPr>
          <w:rFonts w:ascii="Verdana" w:hAnsi="Verdana"/>
          <w:sz w:val="16"/>
          <w:szCs w:val="16"/>
          <w:lang w:val="es-ES"/>
        </w:rPr>
        <w:t xml:space="preserve"> Nota del Editor: este tema se desarrolla con detalle en el Cuadernillo Nº 9, relativo a la personas privadas de libertad.</w:t>
      </w:r>
    </w:p>
  </w:footnote>
  <w:footnote w:id="57">
    <w:p w14:paraId="0C298A68" w14:textId="0FC2744F" w:rsidR="007A0CC8" w:rsidRPr="00C62A4E" w:rsidRDefault="007A0CC8"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al reconocimiento de responsabilidad internacional del Estado por el asesinato de siete cimarrones a cargo de mandos militares. La Corte estableció la responsabilidad internacional del Estado por la violación de los siguientes derechos convencionales: Artículo 1 (Obligación de respetar los derechos.) , Artículo 2 (Deber de adoptar disposiciones de derecho interno) , Artículo 25 (Protección Judicial) , Artículo 4 (Derecho a la vida) , Artículo 5 (Derecho a la Integridad Personal) , Artículo 7 (Derecho a la libertad personal).</w:t>
      </w:r>
    </w:p>
    <w:p w14:paraId="12776458" w14:textId="77777777" w:rsidR="007A0CC8" w:rsidRPr="00C62A4E" w:rsidRDefault="007A0CC8" w:rsidP="00C62A4E">
      <w:pPr>
        <w:pStyle w:val="Textonotapie"/>
        <w:rPr>
          <w:rFonts w:ascii="Verdana" w:hAnsi="Verdana"/>
          <w:sz w:val="16"/>
          <w:szCs w:val="16"/>
          <w:lang w:val="es-CL"/>
        </w:rPr>
      </w:pPr>
    </w:p>
  </w:footnote>
  <w:footnote w:id="58">
    <w:p w14:paraId="465DED89" w14:textId="4E2296F4" w:rsidR="007A0CC8" w:rsidRPr="00C62A4E" w:rsidRDefault="007A0CC8"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 ineficacia en la investigación y sanción de los responsables de la detención y muerte de Nicholas Blake. La Corte estableció la responsabilidad internacional del Estado por la piel nación de los siguientes derechos convencionales: Artículo 1 (Obligación de respetar los derechos.) , Artículo 13 (Libertad de pensamiento y expresión) , Artículo 22 ( Derecho de circulación y de residencia) , Artículo 25 (Protección Judicial) , Artículo 4 (Derecho a la vida) , Artículo 5 (Derecho a la Integridad Personal) , Artículo 7 (Derecho a la libertad personal) , Artículo 8 (Garantías Judiciales).</w:t>
      </w:r>
    </w:p>
  </w:footnote>
  <w:footnote w:id="59">
    <w:p w14:paraId="73851910" w14:textId="35734FF6" w:rsidR="005A434D" w:rsidRPr="00C62A4E" w:rsidRDefault="005A434D" w:rsidP="00C62A4E">
      <w:pPr>
        <w:pStyle w:val="NormalNumbered"/>
        <w:spacing w:line="240" w:lineRule="auto"/>
        <w:ind w:left="0"/>
        <w:rPr>
          <w:sz w:val="16"/>
          <w:szCs w:val="16"/>
        </w:rPr>
      </w:pPr>
      <w:r w:rsidRPr="00C62A4E">
        <w:rPr>
          <w:rStyle w:val="Refdenotaalpie"/>
          <w:sz w:val="16"/>
          <w:szCs w:val="16"/>
        </w:rPr>
        <w:footnoteRef/>
      </w:r>
      <w:r w:rsidRPr="00C62A4E">
        <w:rPr>
          <w:sz w:val="16"/>
          <w:szCs w:val="16"/>
        </w:rPr>
        <w:t xml:space="preserve"> El caso se refiere a la responsabilidad internacional del estado por la negación de la emisión de las actas de nacimiento a favor de </w:t>
      </w:r>
      <w:proofErr w:type="spellStart"/>
      <w:r w:rsidRPr="00C62A4E">
        <w:rPr>
          <w:sz w:val="16"/>
          <w:szCs w:val="16"/>
        </w:rPr>
        <w:t>dilcia</w:t>
      </w:r>
      <w:proofErr w:type="spellEnd"/>
      <w:r w:rsidRPr="00C62A4E">
        <w:rPr>
          <w:sz w:val="16"/>
          <w:szCs w:val="16"/>
        </w:rPr>
        <w:t xml:space="preserve"> oliven </w:t>
      </w:r>
      <w:proofErr w:type="spellStart"/>
      <w:r w:rsidRPr="00C62A4E">
        <w:rPr>
          <w:sz w:val="16"/>
          <w:szCs w:val="16"/>
        </w:rPr>
        <w:t>yean</w:t>
      </w:r>
      <w:proofErr w:type="spellEnd"/>
      <w:r w:rsidRPr="00C62A4E">
        <w:rPr>
          <w:sz w:val="16"/>
          <w:szCs w:val="16"/>
        </w:rPr>
        <w:t xml:space="preserve"> y violeta </w:t>
      </w:r>
      <w:proofErr w:type="spellStart"/>
      <w:r w:rsidRPr="00C62A4E">
        <w:rPr>
          <w:sz w:val="16"/>
          <w:szCs w:val="16"/>
        </w:rPr>
        <w:t>bosico</w:t>
      </w:r>
      <w:proofErr w:type="spellEnd"/>
      <w:r w:rsidRPr="00C62A4E">
        <w:rPr>
          <w:sz w:val="16"/>
          <w:szCs w:val="16"/>
        </w:rPr>
        <w:t xml:space="preserve"> </w:t>
      </w:r>
      <w:proofErr w:type="spellStart"/>
      <w:r w:rsidRPr="00C62A4E">
        <w:rPr>
          <w:sz w:val="16"/>
          <w:szCs w:val="16"/>
        </w:rPr>
        <w:t>cofi</w:t>
      </w:r>
      <w:proofErr w:type="spellEnd"/>
      <w:r w:rsidRPr="00C62A4E">
        <w:rPr>
          <w:sz w:val="16"/>
          <w:szCs w:val="16"/>
        </w:rPr>
        <w:t xml:space="preserve"> a través de las autoridades del registro civil, y las perjudiciales consecuencias que dicha situación generó en ellas. En la sentencia la corte declaró al estado responsable internacionalmente por haber vulnerado: artículo 1 (obligación de respetar los derechos), artículo 12 (libertad de conciencia y de religión), artículo 17 ( protección a la familia), artículo 18 (derecho al nombre), artículo 19 (derecho de niño), artículo 2 (deber de adoptar disposiciones de derecho interno), artículo 20 (derecho a la nacionalidad), artículo 21 (derecho a la propiedad privada), artículo 24 (igualdad ante la ley), artículo 25 (protección judicial), artículo 3 (derecho al reconocimiento de la personalidad jurídica), artículo 5 (derecho a la integridad personal), artículo 8 (garantías judiciales).</w:t>
      </w:r>
    </w:p>
    <w:p w14:paraId="23CF650A" w14:textId="77777777" w:rsidR="008F14D4" w:rsidRPr="00C62A4E" w:rsidRDefault="008F14D4" w:rsidP="00C62A4E">
      <w:pPr>
        <w:pStyle w:val="NormalNumbered"/>
        <w:spacing w:line="240" w:lineRule="auto"/>
        <w:ind w:left="0"/>
        <w:rPr>
          <w:sz w:val="16"/>
          <w:szCs w:val="16"/>
        </w:rPr>
      </w:pPr>
    </w:p>
  </w:footnote>
  <w:footnote w:id="60">
    <w:p w14:paraId="7994B10E" w14:textId="33844410" w:rsidR="009329C3" w:rsidRPr="00C62A4E" w:rsidRDefault="009329C3"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 falta de investigación y sanción de los responsables de la muerte de Laura Susana Albán Cornejo en un hospital privado. La Corte establece la responsabilidad internacional del Estado por la violación de los siguientes derechos convencionales: Artículo 1 (Obligación de respetar los derechos.) , Artículo 13 (Libertad de pensamiento y expresión) , Artículo 17 ( Protección a la Familia) , Artículo 2 (Deber de adoptar disposiciones de derecho interno) , Artículo 25 (Protección Judicial) , Artículo 4 (Derecho a la vida) , Artículo 5 (Derecho a la Integridad Personal) , Artículo 8 (Garantías Judiciales).</w:t>
      </w:r>
    </w:p>
    <w:p w14:paraId="598713B9" w14:textId="77777777" w:rsidR="009329C3" w:rsidRPr="00C62A4E" w:rsidRDefault="009329C3" w:rsidP="00C62A4E">
      <w:pPr>
        <w:pStyle w:val="Textonotapie"/>
        <w:rPr>
          <w:rFonts w:ascii="Verdana" w:hAnsi="Verdana"/>
          <w:sz w:val="16"/>
          <w:szCs w:val="16"/>
          <w:lang w:val="es-CL"/>
        </w:rPr>
      </w:pPr>
    </w:p>
  </w:footnote>
  <w:footnote w:id="61">
    <w:p w14:paraId="57EE992E" w14:textId="25E543AF" w:rsidR="00B32B2B" w:rsidRPr="00C62A4E" w:rsidRDefault="00B32B2B"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 ejecución extrajudicial de Blanca Jeannette </w:t>
      </w:r>
      <w:proofErr w:type="spellStart"/>
      <w:r w:rsidRPr="00C62A4E">
        <w:rPr>
          <w:rFonts w:ascii="Verdana" w:hAnsi="Verdana"/>
          <w:sz w:val="16"/>
          <w:szCs w:val="16"/>
          <w:lang w:val="es-CL"/>
        </w:rPr>
        <w:t>Kawas</w:t>
      </w:r>
      <w:proofErr w:type="spellEnd"/>
      <w:r w:rsidRPr="00C62A4E">
        <w:rPr>
          <w:rFonts w:ascii="Verdana" w:hAnsi="Verdana"/>
          <w:sz w:val="16"/>
          <w:szCs w:val="16"/>
          <w:lang w:val="es-CL"/>
        </w:rPr>
        <w:t xml:space="preserve"> Fernández, y la posterior falta de diligencia y obstaculización de las investigaciones y actuaciones judiciales con motivo de los hechos. La Corte estableció la responsabilidad internacional del Estado por la violación de los siguientes derechos convencionales: Artículo 1 (Obligación de respetar los derechos.) , Artículo 16 (Derecho a la Libertad de Asociación) , Artículo 2 (Deber de adoptar disposiciones de derecho interno) , Artículo 25 (Protección Judicial) , Artículo 4 (Derecho a la vida) , Artículo 5 (Derecho a la Integridad Personal) , Artículo 8 (Garantías Judiciales).</w:t>
      </w:r>
    </w:p>
    <w:p w14:paraId="4A93C88B" w14:textId="77777777" w:rsidR="00B32B2B" w:rsidRPr="00C62A4E" w:rsidRDefault="00B32B2B" w:rsidP="00C62A4E">
      <w:pPr>
        <w:pStyle w:val="Textonotapie"/>
        <w:rPr>
          <w:rFonts w:ascii="Verdana" w:hAnsi="Verdana"/>
          <w:sz w:val="16"/>
          <w:szCs w:val="16"/>
          <w:lang w:val="es-CL"/>
        </w:rPr>
      </w:pPr>
    </w:p>
  </w:footnote>
  <w:footnote w:id="62">
    <w:p w14:paraId="0E741585" w14:textId="60106697" w:rsidR="00B32B2B" w:rsidRPr="00C62A4E" w:rsidRDefault="00B32B2B" w:rsidP="00C62A4E">
      <w:pPr>
        <w:pStyle w:val="Sinespaciado"/>
        <w:rPr>
          <w:sz w:val="16"/>
          <w:szCs w:val="16"/>
        </w:rPr>
      </w:pPr>
      <w:r w:rsidRPr="00C62A4E">
        <w:rPr>
          <w:rStyle w:val="Refdenotaalpie"/>
          <w:sz w:val="16"/>
          <w:szCs w:val="16"/>
        </w:rPr>
        <w:footnoteRef/>
      </w:r>
      <w:r w:rsidRPr="00C62A4E">
        <w:rPr>
          <w:sz w:val="16"/>
          <w:szCs w:val="16"/>
        </w:rPr>
        <w:t xml:space="preserve"> El caso se refiere a la responsabilidad internacional del Estado por la falta de diligencia en las investigaciones relacionadas a la desaparición y muerte de Claudia Ivette Gonzáles, Esmeralda Herrera Monreal y Laura Berenice Ramos </w:t>
      </w:r>
      <w:proofErr w:type="spellStart"/>
      <w:r w:rsidRPr="00C62A4E">
        <w:rPr>
          <w:sz w:val="16"/>
          <w:szCs w:val="16"/>
        </w:rPr>
        <w:t>Monárrez</w:t>
      </w:r>
      <w:proofErr w:type="spellEnd"/>
      <w:r w:rsidRPr="00C62A4E">
        <w:rPr>
          <w:sz w:val="16"/>
          <w:szCs w:val="16"/>
        </w:rPr>
        <w:t>. La Corte estableció la responsabilidad internacional del Estado de México por la violación de los siguientes derechos convencionales: Artículo 1 (Obligación de respetar los derechos), Artículo 11 (Derecho a la honra y dignidad), Artículo 19 (Derecho de niño), Artículo 2 (Deber de adoptar disposiciones de derecho interno), Artículo 25 (Protección Judicial), Artículo 4 (Derecho a la vida), Artículo 5 (Derecho a la Integridad Personal), Artículo 8 (Garantías Judiciales).</w:t>
      </w:r>
    </w:p>
    <w:p w14:paraId="703CA4F1" w14:textId="77777777" w:rsidR="00B32B2B" w:rsidRPr="00C62A4E" w:rsidRDefault="00B32B2B" w:rsidP="00C62A4E">
      <w:pPr>
        <w:pStyle w:val="Sinespaciado"/>
        <w:rPr>
          <w:sz w:val="16"/>
          <w:szCs w:val="16"/>
        </w:rPr>
      </w:pPr>
    </w:p>
  </w:footnote>
  <w:footnote w:id="63">
    <w:p w14:paraId="71BD946E" w14:textId="7BF61357" w:rsidR="00F01102" w:rsidRPr="00C62A4E" w:rsidRDefault="00F01102"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 ejecución </w:t>
      </w:r>
      <w:proofErr w:type="spellStart"/>
      <w:r w:rsidRPr="00C62A4E">
        <w:rPr>
          <w:rFonts w:ascii="Verdana" w:hAnsi="Verdana"/>
          <w:sz w:val="16"/>
          <w:szCs w:val="16"/>
          <w:lang w:val="es-CL"/>
        </w:rPr>
        <w:t>extrajudial</w:t>
      </w:r>
      <w:proofErr w:type="spellEnd"/>
      <w:r w:rsidRPr="00C62A4E">
        <w:rPr>
          <w:rFonts w:ascii="Verdana" w:hAnsi="Verdana"/>
          <w:sz w:val="16"/>
          <w:szCs w:val="16"/>
          <w:lang w:val="es-CL"/>
        </w:rPr>
        <w:t xml:space="preserve"> de Manuel Cepeda Vargas, así como por la falta de investigación y sanción de los responsables. En la corte estableció la responsabilidad internacional del Estado por la violación de los siguientes derechos convencionales: Artículo 1 (Obligación de respetar los derechos.) , Artículo 11 (Derecho a la honra y dignidad) , Artículo 13 (Libertad de pensamiento y expresión) , Artículo 16 (Derecho a la Libertad de Asociación) , Artículo 22 ( Derecho de circulación y de residencia) , Artículo 23 (Derechos políticos) , Artículo 25 (Protección Judicial) , Artículo 4 (Derecho a la vida) , Artículo 5 (Derecho a la Integridad Personal) , Artículo 8 (Garantías Judiciales).</w:t>
      </w:r>
    </w:p>
    <w:p w14:paraId="2A50E772" w14:textId="77777777" w:rsidR="00F01102" w:rsidRPr="00C62A4E" w:rsidRDefault="00F01102" w:rsidP="00C62A4E">
      <w:pPr>
        <w:pStyle w:val="Textonotapie"/>
        <w:rPr>
          <w:rFonts w:ascii="Verdana" w:hAnsi="Verdana"/>
          <w:sz w:val="16"/>
          <w:szCs w:val="16"/>
          <w:lang w:val="es-CL"/>
        </w:rPr>
      </w:pPr>
    </w:p>
  </w:footnote>
  <w:footnote w:id="64">
    <w:p w14:paraId="412C7D3D" w14:textId="77777777" w:rsidR="008553CB" w:rsidRPr="00C62A4E" w:rsidRDefault="008553CB" w:rsidP="00C62A4E">
      <w:pPr>
        <w:pStyle w:val="Footnotes"/>
        <w:rPr>
          <w:lang w:val="es-CL"/>
        </w:rPr>
      </w:pPr>
      <w:r w:rsidRPr="00C62A4E">
        <w:rPr>
          <w:rStyle w:val="Refdenotaalpie"/>
        </w:rPr>
        <w:footnoteRef/>
      </w:r>
      <w:r w:rsidRPr="00C62A4E">
        <w:t xml:space="preserve"> El presente caso se relaciona, inter alia, con la responsabilidad internacional del Estado por la falta de respuesta oportuna por parte de las autoridades judiciales argentinas, quienes incurrieron en una demora excesiva en la </w:t>
      </w:r>
      <w:proofErr w:type="spellStart"/>
      <w:r w:rsidRPr="00C62A4E">
        <w:t>resolución</w:t>
      </w:r>
      <w:proofErr w:type="spellEnd"/>
      <w:r w:rsidRPr="00C62A4E">
        <w:t xml:space="preserve"> de un proceso civil por </w:t>
      </w:r>
      <w:proofErr w:type="spellStart"/>
      <w:r w:rsidRPr="00C62A4E">
        <w:t>daños</w:t>
      </w:r>
      <w:proofErr w:type="spellEnd"/>
      <w:r w:rsidRPr="00C62A4E">
        <w:t xml:space="preserve"> y perjuicios en contra del Estado, de cuya respuesta </w:t>
      </w:r>
      <w:proofErr w:type="spellStart"/>
      <w:r w:rsidRPr="00C62A4E">
        <w:t>dependía</w:t>
      </w:r>
      <w:proofErr w:type="spellEnd"/>
      <w:r w:rsidRPr="00C62A4E">
        <w:t xml:space="preserve"> el tratamiento </w:t>
      </w:r>
      <w:proofErr w:type="spellStart"/>
      <w:r w:rsidRPr="00C62A4E">
        <w:t>médico</w:t>
      </w:r>
      <w:proofErr w:type="spellEnd"/>
      <w:r w:rsidRPr="00C62A4E">
        <w:t xml:space="preserve"> de un </w:t>
      </w:r>
      <w:proofErr w:type="spellStart"/>
      <w:r w:rsidRPr="00C62A4E">
        <w:t>niño</w:t>
      </w:r>
      <w:proofErr w:type="spellEnd"/>
      <w:r w:rsidRPr="00C62A4E">
        <w:t xml:space="preserve"> y, posteriormente, adulto con discapacidad. Derechos violados: Artículo 1 (Obligación de respetar los derechos.), Artículo 19 (Derecho de niño), Artículo 21 (Derecho a la propiedad privada), Artículo 25 (Protección Judicial), Artículo 26 (Desarrollo progresivo), Artículo 5 (Derecho a la Integridad Personal), Artículo 8 (Garantías Judiciales).</w:t>
      </w:r>
    </w:p>
  </w:footnote>
  <w:footnote w:id="65">
    <w:p w14:paraId="37EDE3D2" w14:textId="77777777" w:rsidR="003C064C" w:rsidRPr="00C62A4E" w:rsidRDefault="003C064C"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16 de febrero de 2017 la Corte Interamericana de Derechos Humanos emitió la Sentencia en el caso Favela Nova Brasilia, mediante la cual declaró responsable internacionalmente al Estado brasileño por la violación del derecho a las garantías judiciales de independencia e imparcialidad de la investigación, debida diligencia y plazo razonable, del derecho a la protección judicial, y del derecho a la integridad personal, respecto a las investigaciones de dos incursiones policiales en la Favela Nova Brasilia, en la ciudad de Río de Janeiro, en 1994 y 1995, que resultaron en el homicidio de 26 hombres y en la violencia sexual de tres mujeres. La Corte declaró dichas violaciones de la Convención Americana sobre Derechos Humanos en perjuicio de 74 familiares de las 26 personas muertas por la Policía Civil de Río de Janeiro el 18 de octubre de 1994 y el 8 de mayo de 1995, y de las tres mujeres víctimas de violación sexual durante el operativo de 1994. Además, la Corte consideró que el Estado no violó el derecho a la integridad personal respecto de algunos de los familiares de las personas muertas, ni el derecho de circulación y de residencia, respecto de las tres víctimas de violación sexual. Por último, la Corte ordenó al Estado la adopción de diversas medidas de reparación.</w:t>
      </w:r>
    </w:p>
  </w:footnote>
  <w:footnote w:id="66">
    <w:p w14:paraId="7E35D138" w14:textId="77777777" w:rsidR="0094754F" w:rsidRPr="00C62A4E" w:rsidRDefault="0094754F"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15 de noviembre de 2017 la Corte Interamericana de Derechos Humanos emitió una Sentencia, mediante la cual declaró responsable internacionalmente al Estado de Honduras por la falta de una investigación diligente del homicidio de Ángel Pacheco León, cometido el 23 de noviembre de 2001. El señor Pacheco </w:t>
      </w:r>
      <w:proofErr w:type="spellStart"/>
      <w:r w:rsidRPr="00C62A4E">
        <w:rPr>
          <w:rFonts w:ascii="Verdana" w:hAnsi="Verdana"/>
          <w:sz w:val="16"/>
          <w:szCs w:val="16"/>
          <w:lang w:val="es-CL"/>
        </w:rPr>
        <w:t>Leon</w:t>
      </w:r>
      <w:proofErr w:type="spellEnd"/>
      <w:r w:rsidRPr="00C62A4E">
        <w:rPr>
          <w:rFonts w:ascii="Verdana" w:hAnsi="Verdana"/>
          <w:sz w:val="16"/>
          <w:szCs w:val="16"/>
          <w:lang w:val="es-CL"/>
        </w:rPr>
        <w:t xml:space="preserve"> era candidato a diputado por el Partido Nacional de Honduras para las elecciones generales que se realizaron el día 25 siguiente. La Corte determinó que el modo en que fue conducida la investigación resultó violatorio de los derechos a las garantías judiciales y protección judicial en perjuicio de 19 familiares del señor Pacheco, así como del derecho a la integridad personal en perjuicio de su madre, su compañera, uno de sus hijos, un hermano y una hermana. </w:t>
      </w:r>
    </w:p>
  </w:footnote>
  <w:footnote w:id="67">
    <w:p w14:paraId="16160705" w14:textId="77777777" w:rsidR="000E6A69" w:rsidRPr="00C62A4E" w:rsidRDefault="000E6A69" w:rsidP="00C62A4E">
      <w:pPr>
        <w:rPr>
          <w:sz w:val="16"/>
          <w:szCs w:val="16"/>
        </w:rPr>
      </w:pPr>
      <w:r w:rsidRPr="00C62A4E">
        <w:rPr>
          <w:rStyle w:val="Refdenotaalpie"/>
          <w:sz w:val="16"/>
          <w:szCs w:val="16"/>
        </w:rPr>
        <w:footnoteRef/>
      </w:r>
      <w:r w:rsidRPr="00C62A4E">
        <w:rPr>
          <w:sz w:val="16"/>
          <w:szCs w:val="16"/>
        </w:rPr>
        <w:t xml:space="preserve"> El caso trata sobre la responsabilidad del Estado por no garantizar al </w:t>
      </w:r>
      <w:proofErr w:type="spellStart"/>
      <w:r w:rsidRPr="00C62A4E">
        <w:rPr>
          <w:sz w:val="16"/>
          <w:szCs w:val="16"/>
        </w:rPr>
        <w:t>señor</w:t>
      </w:r>
      <w:proofErr w:type="spellEnd"/>
      <w:r w:rsidRPr="00C62A4E">
        <w:rPr>
          <w:sz w:val="16"/>
          <w:szCs w:val="16"/>
        </w:rPr>
        <w:t xml:space="preserve"> Vinicio Antonio Poblete Vilches su derecho a la salud sin discriminación, mediante servicios necesarios </w:t>
      </w:r>
      <w:proofErr w:type="spellStart"/>
      <w:r w:rsidRPr="00C62A4E">
        <w:rPr>
          <w:sz w:val="16"/>
          <w:szCs w:val="16"/>
        </w:rPr>
        <w:t>básicos</w:t>
      </w:r>
      <w:proofErr w:type="spellEnd"/>
      <w:r w:rsidRPr="00C62A4E">
        <w:rPr>
          <w:sz w:val="16"/>
          <w:szCs w:val="16"/>
        </w:rPr>
        <w:t xml:space="preserve"> y urgentes en atención a su situación especial de vulnerabilidad como persona adulta mayor, lo cual derivó en su muerte (</w:t>
      </w:r>
      <w:proofErr w:type="spellStart"/>
      <w:r w:rsidRPr="00C62A4E">
        <w:rPr>
          <w:sz w:val="16"/>
          <w:szCs w:val="16"/>
        </w:rPr>
        <w:t>artículos</w:t>
      </w:r>
      <w:proofErr w:type="spellEnd"/>
      <w:r w:rsidRPr="00C62A4E">
        <w:rPr>
          <w:sz w:val="16"/>
          <w:szCs w:val="16"/>
        </w:rPr>
        <w:t xml:space="preserve"> 26, 1.1 y 4 de la Convención Americana sobre Derechos Humanos, en adelante “la Convención”), </w:t>
      </w:r>
      <w:proofErr w:type="spellStart"/>
      <w:r w:rsidRPr="00C62A4E">
        <w:rPr>
          <w:sz w:val="16"/>
          <w:szCs w:val="16"/>
        </w:rPr>
        <w:t>asi</w:t>
      </w:r>
      <w:proofErr w:type="spellEnd"/>
      <w:r w:rsidRPr="00C62A4E">
        <w:rPr>
          <w:sz w:val="16"/>
          <w:szCs w:val="16"/>
        </w:rPr>
        <w:t xml:space="preserve">́ como por los sufrimientos derivados de la </w:t>
      </w:r>
      <w:proofErr w:type="spellStart"/>
      <w:r w:rsidRPr="00C62A4E">
        <w:rPr>
          <w:sz w:val="16"/>
          <w:szCs w:val="16"/>
        </w:rPr>
        <w:t>desatención</w:t>
      </w:r>
      <w:proofErr w:type="spellEnd"/>
      <w:r w:rsidRPr="00C62A4E">
        <w:rPr>
          <w:sz w:val="16"/>
          <w:szCs w:val="16"/>
        </w:rPr>
        <w:t xml:space="preserve"> del paciente (artículo 5 de la misma). Asimismo, la Corte declaró que el Estado vulneró el derecho a obtener el consentimiento informado por </w:t>
      </w:r>
      <w:proofErr w:type="spellStart"/>
      <w:r w:rsidRPr="00C62A4E">
        <w:rPr>
          <w:sz w:val="16"/>
          <w:szCs w:val="16"/>
        </w:rPr>
        <w:t>sustitución</w:t>
      </w:r>
      <w:proofErr w:type="spellEnd"/>
      <w:r w:rsidRPr="00C62A4E">
        <w:rPr>
          <w:sz w:val="16"/>
          <w:szCs w:val="16"/>
        </w:rPr>
        <w:t xml:space="preserve"> y al acceso a la </w:t>
      </w:r>
      <w:proofErr w:type="spellStart"/>
      <w:r w:rsidRPr="00C62A4E">
        <w:rPr>
          <w:sz w:val="16"/>
          <w:szCs w:val="16"/>
        </w:rPr>
        <w:t>información</w:t>
      </w:r>
      <w:proofErr w:type="spellEnd"/>
      <w:r w:rsidRPr="00C62A4E">
        <w:rPr>
          <w:sz w:val="16"/>
          <w:szCs w:val="16"/>
        </w:rPr>
        <w:t xml:space="preserve"> en materia de salud, en perjuicio del </w:t>
      </w:r>
      <w:proofErr w:type="spellStart"/>
      <w:r w:rsidRPr="00C62A4E">
        <w:rPr>
          <w:sz w:val="16"/>
          <w:szCs w:val="16"/>
        </w:rPr>
        <w:t>señor</w:t>
      </w:r>
      <w:proofErr w:type="spellEnd"/>
      <w:r w:rsidRPr="00C62A4E">
        <w:rPr>
          <w:sz w:val="16"/>
          <w:szCs w:val="16"/>
        </w:rPr>
        <w:t xml:space="preserve"> Poblete y de sus familiares (</w:t>
      </w:r>
      <w:proofErr w:type="spellStart"/>
      <w:r w:rsidRPr="00C62A4E">
        <w:rPr>
          <w:sz w:val="16"/>
          <w:szCs w:val="16"/>
        </w:rPr>
        <w:t>artículos</w:t>
      </w:r>
      <w:proofErr w:type="spellEnd"/>
      <w:r w:rsidRPr="00C62A4E">
        <w:rPr>
          <w:sz w:val="16"/>
          <w:szCs w:val="16"/>
        </w:rPr>
        <w:t xml:space="preserve"> 26, 13, 7 y 11, en </w:t>
      </w:r>
      <w:proofErr w:type="spellStart"/>
      <w:r w:rsidRPr="00C62A4E">
        <w:rPr>
          <w:sz w:val="16"/>
          <w:szCs w:val="16"/>
        </w:rPr>
        <w:t>relación</w:t>
      </w:r>
      <w:proofErr w:type="spellEnd"/>
      <w:r w:rsidRPr="00C62A4E">
        <w:rPr>
          <w:sz w:val="16"/>
          <w:szCs w:val="16"/>
        </w:rPr>
        <w:t xml:space="preserve"> con el artículo 1.1 de la Convención), </w:t>
      </w:r>
      <w:proofErr w:type="spellStart"/>
      <w:r w:rsidRPr="00C62A4E">
        <w:rPr>
          <w:sz w:val="16"/>
          <w:szCs w:val="16"/>
        </w:rPr>
        <w:t>asi</w:t>
      </w:r>
      <w:proofErr w:type="spellEnd"/>
      <w:r w:rsidRPr="00C62A4E">
        <w:rPr>
          <w:sz w:val="16"/>
          <w:szCs w:val="16"/>
        </w:rPr>
        <w:t>́ como el derecho al acceso a la justicia (</w:t>
      </w:r>
      <w:proofErr w:type="spellStart"/>
      <w:r w:rsidRPr="00C62A4E">
        <w:rPr>
          <w:sz w:val="16"/>
          <w:szCs w:val="16"/>
        </w:rPr>
        <w:t>artículos</w:t>
      </w:r>
      <w:proofErr w:type="spellEnd"/>
      <w:r w:rsidRPr="00C62A4E">
        <w:rPr>
          <w:sz w:val="16"/>
          <w:szCs w:val="16"/>
        </w:rPr>
        <w:t xml:space="preserve"> 8 y 25 de la misma) e integridad personal, en perjuicio de los familiares del </w:t>
      </w:r>
      <w:proofErr w:type="spellStart"/>
      <w:r w:rsidRPr="00C62A4E">
        <w:rPr>
          <w:sz w:val="16"/>
          <w:szCs w:val="16"/>
        </w:rPr>
        <w:t>señor</w:t>
      </w:r>
      <w:proofErr w:type="spellEnd"/>
      <w:r w:rsidRPr="00C62A4E">
        <w:rPr>
          <w:sz w:val="16"/>
          <w:szCs w:val="16"/>
        </w:rPr>
        <w:t xml:space="preserve"> Poblete (artículo 5 de la misma). La Corte se pronunció por primera </w:t>
      </w:r>
      <w:proofErr w:type="spellStart"/>
      <w:r w:rsidRPr="00C62A4E">
        <w:rPr>
          <w:sz w:val="16"/>
          <w:szCs w:val="16"/>
        </w:rPr>
        <w:t>ocasión</w:t>
      </w:r>
      <w:proofErr w:type="spellEnd"/>
      <w:r w:rsidRPr="00C62A4E">
        <w:rPr>
          <w:sz w:val="16"/>
          <w:szCs w:val="16"/>
        </w:rPr>
        <w:t xml:space="preserve"> respecto el derecho a la salud de manera </w:t>
      </w:r>
      <w:proofErr w:type="spellStart"/>
      <w:r w:rsidRPr="00C62A4E">
        <w:rPr>
          <w:sz w:val="16"/>
          <w:szCs w:val="16"/>
        </w:rPr>
        <w:t>autónoma</w:t>
      </w:r>
      <w:proofErr w:type="spellEnd"/>
      <w:r w:rsidRPr="00C62A4E">
        <w:rPr>
          <w:sz w:val="16"/>
          <w:szCs w:val="16"/>
        </w:rPr>
        <w:t xml:space="preserve">, como parte integrante de los derechos </w:t>
      </w:r>
      <w:proofErr w:type="spellStart"/>
      <w:r w:rsidRPr="00C62A4E">
        <w:rPr>
          <w:sz w:val="16"/>
          <w:szCs w:val="16"/>
        </w:rPr>
        <w:t>económicos</w:t>
      </w:r>
      <w:proofErr w:type="spellEnd"/>
      <w:r w:rsidRPr="00C62A4E">
        <w:rPr>
          <w:sz w:val="16"/>
          <w:szCs w:val="16"/>
        </w:rPr>
        <w:t xml:space="preserve">, sociales, culturales y ambientales (DESCA), en </w:t>
      </w:r>
      <w:proofErr w:type="spellStart"/>
      <w:r w:rsidRPr="00C62A4E">
        <w:rPr>
          <w:sz w:val="16"/>
          <w:szCs w:val="16"/>
        </w:rPr>
        <w:t>interpretación</w:t>
      </w:r>
      <w:proofErr w:type="spellEnd"/>
      <w:r w:rsidRPr="00C62A4E">
        <w:rPr>
          <w:sz w:val="16"/>
          <w:szCs w:val="16"/>
        </w:rPr>
        <w:t xml:space="preserve"> del artículo 26 de la Convención, </w:t>
      </w:r>
      <w:proofErr w:type="spellStart"/>
      <w:r w:rsidRPr="00C62A4E">
        <w:rPr>
          <w:sz w:val="16"/>
          <w:szCs w:val="16"/>
        </w:rPr>
        <w:t>asi</w:t>
      </w:r>
      <w:proofErr w:type="spellEnd"/>
      <w:r w:rsidRPr="00C62A4E">
        <w:rPr>
          <w:sz w:val="16"/>
          <w:szCs w:val="16"/>
        </w:rPr>
        <w:t>́ como respecto de los derechos de las personas adultas mayores (en adelante personas mayores).</w:t>
      </w:r>
    </w:p>
  </w:footnote>
  <w:footnote w:id="68">
    <w:p w14:paraId="71A83D8A" w14:textId="1A6289D5" w:rsidR="0094754F" w:rsidRPr="00C62A4E" w:rsidRDefault="0094754F"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8 de marzo de 2018 la Corte Interamericana de Derechos Humanos emitió una Sentencia, mediante la cual declaró responsable internacionalmente a la República de Nicaragua por la violación de los derechos a la integridad personal y prohibición de tratos crueles, inhumanos y degradantes, a las garantías judiciales, a la vida privada y familiar, a la protección de la familia, de residencia y a la protección judicial, en relación con las obligaciones generales de respeto, garantía, no discriminación y protección especial de niñas, niños y adolescentes, así como por el incumplimiento de las obligaciones derivadas del artículo 7.b) de la Convención Interamericana para Prevenir, Sancionar y Erradicar la Violencia contra la Mujer o Convención de Belém do Pará, en perjuicio de V.R.P. y de su grupo familiar. </w:t>
      </w:r>
    </w:p>
  </w:footnote>
  <w:footnote w:id="69">
    <w:p w14:paraId="7CC98AFB" w14:textId="5A603D38" w:rsidR="007D3060" w:rsidRPr="00C62A4E" w:rsidRDefault="007D3060"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15 de marzo de 2018, la Corte </w:t>
      </w:r>
      <w:proofErr w:type="spellStart"/>
      <w:r w:rsidRPr="00C62A4E">
        <w:rPr>
          <w:rFonts w:ascii="Verdana" w:hAnsi="Verdana"/>
          <w:sz w:val="16"/>
          <w:szCs w:val="16"/>
          <w:lang w:val="es-CL"/>
        </w:rPr>
        <w:t>Intermarericana</w:t>
      </w:r>
      <w:proofErr w:type="spellEnd"/>
      <w:r w:rsidRPr="00C62A4E">
        <w:rPr>
          <w:rFonts w:ascii="Verdana" w:hAnsi="Verdana"/>
          <w:sz w:val="16"/>
          <w:szCs w:val="16"/>
          <w:lang w:val="es-CL"/>
        </w:rPr>
        <w:t xml:space="preserve"> de Derechos humanos dictó una sentencia mediante la cual declaró responsable al Estado de Brasil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protección judicial, previstos en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8.1 y 25.1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1.1 y 2 de la misma, y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1, 6 y 8 de la Convención Interamericana para Prevenir y Sancionar la Tortura (CIPST), en perjuicio de </w:t>
      </w:r>
      <w:proofErr w:type="spellStart"/>
      <w:r w:rsidRPr="00C62A4E">
        <w:rPr>
          <w:rFonts w:ascii="Verdana" w:hAnsi="Verdana"/>
          <w:sz w:val="16"/>
          <w:szCs w:val="16"/>
          <w:lang w:val="es-CL"/>
        </w:rPr>
        <w:t>Zora</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Clarice</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Andre</w:t>
      </w:r>
      <w:proofErr w:type="spellEnd"/>
      <w:r w:rsidRPr="00C62A4E">
        <w:rPr>
          <w:rFonts w:ascii="Verdana" w:hAnsi="Verdana"/>
          <w:sz w:val="16"/>
          <w:szCs w:val="16"/>
          <w:lang w:val="es-CL"/>
        </w:rPr>
        <w:t xml:space="preserve">́ e Ivo Herzog. Lo anterior, como consecuencia de la falta de </w:t>
      </w:r>
      <w:proofErr w:type="spellStart"/>
      <w:r w:rsidRPr="00C62A4E">
        <w:rPr>
          <w:rFonts w:ascii="Verdana" w:hAnsi="Verdana"/>
          <w:sz w:val="16"/>
          <w:szCs w:val="16"/>
          <w:lang w:val="es-CL"/>
        </w:rPr>
        <w:t>investigación</w:t>
      </w:r>
      <w:proofErr w:type="spellEnd"/>
      <w:r w:rsidRPr="00C62A4E">
        <w:rPr>
          <w:rFonts w:ascii="Verdana" w:hAnsi="Verdana"/>
          <w:sz w:val="16"/>
          <w:szCs w:val="16"/>
          <w:lang w:val="es-CL"/>
        </w:rPr>
        <w:t xml:space="preserve">, juzgamiento y </w:t>
      </w:r>
      <w:proofErr w:type="spellStart"/>
      <w:r w:rsidRPr="00C62A4E">
        <w:rPr>
          <w:rFonts w:ascii="Verdana" w:hAnsi="Verdana"/>
          <w:sz w:val="16"/>
          <w:szCs w:val="16"/>
          <w:lang w:val="es-CL"/>
        </w:rPr>
        <w:t>sanción</w:t>
      </w:r>
      <w:proofErr w:type="spellEnd"/>
      <w:r w:rsidRPr="00C62A4E">
        <w:rPr>
          <w:rFonts w:ascii="Verdana" w:hAnsi="Verdana"/>
          <w:sz w:val="16"/>
          <w:szCs w:val="16"/>
          <w:lang w:val="es-CL"/>
        </w:rPr>
        <w:t xml:space="preserve"> de los responsables de la tortura y asesinato de Vladimir Herzog cometidos en un contexto sistemático y generalizado de ataques a la </w:t>
      </w:r>
      <w:proofErr w:type="spellStart"/>
      <w:r w:rsidRPr="00C62A4E">
        <w:rPr>
          <w:rFonts w:ascii="Verdana" w:hAnsi="Verdana"/>
          <w:sz w:val="16"/>
          <w:szCs w:val="16"/>
          <w:lang w:val="es-CL"/>
        </w:rPr>
        <w:t>población</w:t>
      </w:r>
      <w:proofErr w:type="spellEnd"/>
      <w:r w:rsidRPr="00C62A4E">
        <w:rPr>
          <w:rFonts w:ascii="Verdana" w:hAnsi="Verdana"/>
          <w:sz w:val="16"/>
          <w:szCs w:val="16"/>
          <w:lang w:val="es-CL"/>
        </w:rPr>
        <w:t xml:space="preserve"> civil,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por la </w:t>
      </w:r>
      <w:proofErr w:type="spellStart"/>
      <w:r w:rsidRPr="00C62A4E">
        <w:rPr>
          <w:rFonts w:ascii="Verdana" w:hAnsi="Verdana"/>
          <w:sz w:val="16"/>
          <w:szCs w:val="16"/>
          <w:lang w:val="es-CL"/>
        </w:rPr>
        <w:t>aplicación</w:t>
      </w:r>
      <w:proofErr w:type="spellEnd"/>
      <w:r w:rsidRPr="00C62A4E">
        <w:rPr>
          <w:rFonts w:ascii="Verdana" w:hAnsi="Verdana"/>
          <w:sz w:val="16"/>
          <w:szCs w:val="16"/>
          <w:lang w:val="es-CL"/>
        </w:rPr>
        <w:t xml:space="preserve"> de la Ley de </w:t>
      </w:r>
      <w:proofErr w:type="spellStart"/>
      <w:r w:rsidRPr="00C62A4E">
        <w:rPr>
          <w:rFonts w:ascii="Verdana" w:hAnsi="Verdana"/>
          <w:sz w:val="16"/>
          <w:szCs w:val="16"/>
          <w:lang w:val="es-CL"/>
        </w:rPr>
        <w:t>Amnistía</w:t>
      </w:r>
      <w:proofErr w:type="spellEnd"/>
      <w:r w:rsidRPr="00C62A4E">
        <w:rPr>
          <w:rFonts w:ascii="Verdana" w:hAnsi="Verdana"/>
          <w:sz w:val="16"/>
          <w:szCs w:val="16"/>
          <w:lang w:val="es-CL"/>
        </w:rPr>
        <w:t xml:space="preserve"> No. 6683/79 y de otros eximentes de responsabilidad prohibidos por el derecho internacional en casos de </w:t>
      </w:r>
      <w:proofErr w:type="spellStart"/>
      <w:r w:rsidRPr="00C62A4E">
        <w:rPr>
          <w:rFonts w:ascii="Verdana" w:hAnsi="Verdana"/>
          <w:sz w:val="16"/>
          <w:szCs w:val="16"/>
          <w:lang w:val="es-CL"/>
        </w:rPr>
        <w:t>crímenes</w:t>
      </w:r>
      <w:proofErr w:type="spellEnd"/>
      <w:r w:rsidRPr="00C62A4E">
        <w:rPr>
          <w:rFonts w:ascii="Verdana" w:hAnsi="Verdana"/>
          <w:sz w:val="16"/>
          <w:szCs w:val="16"/>
          <w:lang w:val="es-CL"/>
        </w:rPr>
        <w:t xml:space="preserve"> de lesa humanidad. </w:t>
      </w:r>
      <w:proofErr w:type="spellStart"/>
      <w:r w:rsidRPr="00C62A4E">
        <w:rPr>
          <w:rFonts w:ascii="Verdana" w:hAnsi="Verdana"/>
          <w:sz w:val="16"/>
          <w:szCs w:val="16"/>
          <w:lang w:val="es-CL"/>
        </w:rPr>
        <w:t>Ademas</w:t>
      </w:r>
      <w:proofErr w:type="spellEnd"/>
      <w:r w:rsidRPr="00C62A4E">
        <w:rPr>
          <w:rFonts w:ascii="Verdana" w:hAnsi="Verdana"/>
          <w:sz w:val="16"/>
          <w:szCs w:val="16"/>
          <w:lang w:val="es-CL"/>
        </w:rPr>
        <w:t xml:space="preserve">, la Corte consideró que el Estado es responsable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del derecho a conocer la verdad en perjuicio de </w:t>
      </w:r>
      <w:proofErr w:type="spellStart"/>
      <w:r w:rsidRPr="00C62A4E">
        <w:rPr>
          <w:rFonts w:ascii="Verdana" w:hAnsi="Verdana"/>
          <w:sz w:val="16"/>
          <w:szCs w:val="16"/>
          <w:lang w:val="es-CL"/>
        </w:rPr>
        <w:t>Zora</w:t>
      </w:r>
      <w:proofErr w:type="spellEnd"/>
      <w:r w:rsidRPr="00C62A4E">
        <w:rPr>
          <w:rFonts w:ascii="Verdana" w:hAnsi="Verdana"/>
          <w:sz w:val="16"/>
          <w:szCs w:val="16"/>
          <w:lang w:val="es-CL"/>
        </w:rPr>
        <w:t xml:space="preserve"> Herzog, </w:t>
      </w:r>
      <w:proofErr w:type="spellStart"/>
      <w:r w:rsidRPr="00C62A4E">
        <w:rPr>
          <w:rFonts w:ascii="Verdana" w:hAnsi="Verdana"/>
          <w:sz w:val="16"/>
          <w:szCs w:val="16"/>
          <w:lang w:val="es-CL"/>
        </w:rPr>
        <w:t>Clarice</w:t>
      </w:r>
      <w:proofErr w:type="spellEnd"/>
      <w:r w:rsidRPr="00C62A4E">
        <w:rPr>
          <w:rFonts w:ascii="Verdana" w:hAnsi="Verdana"/>
          <w:sz w:val="16"/>
          <w:szCs w:val="16"/>
          <w:lang w:val="es-CL"/>
        </w:rPr>
        <w:t xml:space="preserve"> Herzog, Ivo Herzog y </w:t>
      </w:r>
      <w:proofErr w:type="spellStart"/>
      <w:r w:rsidRPr="00C62A4E">
        <w:rPr>
          <w:rFonts w:ascii="Verdana" w:hAnsi="Verdana"/>
          <w:sz w:val="16"/>
          <w:szCs w:val="16"/>
          <w:lang w:val="es-CL"/>
        </w:rPr>
        <w:t>Andre</w:t>
      </w:r>
      <w:proofErr w:type="spellEnd"/>
      <w:r w:rsidRPr="00C62A4E">
        <w:rPr>
          <w:rFonts w:ascii="Verdana" w:hAnsi="Verdana"/>
          <w:sz w:val="16"/>
          <w:szCs w:val="16"/>
          <w:lang w:val="es-CL"/>
        </w:rPr>
        <w:t xml:space="preserve"> Herzog, en virtud de no haber esclarecido judicialmente los hechos violatorios del presente caso y no haber deducido las correspondientes responsabilidades individuales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la tortura y asesinato de Vladimir Herzog, de conformidad con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8 y 25 de la Convención. De igual manera, consideró que el Estado es responsable de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del derecho a la integridad personal, previsto en el artículo 5.1 de la Convención Americana sobre Derechos Humanos,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el artículo 1.1 del mismo instrumento, en perjuicio de </w:t>
      </w:r>
      <w:proofErr w:type="spellStart"/>
      <w:r w:rsidRPr="00C62A4E">
        <w:rPr>
          <w:rFonts w:ascii="Verdana" w:hAnsi="Verdana"/>
          <w:sz w:val="16"/>
          <w:szCs w:val="16"/>
          <w:lang w:val="es-CL"/>
        </w:rPr>
        <w:t>Zora</w:t>
      </w:r>
      <w:proofErr w:type="spellEnd"/>
      <w:r w:rsidRPr="00C62A4E">
        <w:rPr>
          <w:rFonts w:ascii="Verdana" w:hAnsi="Verdana"/>
          <w:sz w:val="16"/>
          <w:szCs w:val="16"/>
          <w:lang w:val="es-CL"/>
        </w:rPr>
        <w:t xml:space="preserve"> Herzog, </w:t>
      </w:r>
      <w:proofErr w:type="spellStart"/>
      <w:r w:rsidRPr="00C62A4E">
        <w:rPr>
          <w:rFonts w:ascii="Verdana" w:hAnsi="Verdana"/>
          <w:sz w:val="16"/>
          <w:szCs w:val="16"/>
          <w:lang w:val="es-CL"/>
        </w:rPr>
        <w:t>Clarice</w:t>
      </w:r>
      <w:proofErr w:type="spellEnd"/>
      <w:r w:rsidRPr="00C62A4E">
        <w:rPr>
          <w:rFonts w:ascii="Verdana" w:hAnsi="Verdana"/>
          <w:sz w:val="16"/>
          <w:szCs w:val="16"/>
          <w:lang w:val="es-CL"/>
        </w:rPr>
        <w:t xml:space="preserve"> Herzog, Ivo Herzog y </w:t>
      </w:r>
      <w:proofErr w:type="spellStart"/>
      <w:r w:rsidRPr="00C62A4E">
        <w:rPr>
          <w:rFonts w:ascii="Verdana" w:hAnsi="Verdana"/>
          <w:sz w:val="16"/>
          <w:szCs w:val="16"/>
          <w:lang w:val="es-CL"/>
        </w:rPr>
        <w:t>Andre</w:t>
      </w:r>
      <w:proofErr w:type="spellEnd"/>
      <w:r w:rsidRPr="00C62A4E">
        <w:rPr>
          <w:rFonts w:ascii="Verdana" w:hAnsi="Verdana"/>
          <w:sz w:val="16"/>
          <w:szCs w:val="16"/>
          <w:lang w:val="es-CL"/>
        </w:rPr>
        <w:t xml:space="preserve">́ Herzog. Por </w:t>
      </w:r>
      <w:proofErr w:type="spellStart"/>
      <w:r w:rsidRPr="00C62A4E">
        <w:rPr>
          <w:rFonts w:ascii="Verdana" w:hAnsi="Verdana"/>
          <w:sz w:val="16"/>
          <w:szCs w:val="16"/>
          <w:lang w:val="es-CL"/>
        </w:rPr>
        <w:t>último</w:t>
      </w:r>
      <w:proofErr w:type="spellEnd"/>
      <w:r w:rsidRPr="00C62A4E">
        <w:rPr>
          <w:rFonts w:ascii="Verdana" w:hAnsi="Verdana"/>
          <w:sz w:val="16"/>
          <w:szCs w:val="16"/>
          <w:lang w:val="es-CL"/>
        </w:rPr>
        <w:t xml:space="preserve">, la Corte ordenó al Estado la </w:t>
      </w:r>
      <w:proofErr w:type="spellStart"/>
      <w:r w:rsidRPr="00C62A4E">
        <w:rPr>
          <w:rFonts w:ascii="Verdana" w:hAnsi="Verdana"/>
          <w:sz w:val="16"/>
          <w:szCs w:val="16"/>
          <w:lang w:val="es-CL"/>
        </w:rPr>
        <w:t>adopción</w:t>
      </w:r>
      <w:proofErr w:type="spellEnd"/>
      <w:r w:rsidRPr="00C62A4E">
        <w:rPr>
          <w:rFonts w:ascii="Verdana" w:hAnsi="Verdana"/>
          <w:sz w:val="16"/>
          <w:szCs w:val="16"/>
          <w:lang w:val="es-CL"/>
        </w:rPr>
        <w:t xml:space="preserve"> de diversas medidas de </w:t>
      </w:r>
      <w:proofErr w:type="spellStart"/>
      <w:r w:rsidRPr="00C62A4E">
        <w:rPr>
          <w:rFonts w:ascii="Verdana" w:hAnsi="Verdana"/>
          <w:sz w:val="16"/>
          <w:szCs w:val="16"/>
          <w:lang w:val="es-CL"/>
        </w:rPr>
        <w:t>reparación</w:t>
      </w:r>
      <w:proofErr w:type="spellEnd"/>
      <w:r w:rsidRPr="00C62A4E">
        <w:rPr>
          <w:rFonts w:ascii="Verdana" w:hAnsi="Verdana"/>
          <w:sz w:val="16"/>
          <w:szCs w:val="16"/>
          <w:lang w:val="es-CL"/>
        </w:rPr>
        <w:t>.</w:t>
      </w:r>
    </w:p>
    <w:p w14:paraId="39196130" w14:textId="77777777" w:rsidR="007D3060" w:rsidRPr="00C62A4E" w:rsidRDefault="007D3060" w:rsidP="00C62A4E">
      <w:pPr>
        <w:pStyle w:val="Textonotapie"/>
        <w:rPr>
          <w:rFonts w:ascii="Verdana" w:hAnsi="Verdana"/>
          <w:sz w:val="16"/>
          <w:szCs w:val="16"/>
          <w:lang w:val="es-CL"/>
        </w:rPr>
      </w:pPr>
    </w:p>
  </w:footnote>
  <w:footnote w:id="70">
    <w:p w14:paraId="15D33F31" w14:textId="62B1EB3B" w:rsidR="007D3060" w:rsidRPr="00C62A4E" w:rsidRDefault="007D3060"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26 de septiembre de 2018 la Corte Interamericana de Derechos Humanos dictó una Sentencia, mediante la cual homologó un acuerdo de </w:t>
      </w:r>
      <w:proofErr w:type="spellStart"/>
      <w:r w:rsidRPr="00C62A4E">
        <w:rPr>
          <w:rFonts w:ascii="Verdana" w:hAnsi="Verdana"/>
          <w:sz w:val="16"/>
          <w:szCs w:val="16"/>
          <w:lang w:val="es-CL"/>
        </w:rPr>
        <w:t>solución</w:t>
      </w:r>
      <w:proofErr w:type="spellEnd"/>
      <w:r w:rsidRPr="00C62A4E">
        <w:rPr>
          <w:rFonts w:ascii="Verdana" w:hAnsi="Verdana"/>
          <w:sz w:val="16"/>
          <w:szCs w:val="16"/>
          <w:lang w:val="es-CL"/>
        </w:rPr>
        <w:t xml:space="preserve"> amistosa entre el Estado de Honduras y los representantes del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Carlos Escaleras </w:t>
      </w:r>
      <w:proofErr w:type="spellStart"/>
      <w:r w:rsidRPr="00C62A4E">
        <w:rPr>
          <w:rFonts w:ascii="Verdana" w:hAnsi="Verdana"/>
          <w:sz w:val="16"/>
          <w:szCs w:val="16"/>
          <w:lang w:val="es-CL"/>
        </w:rPr>
        <w:t>Mejía</w:t>
      </w:r>
      <w:proofErr w:type="spellEnd"/>
      <w:r w:rsidRPr="00C62A4E">
        <w:rPr>
          <w:rFonts w:ascii="Verdana" w:hAnsi="Verdana"/>
          <w:sz w:val="16"/>
          <w:szCs w:val="16"/>
          <w:lang w:val="es-CL"/>
        </w:rPr>
        <w:t xml:space="preserve"> y sus familiares. De conformidad con ello, se declaró responsable internacionalmente al Estado de Honduras por la muerte del defensor ambientalista Carlos Escaleras </w:t>
      </w:r>
      <w:proofErr w:type="spellStart"/>
      <w:r w:rsidRPr="00C62A4E">
        <w:rPr>
          <w:rFonts w:ascii="Verdana" w:hAnsi="Verdana"/>
          <w:sz w:val="16"/>
          <w:szCs w:val="16"/>
          <w:lang w:val="es-CL"/>
        </w:rPr>
        <w:t>Mejía</w:t>
      </w:r>
      <w:proofErr w:type="spellEnd"/>
      <w:r w:rsidRPr="00C62A4E">
        <w:rPr>
          <w:rFonts w:ascii="Verdana" w:hAnsi="Verdana"/>
          <w:sz w:val="16"/>
          <w:szCs w:val="16"/>
          <w:lang w:val="es-CL"/>
        </w:rPr>
        <w:t xml:space="preserve">, ocurrida el 18 de octubre de 1997, y la situación de impunidad parcial en la que se encuentra ese hecho. Del mismo modo, el Tribunal </w:t>
      </w:r>
      <w:proofErr w:type="spellStart"/>
      <w:r w:rsidRPr="00C62A4E">
        <w:rPr>
          <w:rFonts w:ascii="Verdana" w:hAnsi="Verdana"/>
          <w:sz w:val="16"/>
          <w:szCs w:val="16"/>
          <w:lang w:val="es-CL"/>
        </w:rPr>
        <w:t>establecio</w:t>
      </w:r>
      <w:proofErr w:type="spellEnd"/>
      <w:r w:rsidRPr="00C62A4E">
        <w:rPr>
          <w:rFonts w:ascii="Verdana" w:hAnsi="Verdana"/>
          <w:sz w:val="16"/>
          <w:szCs w:val="16"/>
          <w:lang w:val="es-CL"/>
        </w:rPr>
        <w:t xml:space="preserve">́ que el Estado era responsable, de conformidad con lo estipulado en el acuerdo, por un menoscabo a los derechos </w:t>
      </w:r>
      <w:proofErr w:type="spellStart"/>
      <w:r w:rsidRPr="00C62A4E">
        <w:rPr>
          <w:rFonts w:ascii="Verdana" w:hAnsi="Verdana"/>
          <w:sz w:val="16"/>
          <w:szCs w:val="16"/>
          <w:lang w:val="es-CL"/>
        </w:rPr>
        <w:t>políticos</w:t>
      </w:r>
      <w:proofErr w:type="spellEnd"/>
      <w:r w:rsidRPr="00C62A4E">
        <w:rPr>
          <w:rFonts w:ascii="Verdana" w:hAnsi="Verdana"/>
          <w:sz w:val="16"/>
          <w:szCs w:val="16"/>
          <w:lang w:val="es-CL"/>
        </w:rPr>
        <w:t xml:space="preserve"> y a la libertad de </w:t>
      </w:r>
      <w:proofErr w:type="spellStart"/>
      <w:r w:rsidRPr="00C62A4E">
        <w:rPr>
          <w:rFonts w:ascii="Verdana" w:hAnsi="Verdana"/>
          <w:sz w:val="16"/>
          <w:szCs w:val="16"/>
          <w:lang w:val="es-CL"/>
        </w:rPr>
        <w:t>asociación</w:t>
      </w:r>
      <w:proofErr w:type="spellEnd"/>
      <w:r w:rsidRPr="00C62A4E">
        <w:rPr>
          <w:rFonts w:ascii="Verdana" w:hAnsi="Verdana"/>
          <w:sz w:val="16"/>
          <w:szCs w:val="16"/>
          <w:lang w:val="es-CL"/>
        </w:rPr>
        <w:t xml:space="preserve"> del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Escaleras </w:t>
      </w:r>
      <w:proofErr w:type="spellStart"/>
      <w:r w:rsidRPr="00C62A4E">
        <w:rPr>
          <w:rFonts w:ascii="Verdana" w:hAnsi="Verdana"/>
          <w:sz w:val="16"/>
          <w:szCs w:val="16"/>
          <w:lang w:val="es-CL"/>
        </w:rPr>
        <w:t>Mejía</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como el derecho a la integridad de sus familiares.</w:t>
      </w:r>
    </w:p>
    <w:p w14:paraId="5E9A23E7" w14:textId="77777777" w:rsidR="007D3060" w:rsidRPr="00C62A4E" w:rsidRDefault="007D3060" w:rsidP="00C62A4E">
      <w:pPr>
        <w:pStyle w:val="Textonotapie"/>
        <w:rPr>
          <w:rFonts w:ascii="Verdana" w:hAnsi="Verdana"/>
          <w:sz w:val="16"/>
          <w:szCs w:val="16"/>
          <w:lang w:val="es-CL"/>
        </w:rPr>
      </w:pPr>
    </w:p>
  </w:footnote>
  <w:footnote w:id="71">
    <w:p w14:paraId="68533F38" w14:textId="67420BCD" w:rsidR="00E70056" w:rsidRPr="00C62A4E" w:rsidRDefault="00E70056"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w:t>
      </w:r>
      <w:r w:rsidRPr="00C62A4E">
        <w:rPr>
          <w:rFonts w:ascii="Verdana" w:hAnsi="Verdana"/>
          <w:sz w:val="16"/>
          <w:szCs w:val="16"/>
          <w:lang w:val="es-CL"/>
        </w:rPr>
        <w:t xml:space="preserve">El 23 de noviembre de 2010 la Corte Interamericana de Derechos Humanos declaró responsable internacionalmente al Estado de </w:t>
      </w:r>
      <w:proofErr w:type="spellStart"/>
      <w:r w:rsidRPr="00C62A4E">
        <w:rPr>
          <w:rFonts w:ascii="Verdana" w:hAnsi="Verdana"/>
          <w:sz w:val="16"/>
          <w:szCs w:val="16"/>
          <w:lang w:val="es-CL"/>
        </w:rPr>
        <w:t>Panama</w:t>
      </w:r>
      <w:proofErr w:type="spellEnd"/>
      <w:r w:rsidRPr="00C62A4E">
        <w:rPr>
          <w:rFonts w:ascii="Verdana" w:hAnsi="Verdana"/>
          <w:sz w:val="16"/>
          <w:szCs w:val="16"/>
          <w:lang w:val="es-CL"/>
        </w:rPr>
        <w:t xml:space="preserv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la libertad personal,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principio de legalidad e integridad personal en perjuicio del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Jesús</w:t>
      </w:r>
      <w:proofErr w:type="spellEnd"/>
      <w:r w:rsidRPr="00C62A4E">
        <w:rPr>
          <w:rFonts w:ascii="Verdana" w:hAnsi="Verdana"/>
          <w:sz w:val="16"/>
          <w:szCs w:val="16"/>
          <w:lang w:val="es-CL"/>
        </w:rPr>
        <w:t xml:space="preserve"> Tranquilino </w:t>
      </w:r>
      <w:proofErr w:type="spellStart"/>
      <w:r w:rsidRPr="00C62A4E">
        <w:rPr>
          <w:rFonts w:ascii="Verdana" w:hAnsi="Verdana"/>
          <w:sz w:val="16"/>
          <w:szCs w:val="16"/>
          <w:lang w:val="es-CL"/>
        </w:rPr>
        <w:t>Vélez</w:t>
      </w:r>
      <w:proofErr w:type="spellEnd"/>
      <w:r w:rsidRPr="00C62A4E">
        <w:rPr>
          <w:rFonts w:ascii="Verdana" w:hAnsi="Verdana"/>
          <w:sz w:val="16"/>
          <w:szCs w:val="16"/>
          <w:lang w:val="es-CL"/>
        </w:rPr>
        <w:t xml:space="preserve"> Loor,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por no haber emprendido una </w:t>
      </w:r>
      <w:proofErr w:type="spellStart"/>
      <w:r w:rsidRPr="00C62A4E">
        <w:rPr>
          <w:rFonts w:ascii="Verdana" w:hAnsi="Verdana"/>
          <w:sz w:val="16"/>
          <w:szCs w:val="16"/>
          <w:lang w:val="es-CL"/>
        </w:rPr>
        <w:t>investigación</w:t>
      </w:r>
      <w:proofErr w:type="spellEnd"/>
      <w:r w:rsidRPr="00C62A4E">
        <w:rPr>
          <w:rFonts w:ascii="Verdana" w:hAnsi="Verdana"/>
          <w:sz w:val="16"/>
          <w:szCs w:val="16"/>
          <w:lang w:val="es-CL"/>
        </w:rPr>
        <w:t xml:space="preserve"> sobre los alegados actos de tortura denunciados, y por el incumplimiento de la obligación de garantizar, sin discriminación, el derecho de acceso a la justicia.</w:t>
      </w:r>
    </w:p>
    <w:p w14:paraId="6BCBA2C5" w14:textId="77777777" w:rsidR="00E70056" w:rsidRPr="00C62A4E" w:rsidRDefault="00E70056" w:rsidP="00C62A4E">
      <w:pPr>
        <w:pStyle w:val="Textonotapie"/>
        <w:rPr>
          <w:rFonts w:ascii="Verdana" w:hAnsi="Verdana"/>
          <w:sz w:val="16"/>
          <w:szCs w:val="16"/>
          <w:lang w:val="es-CL"/>
        </w:rPr>
      </w:pPr>
    </w:p>
  </w:footnote>
  <w:footnote w:id="72">
    <w:p w14:paraId="7D1BC280" w14:textId="715AA0AB" w:rsidR="00E70056" w:rsidRPr="00C62A4E" w:rsidRDefault="00E70056"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 de septiembre de 2015 la Corte Interamericana de Derechos Humanos dictó una Sentencia, mediante la cual declaró responsable internacionalmente al Estado de Chile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al derecho de protección judicial en perjuicio de Omar Humberto Maldonado Vargas, </w:t>
      </w:r>
      <w:proofErr w:type="spellStart"/>
      <w:r w:rsidRPr="00C62A4E">
        <w:rPr>
          <w:rFonts w:ascii="Verdana" w:hAnsi="Verdana"/>
          <w:sz w:val="16"/>
          <w:szCs w:val="16"/>
          <w:lang w:val="es-CL"/>
        </w:rPr>
        <w:t>Álvaro</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Yañez</w:t>
      </w:r>
      <w:proofErr w:type="spellEnd"/>
      <w:r w:rsidRPr="00C62A4E">
        <w:rPr>
          <w:rFonts w:ascii="Verdana" w:hAnsi="Verdana"/>
          <w:sz w:val="16"/>
          <w:szCs w:val="16"/>
          <w:lang w:val="es-CL"/>
        </w:rPr>
        <w:t xml:space="preserve"> del Villar, Mario Antonio Cornejo Barahona, Belarmino </w:t>
      </w:r>
      <w:proofErr w:type="spellStart"/>
      <w:r w:rsidRPr="00C62A4E">
        <w:rPr>
          <w:rFonts w:ascii="Verdana" w:hAnsi="Verdana"/>
          <w:sz w:val="16"/>
          <w:szCs w:val="16"/>
          <w:lang w:val="es-CL"/>
        </w:rPr>
        <w:t>Constanzo</w:t>
      </w:r>
      <w:proofErr w:type="spellEnd"/>
      <w:r w:rsidRPr="00C62A4E">
        <w:rPr>
          <w:rFonts w:ascii="Verdana" w:hAnsi="Verdana"/>
          <w:sz w:val="16"/>
          <w:szCs w:val="16"/>
          <w:lang w:val="es-CL"/>
        </w:rPr>
        <w:t xml:space="preserve"> Merino, Manuel Osvaldo </w:t>
      </w:r>
      <w:proofErr w:type="spellStart"/>
      <w:r w:rsidRPr="00C62A4E">
        <w:rPr>
          <w:rFonts w:ascii="Verdana" w:hAnsi="Verdana"/>
          <w:sz w:val="16"/>
          <w:szCs w:val="16"/>
          <w:lang w:val="es-CL"/>
        </w:rPr>
        <w:t>López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Oyanedel</w:t>
      </w:r>
      <w:proofErr w:type="spellEnd"/>
      <w:r w:rsidRPr="00C62A4E">
        <w:rPr>
          <w:rFonts w:ascii="Verdana" w:hAnsi="Verdana"/>
          <w:sz w:val="16"/>
          <w:szCs w:val="16"/>
          <w:lang w:val="es-CL"/>
        </w:rPr>
        <w:t xml:space="preserve">, Ernesto Augusto Galaz </w:t>
      </w:r>
      <w:proofErr w:type="spellStart"/>
      <w:r w:rsidRPr="00C62A4E">
        <w:rPr>
          <w:rFonts w:ascii="Verdana" w:hAnsi="Verdana"/>
          <w:sz w:val="16"/>
          <w:szCs w:val="16"/>
          <w:lang w:val="es-CL"/>
        </w:rPr>
        <w:t>Guzmán</w:t>
      </w:r>
      <w:proofErr w:type="spellEnd"/>
      <w:r w:rsidRPr="00C62A4E">
        <w:rPr>
          <w:rFonts w:ascii="Verdana" w:hAnsi="Verdana"/>
          <w:sz w:val="16"/>
          <w:szCs w:val="16"/>
          <w:lang w:val="es-CL"/>
        </w:rPr>
        <w:t xml:space="preserve">, Mario </w:t>
      </w:r>
      <w:proofErr w:type="spellStart"/>
      <w:r w:rsidRPr="00C62A4E">
        <w:rPr>
          <w:rFonts w:ascii="Verdana" w:hAnsi="Verdana"/>
          <w:sz w:val="16"/>
          <w:szCs w:val="16"/>
          <w:lang w:val="es-CL"/>
        </w:rPr>
        <w:t>González</w:t>
      </w:r>
      <w:proofErr w:type="spellEnd"/>
      <w:r w:rsidRPr="00C62A4E">
        <w:rPr>
          <w:rFonts w:ascii="Verdana" w:hAnsi="Verdana"/>
          <w:sz w:val="16"/>
          <w:szCs w:val="16"/>
          <w:lang w:val="es-CL"/>
        </w:rPr>
        <w:t xml:space="preserve"> Rifo, Jaime Donoso Parra, Alberto </w:t>
      </w:r>
      <w:proofErr w:type="spellStart"/>
      <w:r w:rsidRPr="00C62A4E">
        <w:rPr>
          <w:rFonts w:ascii="Verdana" w:hAnsi="Verdana"/>
          <w:sz w:val="16"/>
          <w:szCs w:val="16"/>
          <w:lang w:val="es-CL"/>
        </w:rPr>
        <w:t>Salustio</w:t>
      </w:r>
      <w:proofErr w:type="spellEnd"/>
      <w:r w:rsidRPr="00C62A4E">
        <w:rPr>
          <w:rFonts w:ascii="Verdana" w:hAnsi="Verdana"/>
          <w:sz w:val="16"/>
          <w:szCs w:val="16"/>
          <w:lang w:val="es-CL"/>
        </w:rPr>
        <w:t xml:space="preserve"> Bustamante Rojas, Gustavo </w:t>
      </w:r>
      <w:proofErr w:type="spellStart"/>
      <w:r w:rsidRPr="00C62A4E">
        <w:rPr>
          <w:rFonts w:ascii="Verdana" w:hAnsi="Verdana"/>
          <w:sz w:val="16"/>
          <w:szCs w:val="16"/>
          <w:lang w:val="es-CL"/>
        </w:rPr>
        <w:t>Raúl</w:t>
      </w:r>
      <w:proofErr w:type="spellEnd"/>
      <w:r w:rsidRPr="00C62A4E">
        <w:rPr>
          <w:rFonts w:ascii="Verdana" w:hAnsi="Verdana"/>
          <w:sz w:val="16"/>
          <w:szCs w:val="16"/>
          <w:lang w:val="es-CL"/>
        </w:rPr>
        <w:t xml:space="preserve"> Lastra Saavedra, </w:t>
      </w:r>
      <w:proofErr w:type="spellStart"/>
      <w:r w:rsidRPr="00C62A4E">
        <w:rPr>
          <w:rFonts w:ascii="Verdana" w:hAnsi="Verdana"/>
          <w:sz w:val="16"/>
          <w:szCs w:val="16"/>
          <w:lang w:val="es-CL"/>
        </w:rPr>
        <w:t>Víctor</w:t>
      </w:r>
      <w:proofErr w:type="spellEnd"/>
      <w:r w:rsidRPr="00C62A4E">
        <w:rPr>
          <w:rFonts w:ascii="Verdana" w:hAnsi="Verdana"/>
          <w:sz w:val="16"/>
          <w:szCs w:val="16"/>
          <w:lang w:val="es-CL"/>
        </w:rPr>
        <w:t xml:space="preserve"> Hugo </w:t>
      </w:r>
      <w:proofErr w:type="spellStart"/>
      <w:r w:rsidRPr="00C62A4E">
        <w:rPr>
          <w:rFonts w:ascii="Verdana" w:hAnsi="Verdana"/>
          <w:sz w:val="16"/>
          <w:szCs w:val="16"/>
          <w:lang w:val="es-CL"/>
        </w:rPr>
        <w:t>Adriazola</w:t>
      </w:r>
      <w:proofErr w:type="spellEnd"/>
      <w:r w:rsidRPr="00C62A4E">
        <w:rPr>
          <w:rFonts w:ascii="Verdana" w:hAnsi="Verdana"/>
          <w:sz w:val="16"/>
          <w:szCs w:val="16"/>
          <w:lang w:val="es-CL"/>
        </w:rPr>
        <w:t xml:space="preserve"> Meza e </w:t>
      </w:r>
      <w:proofErr w:type="spellStart"/>
      <w:r w:rsidRPr="00C62A4E">
        <w:rPr>
          <w:rFonts w:ascii="Verdana" w:hAnsi="Verdana"/>
          <w:sz w:val="16"/>
          <w:szCs w:val="16"/>
          <w:lang w:val="es-CL"/>
        </w:rPr>
        <w:t>Ivar</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Onoldo</w:t>
      </w:r>
      <w:proofErr w:type="spellEnd"/>
      <w:r w:rsidRPr="00C62A4E">
        <w:rPr>
          <w:rFonts w:ascii="Verdana" w:hAnsi="Verdana"/>
          <w:sz w:val="16"/>
          <w:szCs w:val="16"/>
          <w:lang w:val="es-CL"/>
        </w:rPr>
        <w:t xml:space="preserve"> Rojas </w:t>
      </w:r>
      <w:proofErr w:type="spellStart"/>
      <w:r w:rsidRPr="00C62A4E">
        <w:rPr>
          <w:rFonts w:ascii="Verdana" w:hAnsi="Verdana"/>
          <w:sz w:val="16"/>
          <w:szCs w:val="16"/>
          <w:lang w:val="es-CL"/>
        </w:rPr>
        <w:t>Ravanal</w:t>
      </w:r>
      <w:proofErr w:type="spellEnd"/>
      <w:r w:rsidRPr="00C62A4E">
        <w:rPr>
          <w:rFonts w:ascii="Verdana" w:hAnsi="Verdana"/>
          <w:sz w:val="16"/>
          <w:szCs w:val="16"/>
          <w:lang w:val="es-CL"/>
        </w:rPr>
        <w:t xml:space="preserve"> al no </w:t>
      </w:r>
      <w:proofErr w:type="spellStart"/>
      <w:r w:rsidRPr="00C62A4E">
        <w:rPr>
          <w:rFonts w:ascii="Verdana" w:hAnsi="Verdana"/>
          <w:sz w:val="16"/>
          <w:szCs w:val="16"/>
          <w:lang w:val="es-CL"/>
        </w:rPr>
        <w:t>habérseles</w:t>
      </w:r>
      <w:proofErr w:type="spellEnd"/>
      <w:r w:rsidRPr="00C62A4E">
        <w:rPr>
          <w:rFonts w:ascii="Verdana" w:hAnsi="Verdana"/>
          <w:sz w:val="16"/>
          <w:szCs w:val="16"/>
          <w:lang w:val="es-CL"/>
        </w:rPr>
        <w:t xml:space="preserve"> ofrecido un recurso efectivo para dejar sin efecto un proceso penal que tomó en cuenta pruebas y confesiones obtenidas bajo tortura y mediante el cual fueron condenadas durante la dictadura militar en Chile. Asimismo, el Tribunal consideró que el Estado es responsable por la excesiva demora en iniciar una </w:t>
      </w:r>
      <w:proofErr w:type="spellStart"/>
      <w:r w:rsidRPr="00C62A4E">
        <w:rPr>
          <w:rFonts w:ascii="Verdana" w:hAnsi="Verdana"/>
          <w:sz w:val="16"/>
          <w:szCs w:val="16"/>
          <w:lang w:val="es-CL"/>
        </w:rPr>
        <w:t>investigación</w:t>
      </w:r>
      <w:proofErr w:type="spellEnd"/>
      <w:r w:rsidRPr="00C62A4E">
        <w:rPr>
          <w:rFonts w:ascii="Verdana" w:hAnsi="Verdana"/>
          <w:sz w:val="16"/>
          <w:szCs w:val="16"/>
          <w:lang w:val="es-CL"/>
        </w:rPr>
        <w:t xml:space="preserve"> respecto a las torturas que sufrieron </w:t>
      </w:r>
      <w:proofErr w:type="spellStart"/>
      <w:r w:rsidRPr="00C62A4E">
        <w:rPr>
          <w:rFonts w:ascii="Verdana" w:hAnsi="Verdana"/>
          <w:sz w:val="16"/>
          <w:szCs w:val="16"/>
          <w:lang w:val="es-CL"/>
        </w:rPr>
        <w:t>Ivar</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Onoldo</w:t>
      </w:r>
      <w:proofErr w:type="spellEnd"/>
      <w:r w:rsidRPr="00C62A4E">
        <w:rPr>
          <w:rFonts w:ascii="Verdana" w:hAnsi="Verdana"/>
          <w:sz w:val="16"/>
          <w:szCs w:val="16"/>
          <w:lang w:val="es-CL"/>
        </w:rPr>
        <w:t xml:space="preserve"> Rojas </w:t>
      </w:r>
      <w:proofErr w:type="spellStart"/>
      <w:r w:rsidRPr="00C62A4E">
        <w:rPr>
          <w:rFonts w:ascii="Verdana" w:hAnsi="Verdana"/>
          <w:sz w:val="16"/>
          <w:szCs w:val="16"/>
          <w:lang w:val="es-CL"/>
        </w:rPr>
        <w:t>Ravanal</w:t>
      </w:r>
      <w:proofErr w:type="spellEnd"/>
      <w:r w:rsidRPr="00C62A4E">
        <w:rPr>
          <w:rFonts w:ascii="Verdana" w:hAnsi="Verdana"/>
          <w:sz w:val="16"/>
          <w:szCs w:val="16"/>
          <w:lang w:val="es-CL"/>
        </w:rPr>
        <w:t xml:space="preserve">, Alberto </w:t>
      </w:r>
      <w:proofErr w:type="spellStart"/>
      <w:r w:rsidRPr="00C62A4E">
        <w:rPr>
          <w:rFonts w:ascii="Verdana" w:hAnsi="Verdana"/>
          <w:sz w:val="16"/>
          <w:szCs w:val="16"/>
          <w:lang w:val="es-CL"/>
        </w:rPr>
        <w:t>Salustio</w:t>
      </w:r>
      <w:proofErr w:type="spellEnd"/>
      <w:r w:rsidRPr="00C62A4E">
        <w:rPr>
          <w:rFonts w:ascii="Verdana" w:hAnsi="Verdana"/>
          <w:sz w:val="16"/>
          <w:szCs w:val="16"/>
          <w:lang w:val="es-CL"/>
        </w:rPr>
        <w:t xml:space="preserve"> Bustamante Rojas, </w:t>
      </w:r>
      <w:proofErr w:type="spellStart"/>
      <w:r w:rsidRPr="00C62A4E">
        <w:rPr>
          <w:rFonts w:ascii="Verdana" w:hAnsi="Verdana"/>
          <w:sz w:val="16"/>
          <w:szCs w:val="16"/>
          <w:lang w:val="es-CL"/>
        </w:rPr>
        <w:t>Álvaro</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Yáñez</w:t>
      </w:r>
      <w:proofErr w:type="spellEnd"/>
      <w:r w:rsidRPr="00C62A4E">
        <w:rPr>
          <w:rFonts w:ascii="Verdana" w:hAnsi="Verdana"/>
          <w:sz w:val="16"/>
          <w:szCs w:val="16"/>
          <w:lang w:val="es-CL"/>
        </w:rPr>
        <w:t xml:space="preserve"> del Villar y Omar Humberto Maldonado Vargas.</w:t>
      </w:r>
    </w:p>
    <w:p w14:paraId="3CD2B05D" w14:textId="77777777" w:rsidR="00E70056" w:rsidRPr="00C62A4E" w:rsidRDefault="00E70056" w:rsidP="00C62A4E">
      <w:pPr>
        <w:pStyle w:val="Textonotapie"/>
        <w:rPr>
          <w:rFonts w:ascii="Verdana" w:hAnsi="Verdana"/>
          <w:sz w:val="16"/>
          <w:szCs w:val="16"/>
          <w:lang w:val="es-CL"/>
        </w:rPr>
      </w:pPr>
    </w:p>
  </w:footnote>
  <w:footnote w:id="73">
    <w:p w14:paraId="7503B26A" w14:textId="77777777" w:rsidR="0094754F" w:rsidRPr="00C62A4E" w:rsidRDefault="0094754F"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25 de abril de 2018 la Corte Interamericana de Derechos Humanos dictó una Sentencia mediante la que declaró al Estado de Costa Rica responsable internacionalmente por la violación del derecho a la libertad personal en los términos de los artículos 7.1, 7.3 y 7.5 de la Convención Americana en relación con el artículo 1.1 de la misma, en perjuicio del señor Jorge Martínez Meléndez, ordenando las reparaciones correspondientes. A su vez, de las siete excepciones preliminares interpuestas por el Estado, la Corte declaró procedente una excepción preliminar; parcialmente procedentes tres excepciones preliminares, y declaró no procedentes dos excepciones preliminares. Asimismo, consideró que el Estado no violó los derechos a recurrir el fallo (artículo 8.2.h de la Convención), a contar con un juez imparcial (artículo 8.1 de la Convención), a la presunción de inocencia (artículo 8.2 de la Convención), a un juicio en un plazo razonable (artículo 8.1 de la Convención), a la defensa (8.2 de la Convención), a recurrir la legalidad de su detención (7.6 de la Convención) y a la integridad personal (artículos 5.1 y 5.2 de la Convención); todo lo anterior en relación con las obligaciones establecidas en el artículo 1.1 de la misma. </w:t>
      </w:r>
    </w:p>
  </w:footnote>
  <w:footnote w:id="74">
    <w:p w14:paraId="547E89BF" w14:textId="6A9A686D" w:rsidR="00957741" w:rsidRPr="00C62A4E" w:rsidRDefault="00957741"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militar del Estado por los actos de tortura cometidos en perjuicio de Wilson Gutiérrez Soler por parte de un funcionario policial, así como a la falta de investigación y sanción del responsable del hecho. La Corte estableció la responsabilidad internacional del Estado por la violación de los siguientes derechos convencionales: Artículo 1 (Obligación de respetar los derechos.) , Artículo 25 (Protección Judicial) , Artículo 5 (Derecho a la Integridad Personal) , Artículo 7 (Derecho a la libertad personal) , Artículo 8 (Garantías Judiciales).</w:t>
      </w:r>
    </w:p>
    <w:p w14:paraId="2D572EF4" w14:textId="77777777" w:rsidR="00957741" w:rsidRPr="00C62A4E" w:rsidRDefault="00957741" w:rsidP="00C62A4E">
      <w:pPr>
        <w:pStyle w:val="Textonotapie"/>
        <w:rPr>
          <w:rFonts w:ascii="Verdana" w:hAnsi="Verdana"/>
          <w:sz w:val="16"/>
          <w:szCs w:val="16"/>
          <w:lang w:val="es-CL"/>
        </w:rPr>
      </w:pPr>
    </w:p>
  </w:footnote>
  <w:footnote w:id="75">
    <w:p w14:paraId="61BEADCC" w14:textId="41E16A21" w:rsidR="00112465" w:rsidRPr="00C62A4E" w:rsidRDefault="00112465"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peruano por la tortura y posterior muerte de Bernabé </w:t>
      </w:r>
      <w:proofErr w:type="spellStart"/>
      <w:r w:rsidRPr="00C62A4E">
        <w:rPr>
          <w:rFonts w:ascii="Verdana" w:hAnsi="Verdana"/>
          <w:sz w:val="16"/>
          <w:szCs w:val="16"/>
          <w:lang w:val="es-CL"/>
        </w:rPr>
        <w:t>Baldeón</w:t>
      </w:r>
      <w:proofErr w:type="spellEnd"/>
      <w:r w:rsidRPr="00C62A4E">
        <w:rPr>
          <w:rFonts w:ascii="Verdana" w:hAnsi="Verdana"/>
          <w:sz w:val="16"/>
          <w:szCs w:val="16"/>
          <w:lang w:val="es-CL"/>
        </w:rPr>
        <w:t xml:space="preserve"> García por parte de efectivos militares, así como la falta de investigación y sanción a los responsables. La Corte estableció la responsabilidad internacional del Estado por violaciones de los siguientes derechos convencionales: Artículo 1 (Obligación de respetar los derechos.) , Artículo 25 (Protección Judicial) , Artículo 4 (Derecho a la vida) , Artículo 5 (Derecho a la Integridad Personal) , Artículo 7 (Derecho a la libertad personal) , Artículo 8 (Garantías Judiciales).</w:t>
      </w:r>
    </w:p>
  </w:footnote>
  <w:footnote w:id="76">
    <w:p w14:paraId="1907BF9C" w14:textId="3C1663D3" w:rsidR="000360CF" w:rsidRPr="00C62A4E" w:rsidRDefault="000360CF"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21 de mayo de 2013 la Corte Interamericana de Derechos Humanos dictó Sentencia en el caso </w:t>
      </w:r>
      <w:proofErr w:type="spellStart"/>
      <w:r w:rsidRPr="00C62A4E">
        <w:rPr>
          <w:rFonts w:ascii="Verdana" w:hAnsi="Verdana"/>
          <w:sz w:val="16"/>
          <w:szCs w:val="16"/>
          <w:lang w:val="es-CL"/>
        </w:rPr>
        <w:t>Suárez</w:t>
      </w:r>
      <w:proofErr w:type="spellEnd"/>
      <w:r w:rsidRPr="00C62A4E">
        <w:rPr>
          <w:rFonts w:ascii="Verdana" w:hAnsi="Verdana"/>
          <w:sz w:val="16"/>
          <w:szCs w:val="16"/>
          <w:lang w:val="es-CL"/>
        </w:rPr>
        <w:t xml:space="preserve"> Peralta Vs. Ecuador y declaró que el Estado es internacionalmente responsable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protección judicial de Melba del Carmen </w:t>
      </w:r>
      <w:proofErr w:type="spellStart"/>
      <w:r w:rsidRPr="00C62A4E">
        <w:rPr>
          <w:rFonts w:ascii="Verdana" w:hAnsi="Verdana"/>
          <w:sz w:val="16"/>
          <w:szCs w:val="16"/>
          <w:lang w:val="es-CL"/>
        </w:rPr>
        <w:t>Suárez</w:t>
      </w:r>
      <w:proofErr w:type="spellEnd"/>
      <w:r w:rsidRPr="00C62A4E">
        <w:rPr>
          <w:rFonts w:ascii="Verdana" w:hAnsi="Verdana"/>
          <w:sz w:val="16"/>
          <w:szCs w:val="16"/>
          <w:lang w:val="es-CL"/>
        </w:rPr>
        <w:t xml:space="preserve"> Peralta y Melba Peralta Mendoza,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del deber de </w:t>
      </w:r>
      <w:proofErr w:type="spellStart"/>
      <w:r w:rsidRPr="00C62A4E">
        <w:rPr>
          <w:rFonts w:ascii="Verdana" w:hAnsi="Verdana"/>
          <w:sz w:val="16"/>
          <w:szCs w:val="16"/>
          <w:lang w:val="es-CL"/>
        </w:rPr>
        <w:t>garantía</w:t>
      </w:r>
      <w:proofErr w:type="spellEnd"/>
      <w:r w:rsidRPr="00C62A4E">
        <w:rPr>
          <w:rFonts w:ascii="Verdana" w:hAnsi="Verdana"/>
          <w:sz w:val="16"/>
          <w:szCs w:val="16"/>
          <w:lang w:val="es-CL"/>
        </w:rPr>
        <w:t xml:space="preserve"> del derecho a la integridad personal de Melba del Carmen </w:t>
      </w:r>
      <w:proofErr w:type="spellStart"/>
      <w:r w:rsidRPr="00C62A4E">
        <w:rPr>
          <w:rFonts w:ascii="Verdana" w:hAnsi="Verdana"/>
          <w:sz w:val="16"/>
          <w:szCs w:val="16"/>
          <w:lang w:val="es-CL"/>
        </w:rPr>
        <w:t>Suárez</w:t>
      </w:r>
      <w:proofErr w:type="spellEnd"/>
      <w:r w:rsidRPr="00C62A4E">
        <w:rPr>
          <w:rFonts w:ascii="Verdana" w:hAnsi="Verdana"/>
          <w:sz w:val="16"/>
          <w:szCs w:val="16"/>
          <w:lang w:val="es-CL"/>
        </w:rPr>
        <w:t xml:space="preserve"> Peralta.</w:t>
      </w:r>
    </w:p>
    <w:p w14:paraId="42006E25" w14:textId="77777777" w:rsidR="000360CF" w:rsidRPr="00C62A4E" w:rsidRDefault="000360CF" w:rsidP="00C62A4E">
      <w:pPr>
        <w:pStyle w:val="Textonotapie"/>
        <w:rPr>
          <w:rFonts w:ascii="Verdana" w:hAnsi="Verdana"/>
          <w:sz w:val="16"/>
          <w:szCs w:val="16"/>
          <w:lang w:val="es-CL"/>
        </w:rPr>
      </w:pPr>
    </w:p>
  </w:footnote>
  <w:footnote w:id="77">
    <w:p w14:paraId="7426C42D" w14:textId="77777777" w:rsidR="000360CF" w:rsidRPr="00C62A4E" w:rsidRDefault="000360CF" w:rsidP="00C62A4E">
      <w:pPr>
        <w:pStyle w:val="Footnotes"/>
      </w:pPr>
      <w:r w:rsidRPr="00C62A4E">
        <w:rPr>
          <w:rStyle w:val="Refdenotaalpie"/>
        </w:rPr>
        <w:footnoteRef/>
      </w:r>
      <w:r w:rsidRPr="00C62A4E">
        <w:t xml:space="preserve"> El 1 de septiembre de 2015 la Corte Interamericana de Derechos Humanos dictó una Sentencia mediante la cual declaró responsable internacionalmente al Estado de Ecuador por ciertas violaciones de derechos humanos cometidas por el contagio con VIH a </w:t>
      </w:r>
      <w:proofErr w:type="spellStart"/>
      <w:r w:rsidRPr="00C62A4E">
        <w:t>Talía</w:t>
      </w:r>
      <w:proofErr w:type="spellEnd"/>
      <w:r w:rsidRPr="00C62A4E">
        <w:t xml:space="preserve"> Gabriela Gonzales Lluy cuando </w:t>
      </w:r>
      <w:proofErr w:type="spellStart"/>
      <w:r w:rsidRPr="00C62A4E">
        <w:t>tenía</w:t>
      </w:r>
      <w:proofErr w:type="spellEnd"/>
      <w:r w:rsidRPr="00C62A4E">
        <w:t xml:space="preserve"> tres </w:t>
      </w:r>
      <w:proofErr w:type="spellStart"/>
      <w:r w:rsidRPr="00C62A4E">
        <w:t>años</w:t>
      </w:r>
      <w:proofErr w:type="spellEnd"/>
      <w:r w:rsidRPr="00C62A4E">
        <w:t xml:space="preserve"> de edad. La Corte </w:t>
      </w:r>
      <w:proofErr w:type="spellStart"/>
      <w:r w:rsidRPr="00C62A4E">
        <w:t>encontro</w:t>
      </w:r>
      <w:proofErr w:type="spellEnd"/>
      <w:r w:rsidRPr="00C62A4E">
        <w:t xml:space="preserve">́ que el Estado era responsable por la </w:t>
      </w:r>
      <w:proofErr w:type="spellStart"/>
      <w:r w:rsidRPr="00C62A4E">
        <w:t>violación</w:t>
      </w:r>
      <w:proofErr w:type="spellEnd"/>
      <w:r w:rsidRPr="00C62A4E">
        <w:t xml:space="preserve"> de los derechos a la vida e integridad personal, a la </w:t>
      </w:r>
      <w:proofErr w:type="spellStart"/>
      <w:r w:rsidRPr="00C62A4E">
        <w:t>educación</w:t>
      </w:r>
      <w:proofErr w:type="spellEnd"/>
      <w:r w:rsidRPr="00C62A4E">
        <w:t xml:space="preserve">, y a la </w:t>
      </w:r>
      <w:proofErr w:type="spellStart"/>
      <w:r w:rsidRPr="00C62A4E">
        <w:t>garantía</w:t>
      </w:r>
      <w:proofErr w:type="spellEnd"/>
      <w:r w:rsidRPr="00C62A4E">
        <w:t xml:space="preserve"> judicial del plazo en el proceso penal en perjuicio de </w:t>
      </w:r>
      <w:proofErr w:type="spellStart"/>
      <w:r w:rsidRPr="00C62A4E">
        <w:t>Talía</w:t>
      </w:r>
      <w:proofErr w:type="spellEnd"/>
      <w:r w:rsidRPr="00C62A4E">
        <w:t xml:space="preserve"> Gabriela Gonzales Lluy. </w:t>
      </w:r>
      <w:proofErr w:type="spellStart"/>
      <w:r w:rsidRPr="00C62A4E">
        <w:t>Además</w:t>
      </w:r>
      <w:proofErr w:type="spellEnd"/>
      <w:r w:rsidRPr="00C62A4E">
        <w:t xml:space="preserve">, la Corte </w:t>
      </w:r>
      <w:proofErr w:type="spellStart"/>
      <w:r w:rsidRPr="00C62A4E">
        <w:t>encontro</w:t>
      </w:r>
      <w:proofErr w:type="spellEnd"/>
      <w:r w:rsidRPr="00C62A4E">
        <w:t xml:space="preserve">́ que el Estado era responsable por la </w:t>
      </w:r>
      <w:proofErr w:type="spellStart"/>
      <w:r w:rsidRPr="00C62A4E">
        <w:t>violación</w:t>
      </w:r>
      <w:proofErr w:type="spellEnd"/>
      <w:r w:rsidRPr="00C62A4E">
        <w:t xml:space="preserve"> del derecho a la integridad personal en perjuicio de Teresa Lluy e </w:t>
      </w:r>
      <w:proofErr w:type="spellStart"/>
      <w:r w:rsidRPr="00C62A4E">
        <w:t>Iván</w:t>
      </w:r>
      <w:proofErr w:type="spellEnd"/>
      <w:r w:rsidRPr="00C62A4E">
        <w:t xml:space="preserve"> Mauricio Lluy. Por otro lado, el Tribunal no </w:t>
      </w:r>
      <w:proofErr w:type="spellStart"/>
      <w:r w:rsidRPr="00C62A4E">
        <w:t>encontro</w:t>
      </w:r>
      <w:proofErr w:type="spellEnd"/>
      <w:r w:rsidRPr="00C62A4E">
        <w:t xml:space="preserve">́ </w:t>
      </w:r>
      <w:proofErr w:type="spellStart"/>
      <w:r w:rsidRPr="00C62A4E">
        <w:t>méritos</w:t>
      </w:r>
      <w:proofErr w:type="spellEnd"/>
      <w:r w:rsidRPr="00C62A4E">
        <w:t xml:space="preserve"> para declarar la </w:t>
      </w:r>
      <w:proofErr w:type="spellStart"/>
      <w:r w:rsidRPr="00C62A4E">
        <w:t>violación</w:t>
      </w:r>
      <w:proofErr w:type="spellEnd"/>
      <w:r w:rsidRPr="00C62A4E">
        <w:t xml:space="preserve"> de la </w:t>
      </w:r>
      <w:proofErr w:type="spellStart"/>
      <w:r w:rsidRPr="00C62A4E">
        <w:t>garantía</w:t>
      </w:r>
      <w:proofErr w:type="spellEnd"/>
      <w:r w:rsidRPr="00C62A4E">
        <w:t xml:space="preserve"> judicial del plazo razonable en el proceso civil ni el derecho a la protección judicial.</w:t>
      </w:r>
    </w:p>
  </w:footnote>
  <w:footnote w:id="78">
    <w:p w14:paraId="24C8A130" w14:textId="29872127" w:rsidR="00DA57C9" w:rsidRPr="00C62A4E" w:rsidRDefault="00DA57C9"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22 de agosto de 2017 la Corte Interamericana de Derechos Humanos </w:t>
      </w:r>
      <w:proofErr w:type="spellStart"/>
      <w:r w:rsidRPr="00C62A4E">
        <w:rPr>
          <w:rFonts w:ascii="Verdana" w:hAnsi="Verdana"/>
          <w:sz w:val="16"/>
          <w:szCs w:val="16"/>
          <w:lang w:val="es-CL"/>
        </w:rPr>
        <w:t>emitio</w:t>
      </w:r>
      <w:proofErr w:type="spellEnd"/>
      <w:r w:rsidRPr="00C62A4E">
        <w:rPr>
          <w:rFonts w:ascii="Verdana" w:hAnsi="Verdana"/>
          <w:sz w:val="16"/>
          <w:szCs w:val="16"/>
          <w:lang w:val="es-CL"/>
        </w:rPr>
        <w:t xml:space="preserve">́ una Sentencia, mediante la cual declaró responsable internacionalmente a la </w:t>
      </w:r>
      <w:proofErr w:type="spellStart"/>
      <w:r w:rsidRPr="00C62A4E">
        <w:rPr>
          <w:rFonts w:ascii="Verdana" w:hAnsi="Verdana"/>
          <w:sz w:val="16"/>
          <w:szCs w:val="16"/>
          <w:lang w:val="es-CL"/>
        </w:rPr>
        <w:t>República</w:t>
      </w:r>
      <w:proofErr w:type="spellEnd"/>
      <w:r w:rsidRPr="00C62A4E">
        <w:rPr>
          <w:rFonts w:ascii="Verdana" w:hAnsi="Verdana"/>
          <w:sz w:val="16"/>
          <w:szCs w:val="16"/>
          <w:lang w:val="es-CL"/>
        </w:rPr>
        <w:t xml:space="preserve"> Bolivariana de Venezuela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la vida y a la integridad personal, reconocidos en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4.1 y 5.1 de la Convención Americana sobre Derechos Humanos,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el artículo 1.1 de la misma, en perjuicio de Johan Alexis Ortiz </w:t>
      </w:r>
      <w:proofErr w:type="spellStart"/>
      <w:r w:rsidRPr="00C62A4E">
        <w:rPr>
          <w:rFonts w:ascii="Verdana" w:hAnsi="Verdana"/>
          <w:sz w:val="16"/>
          <w:szCs w:val="16"/>
          <w:lang w:val="es-CL"/>
        </w:rPr>
        <w:t>Hernández</w:t>
      </w:r>
      <w:proofErr w:type="spellEnd"/>
      <w:r w:rsidRPr="00C62A4E">
        <w:rPr>
          <w:rFonts w:ascii="Verdana" w:hAnsi="Verdana"/>
          <w:sz w:val="16"/>
          <w:szCs w:val="16"/>
          <w:lang w:val="es-CL"/>
        </w:rPr>
        <w:t xml:space="preserve">. Asimismo, la Corte </w:t>
      </w:r>
      <w:proofErr w:type="spellStart"/>
      <w:r w:rsidRPr="00C62A4E">
        <w:rPr>
          <w:rFonts w:ascii="Verdana" w:hAnsi="Verdana"/>
          <w:sz w:val="16"/>
          <w:szCs w:val="16"/>
          <w:lang w:val="es-CL"/>
        </w:rPr>
        <w:t>encontro</w:t>
      </w:r>
      <w:proofErr w:type="spellEnd"/>
      <w:r w:rsidRPr="00C62A4E">
        <w:rPr>
          <w:rFonts w:ascii="Verdana" w:hAnsi="Verdana"/>
          <w:sz w:val="16"/>
          <w:szCs w:val="16"/>
          <w:lang w:val="es-CL"/>
        </w:rPr>
        <w:t xml:space="preserve">́ al Estado responsable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la </w:t>
      </w:r>
      <w:proofErr w:type="spellStart"/>
      <w:r w:rsidRPr="00C62A4E">
        <w:rPr>
          <w:rFonts w:ascii="Verdana" w:hAnsi="Verdana"/>
          <w:sz w:val="16"/>
          <w:szCs w:val="16"/>
          <w:lang w:val="es-CL"/>
        </w:rPr>
        <w:t>garantía</w:t>
      </w:r>
      <w:proofErr w:type="spellEnd"/>
      <w:r w:rsidRPr="00C62A4E">
        <w:rPr>
          <w:rFonts w:ascii="Verdana" w:hAnsi="Verdana"/>
          <w:sz w:val="16"/>
          <w:szCs w:val="16"/>
          <w:lang w:val="es-CL"/>
        </w:rPr>
        <w:t xml:space="preserve"> de juez natural, reconocida en el artículo 8.1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1.1 y 2 de la misma,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de los derechos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protección judicial, reconocidos en los </w:t>
      </w:r>
      <w:proofErr w:type="spellStart"/>
      <w:r w:rsidRPr="00C62A4E">
        <w:rPr>
          <w:rFonts w:ascii="Verdana" w:hAnsi="Verdana"/>
          <w:sz w:val="16"/>
          <w:szCs w:val="16"/>
          <w:lang w:val="es-CL"/>
        </w:rPr>
        <w:t>artículos</w:t>
      </w:r>
      <w:proofErr w:type="spellEnd"/>
      <w:r w:rsidRPr="00C62A4E">
        <w:rPr>
          <w:rFonts w:ascii="Verdana" w:hAnsi="Verdana"/>
          <w:sz w:val="16"/>
          <w:szCs w:val="16"/>
          <w:lang w:val="es-CL"/>
        </w:rPr>
        <w:t xml:space="preserve"> 8.1 y 25.1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el artículo 1.1 de la misma, en perjuicio de sus progenitores, Zaida </w:t>
      </w:r>
      <w:proofErr w:type="spellStart"/>
      <w:r w:rsidRPr="00C62A4E">
        <w:rPr>
          <w:rFonts w:ascii="Verdana" w:hAnsi="Verdana"/>
          <w:sz w:val="16"/>
          <w:szCs w:val="16"/>
          <w:lang w:val="es-CL"/>
        </w:rPr>
        <w:t>Hernández</w:t>
      </w:r>
      <w:proofErr w:type="spellEnd"/>
      <w:r w:rsidRPr="00C62A4E">
        <w:rPr>
          <w:rFonts w:ascii="Verdana" w:hAnsi="Verdana"/>
          <w:sz w:val="16"/>
          <w:szCs w:val="16"/>
          <w:lang w:val="es-CL"/>
        </w:rPr>
        <w:t xml:space="preserve"> de Arellano y Edgar Humberto Ortiz Ruiz. Finalmente, la Corte declaró la responsabilidad del Estado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del derecho a la integridad personal, reconocido en el artículo 5.1 de la Convención Americana, en </w:t>
      </w:r>
      <w:proofErr w:type="spellStart"/>
      <w:r w:rsidRPr="00C62A4E">
        <w:rPr>
          <w:rFonts w:ascii="Verdana" w:hAnsi="Verdana"/>
          <w:sz w:val="16"/>
          <w:szCs w:val="16"/>
          <w:lang w:val="es-CL"/>
        </w:rPr>
        <w:t>relación</w:t>
      </w:r>
      <w:proofErr w:type="spellEnd"/>
      <w:r w:rsidRPr="00C62A4E">
        <w:rPr>
          <w:rFonts w:ascii="Verdana" w:hAnsi="Verdana"/>
          <w:sz w:val="16"/>
          <w:szCs w:val="16"/>
          <w:lang w:val="es-CL"/>
        </w:rPr>
        <w:t xml:space="preserve"> con el artículo 1.1 de la misma, en perjuicio de los familiares de Johan Alexis Ortiz </w:t>
      </w:r>
      <w:proofErr w:type="spellStart"/>
      <w:r w:rsidRPr="00C62A4E">
        <w:rPr>
          <w:rFonts w:ascii="Verdana" w:hAnsi="Verdana"/>
          <w:sz w:val="16"/>
          <w:szCs w:val="16"/>
          <w:lang w:val="es-CL"/>
        </w:rPr>
        <w:t>Hernández</w:t>
      </w:r>
      <w:proofErr w:type="spellEnd"/>
      <w:r w:rsidRPr="00C62A4E">
        <w:rPr>
          <w:rFonts w:ascii="Verdana" w:hAnsi="Verdana"/>
          <w:sz w:val="16"/>
          <w:szCs w:val="16"/>
          <w:lang w:val="es-CL"/>
        </w:rPr>
        <w:t xml:space="preserve">, identificados como Zaida </w:t>
      </w:r>
      <w:proofErr w:type="spellStart"/>
      <w:r w:rsidRPr="00C62A4E">
        <w:rPr>
          <w:rFonts w:ascii="Verdana" w:hAnsi="Verdana"/>
          <w:sz w:val="16"/>
          <w:szCs w:val="16"/>
          <w:lang w:val="es-CL"/>
        </w:rPr>
        <w:t>Hernández</w:t>
      </w:r>
      <w:proofErr w:type="spellEnd"/>
      <w:r w:rsidRPr="00C62A4E">
        <w:rPr>
          <w:rFonts w:ascii="Verdana" w:hAnsi="Verdana"/>
          <w:sz w:val="16"/>
          <w:szCs w:val="16"/>
          <w:lang w:val="es-CL"/>
        </w:rPr>
        <w:t xml:space="preserve"> de Arellano, Edgar Humberto Ortiz Ruiz, </w:t>
      </w:r>
      <w:proofErr w:type="spellStart"/>
      <w:r w:rsidRPr="00C62A4E">
        <w:rPr>
          <w:rFonts w:ascii="Verdana" w:hAnsi="Verdana"/>
          <w:sz w:val="16"/>
          <w:szCs w:val="16"/>
          <w:lang w:val="es-CL"/>
        </w:rPr>
        <w:t>Saúl</w:t>
      </w:r>
      <w:proofErr w:type="spellEnd"/>
      <w:r w:rsidRPr="00C62A4E">
        <w:rPr>
          <w:rFonts w:ascii="Verdana" w:hAnsi="Verdana"/>
          <w:sz w:val="16"/>
          <w:szCs w:val="16"/>
          <w:lang w:val="es-CL"/>
        </w:rPr>
        <w:t xml:space="preserve"> Arellano Mora, Maritza </w:t>
      </w:r>
      <w:proofErr w:type="spellStart"/>
      <w:r w:rsidRPr="00C62A4E">
        <w:rPr>
          <w:rFonts w:ascii="Verdana" w:hAnsi="Verdana"/>
          <w:sz w:val="16"/>
          <w:szCs w:val="16"/>
          <w:lang w:val="es-CL"/>
        </w:rPr>
        <w:t>González</w:t>
      </w:r>
      <w:proofErr w:type="spellEnd"/>
      <w:r w:rsidRPr="00C62A4E">
        <w:rPr>
          <w:rFonts w:ascii="Verdana" w:hAnsi="Verdana"/>
          <w:sz w:val="16"/>
          <w:szCs w:val="16"/>
          <w:lang w:val="es-CL"/>
        </w:rPr>
        <w:t xml:space="preserve"> Cordero, </w:t>
      </w:r>
      <w:proofErr w:type="spellStart"/>
      <w:r w:rsidRPr="00C62A4E">
        <w:rPr>
          <w:rFonts w:ascii="Verdana" w:hAnsi="Verdana"/>
          <w:sz w:val="16"/>
          <w:szCs w:val="16"/>
          <w:lang w:val="es-CL"/>
        </w:rPr>
        <w:t>Jeckson</w:t>
      </w:r>
      <w:proofErr w:type="spellEnd"/>
      <w:r w:rsidRPr="00C62A4E">
        <w:rPr>
          <w:rFonts w:ascii="Verdana" w:hAnsi="Verdana"/>
          <w:sz w:val="16"/>
          <w:szCs w:val="16"/>
          <w:lang w:val="es-CL"/>
        </w:rPr>
        <w:t xml:space="preserve"> Edgardo Ortiz </w:t>
      </w:r>
      <w:proofErr w:type="spellStart"/>
      <w:r w:rsidRPr="00C62A4E">
        <w:rPr>
          <w:rFonts w:ascii="Verdana" w:hAnsi="Verdana"/>
          <w:sz w:val="16"/>
          <w:szCs w:val="16"/>
          <w:lang w:val="es-CL"/>
        </w:rPr>
        <w:t>González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Greyssi</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Maried</w:t>
      </w:r>
      <w:proofErr w:type="spellEnd"/>
      <w:r w:rsidRPr="00C62A4E">
        <w:rPr>
          <w:rFonts w:ascii="Verdana" w:hAnsi="Verdana"/>
          <w:sz w:val="16"/>
          <w:szCs w:val="16"/>
          <w:lang w:val="es-CL"/>
        </w:rPr>
        <w:t xml:space="preserve"> Ortiz </w:t>
      </w:r>
      <w:proofErr w:type="spellStart"/>
      <w:r w:rsidRPr="00C62A4E">
        <w:rPr>
          <w:rFonts w:ascii="Verdana" w:hAnsi="Verdana"/>
          <w:sz w:val="16"/>
          <w:szCs w:val="16"/>
          <w:lang w:val="es-CL"/>
        </w:rPr>
        <w:t>González</w:t>
      </w:r>
      <w:proofErr w:type="spellEnd"/>
      <w:r w:rsidRPr="00C62A4E">
        <w:rPr>
          <w:rFonts w:ascii="Verdana" w:hAnsi="Verdana"/>
          <w:sz w:val="16"/>
          <w:szCs w:val="16"/>
          <w:lang w:val="es-CL"/>
        </w:rPr>
        <w:t xml:space="preserve">, Gregory Leonardo Ortiz </w:t>
      </w:r>
      <w:proofErr w:type="spellStart"/>
      <w:r w:rsidRPr="00C62A4E">
        <w:rPr>
          <w:rFonts w:ascii="Verdana" w:hAnsi="Verdana"/>
          <w:sz w:val="16"/>
          <w:szCs w:val="16"/>
          <w:lang w:val="es-CL"/>
        </w:rPr>
        <w:t>González</w:t>
      </w:r>
      <w:proofErr w:type="spellEnd"/>
      <w:r w:rsidRPr="00C62A4E">
        <w:rPr>
          <w:rFonts w:ascii="Verdana" w:hAnsi="Verdana"/>
          <w:sz w:val="16"/>
          <w:szCs w:val="16"/>
          <w:lang w:val="es-CL"/>
        </w:rPr>
        <w:t xml:space="preserve">, Zaida </w:t>
      </w:r>
      <w:proofErr w:type="spellStart"/>
      <w:r w:rsidRPr="00C62A4E">
        <w:rPr>
          <w:rFonts w:ascii="Verdana" w:hAnsi="Verdana"/>
          <w:sz w:val="16"/>
          <w:szCs w:val="16"/>
          <w:lang w:val="es-CL"/>
        </w:rPr>
        <w:t>Dariana</w:t>
      </w:r>
      <w:proofErr w:type="spellEnd"/>
      <w:r w:rsidRPr="00C62A4E">
        <w:rPr>
          <w:rFonts w:ascii="Verdana" w:hAnsi="Verdana"/>
          <w:sz w:val="16"/>
          <w:szCs w:val="16"/>
          <w:lang w:val="es-CL"/>
        </w:rPr>
        <w:t xml:space="preserve"> Arellano </w:t>
      </w:r>
      <w:proofErr w:type="spellStart"/>
      <w:r w:rsidRPr="00C62A4E">
        <w:rPr>
          <w:rFonts w:ascii="Verdana" w:hAnsi="Verdana"/>
          <w:sz w:val="16"/>
          <w:szCs w:val="16"/>
          <w:lang w:val="es-CL"/>
        </w:rPr>
        <w:t>Hernández</w:t>
      </w:r>
      <w:proofErr w:type="spellEnd"/>
      <w:r w:rsidRPr="00C62A4E">
        <w:rPr>
          <w:rFonts w:ascii="Verdana" w:hAnsi="Verdana"/>
          <w:sz w:val="16"/>
          <w:szCs w:val="16"/>
          <w:lang w:val="es-CL"/>
        </w:rPr>
        <w:t xml:space="preserve"> y </w:t>
      </w:r>
      <w:proofErr w:type="spellStart"/>
      <w:r w:rsidRPr="00C62A4E">
        <w:rPr>
          <w:rFonts w:ascii="Verdana" w:hAnsi="Verdana"/>
          <w:sz w:val="16"/>
          <w:szCs w:val="16"/>
          <w:lang w:val="es-CL"/>
        </w:rPr>
        <w:t>Saúl</w:t>
      </w:r>
      <w:proofErr w:type="spellEnd"/>
      <w:r w:rsidRPr="00C62A4E">
        <w:rPr>
          <w:rFonts w:ascii="Verdana" w:hAnsi="Verdana"/>
          <w:sz w:val="16"/>
          <w:szCs w:val="16"/>
          <w:lang w:val="es-CL"/>
        </w:rPr>
        <w:t xml:space="preserve"> Johan Arellano </w:t>
      </w:r>
      <w:proofErr w:type="spellStart"/>
      <w:r w:rsidRPr="00C62A4E">
        <w:rPr>
          <w:rFonts w:ascii="Verdana" w:hAnsi="Verdana"/>
          <w:sz w:val="16"/>
          <w:szCs w:val="16"/>
          <w:lang w:val="es-CL"/>
        </w:rPr>
        <w:t>Hernández</w:t>
      </w:r>
      <w:proofErr w:type="spellEnd"/>
      <w:r w:rsidRPr="00C62A4E">
        <w:rPr>
          <w:rFonts w:ascii="Verdana" w:hAnsi="Verdana"/>
          <w:sz w:val="16"/>
          <w:szCs w:val="16"/>
          <w:lang w:val="es-CL"/>
        </w:rPr>
        <w:t>.</w:t>
      </w:r>
    </w:p>
    <w:p w14:paraId="5A1CFA46" w14:textId="77777777" w:rsidR="00DA57C9" w:rsidRPr="00C62A4E" w:rsidRDefault="00DA57C9" w:rsidP="00C62A4E">
      <w:pPr>
        <w:pStyle w:val="Textonotapie"/>
        <w:rPr>
          <w:rFonts w:ascii="Verdana" w:hAnsi="Verdana"/>
          <w:sz w:val="16"/>
          <w:szCs w:val="16"/>
          <w:lang w:val="es-CL"/>
        </w:rPr>
      </w:pPr>
    </w:p>
  </w:footnote>
  <w:footnote w:id="79">
    <w:p w14:paraId="207830D0" w14:textId="77777777" w:rsidR="00AA0A16" w:rsidRPr="00C62A4E" w:rsidRDefault="00AA0A16" w:rsidP="00C62A4E">
      <w:pPr>
        <w:pStyle w:val="Footnotes"/>
      </w:pPr>
      <w:r w:rsidRPr="00C62A4E">
        <w:rPr>
          <w:rStyle w:val="Refdenotaalpie"/>
        </w:rPr>
        <w:footnoteRef/>
      </w:r>
      <w:r w:rsidRPr="00C62A4E">
        <w:t xml:space="preserve"> El 23 de agosto de 2018 la Corte Interamericana de Derechos Humanos dictó Sentencia mediante la cual declaró la responsabilidad internacional del Estado de Guatemala por las violaciones a diversos derechos cometidas en perjuicio de 49 personas que viven o vivieron con el VIH y de sus familiares. En particular, la Corte </w:t>
      </w:r>
      <w:proofErr w:type="spellStart"/>
      <w:r w:rsidRPr="00C62A4E">
        <w:t>encontro</w:t>
      </w:r>
      <w:proofErr w:type="spellEnd"/>
      <w:r w:rsidRPr="00C62A4E">
        <w:t xml:space="preserve">́ que distintas omisiones del Estado en el tratamiento </w:t>
      </w:r>
      <w:proofErr w:type="spellStart"/>
      <w:r w:rsidRPr="00C62A4E">
        <w:t>médico</w:t>
      </w:r>
      <w:proofErr w:type="spellEnd"/>
      <w:r w:rsidRPr="00C62A4E">
        <w:t xml:space="preserve"> de las </w:t>
      </w:r>
      <w:proofErr w:type="spellStart"/>
      <w:r w:rsidRPr="00C62A4E">
        <w:t>víctimas</w:t>
      </w:r>
      <w:proofErr w:type="spellEnd"/>
      <w:r w:rsidRPr="00C62A4E">
        <w:t xml:space="preserve"> constituyeron un incumplimiento del deber de garantizar el derecho a la salud, y que el impacto de esas omisiones provocó violaciones al derecho a la vida y a la integridad personal de algunas de ellas. Adicionalmente, la Corte determinó que la omisión de garantizar una atención médica adecuada a dos mujeres embarazadas que viven con el VIH constituyó un acto de discriminación, y que la </w:t>
      </w:r>
      <w:proofErr w:type="spellStart"/>
      <w:r w:rsidRPr="00C62A4E">
        <w:t>inacción</w:t>
      </w:r>
      <w:proofErr w:type="spellEnd"/>
      <w:r w:rsidRPr="00C62A4E">
        <w:t xml:space="preserve"> estatal en materia de protección al derecho a la salud de la </w:t>
      </w:r>
      <w:proofErr w:type="spellStart"/>
      <w:r w:rsidRPr="00C62A4E">
        <w:t>población</w:t>
      </w:r>
      <w:proofErr w:type="spellEnd"/>
      <w:r w:rsidRPr="00C62A4E">
        <w:t xml:space="preserve"> que vive con el VIH en Guatemala constituyó una </w:t>
      </w:r>
      <w:proofErr w:type="spellStart"/>
      <w:r w:rsidRPr="00C62A4E">
        <w:t>violación</w:t>
      </w:r>
      <w:proofErr w:type="spellEnd"/>
      <w:r w:rsidRPr="00C62A4E">
        <w:t xml:space="preserve"> al principio de progresividad contenido en el artículo 26 de la Convención Americana sobre Derechos Humanos. Asimismo, el Tribunal </w:t>
      </w:r>
      <w:proofErr w:type="spellStart"/>
      <w:r w:rsidRPr="00C62A4E">
        <w:t>advirtio</w:t>
      </w:r>
      <w:proofErr w:type="spellEnd"/>
      <w:r w:rsidRPr="00C62A4E">
        <w:t xml:space="preserve">́ la existencia de diversas falencias en la </w:t>
      </w:r>
      <w:proofErr w:type="spellStart"/>
      <w:r w:rsidRPr="00C62A4E">
        <w:t>resolución</w:t>
      </w:r>
      <w:proofErr w:type="spellEnd"/>
      <w:r w:rsidRPr="00C62A4E">
        <w:t xml:space="preserve"> de un recurso judicial intentado por 13 de las </w:t>
      </w:r>
      <w:proofErr w:type="spellStart"/>
      <w:r w:rsidRPr="00C62A4E">
        <w:t>víctimas</w:t>
      </w:r>
      <w:proofErr w:type="spellEnd"/>
      <w:r w:rsidRPr="00C62A4E">
        <w:t xml:space="preserve"> ante la Corte de Constitucionalidad de Guatemala, las cuales constituyeron violaciones a las </w:t>
      </w:r>
      <w:proofErr w:type="spellStart"/>
      <w:r w:rsidRPr="00C62A4E">
        <w:t>garantías</w:t>
      </w:r>
      <w:proofErr w:type="spellEnd"/>
      <w:r w:rsidRPr="00C62A4E">
        <w:t xml:space="preserve"> judiciales y la protección judicial. Finalmente, la Corte </w:t>
      </w:r>
      <w:proofErr w:type="spellStart"/>
      <w:r w:rsidRPr="00C62A4E">
        <w:t>encontro</w:t>
      </w:r>
      <w:proofErr w:type="spellEnd"/>
      <w:r w:rsidRPr="00C62A4E">
        <w:t xml:space="preserve">́ que la </w:t>
      </w:r>
      <w:proofErr w:type="spellStart"/>
      <w:r w:rsidRPr="00C62A4E">
        <w:t>afectación</w:t>
      </w:r>
      <w:proofErr w:type="spellEnd"/>
      <w:r w:rsidRPr="00C62A4E">
        <w:t xml:space="preserve"> en la salud, la vida y la integridad de las </w:t>
      </w:r>
      <w:proofErr w:type="spellStart"/>
      <w:r w:rsidRPr="00C62A4E">
        <w:t>víctimas</w:t>
      </w:r>
      <w:proofErr w:type="spellEnd"/>
      <w:r w:rsidRPr="00C62A4E">
        <w:t xml:space="preserve"> también tuvieron un impacto en el derecho a la integridad personal de sus familiares.</w:t>
      </w:r>
    </w:p>
  </w:footnote>
  <w:footnote w:id="80">
    <w:p w14:paraId="0200727B" w14:textId="77777777" w:rsidR="00AA0A16" w:rsidRPr="00C62A4E" w:rsidRDefault="00AA0A16" w:rsidP="00C62A4E">
      <w:pPr>
        <w:pStyle w:val="Footnotes"/>
      </w:pPr>
      <w:r w:rsidRPr="00C62A4E">
        <w:rPr>
          <w:rStyle w:val="Refdenotaalpie"/>
        </w:rPr>
        <w:footnoteRef/>
      </w:r>
      <w:r w:rsidRPr="00C62A4E">
        <w:t xml:space="preserve"> Este caso se refiere a la responsabilidad internacional del Estado por las violaciones de derechos humanos cometidas por haber incumplido con su obligación de garantizar los derechos a la integridad personal y a no ser desplazado forzadamente, en perjuicio de los miembros de las Comunidades afrodescendientes desplazadas del Cacarica, en </w:t>
      </w:r>
      <w:proofErr w:type="spellStart"/>
      <w:r w:rsidRPr="00C62A4E">
        <w:t>Riosucio</w:t>
      </w:r>
      <w:proofErr w:type="spellEnd"/>
      <w:r w:rsidRPr="00C62A4E">
        <w:t xml:space="preserve">, Departamento del Chocó. Los hechos del caso también se refieren a la </w:t>
      </w:r>
      <w:proofErr w:type="spellStart"/>
      <w:r w:rsidRPr="00C62A4E">
        <w:t>desposesión</w:t>
      </w:r>
      <w:proofErr w:type="spellEnd"/>
      <w:r w:rsidRPr="00C62A4E">
        <w:t xml:space="preserve"> ilegal de los territorios ancestrales pertenecientes a las comunidades afrodescendientes de la cuenta del rio Cacarica. Del mismo modo, la Corte declaró que los actos crueles, inhumanos y degradantes a que fue sometido el </w:t>
      </w:r>
      <w:proofErr w:type="spellStart"/>
      <w:r w:rsidRPr="00C62A4E">
        <w:t>señor</w:t>
      </w:r>
      <w:proofErr w:type="spellEnd"/>
      <w:r w:rsidRPr="00C62A4E">
        <w:t xml:space="preserve"> Marino </w:t>
      </w:r>
      <w:proofErr w:type="spellStart"/>
      <w:r w:rsidRPr="00C62A4E">
        <w:t>López</w:t>
      </w:r>
      <w:proofErr w:type="spellEnd"/>
      <w:r w:rsidRPr="00C62A4E">
        <w:t xml:space="preserve"> en el poblado de Bijao, </w:t>
      </w:r>
      <w:proofErr w:type="spellStart"/>
      <w:r w:rsidRPr="00C62A4E">
        <w:t>asi</w:t>
      </w:r>
      <w:proofErr w:type="spellEnd"/>
      <w:r w:rsidRPr="00C62A4E">
        <w:t xml:space="preserve">́ como la </w:t>
      </w:r>
      <w:proofErr w:type="spellStart"/>
      <w:r w:rsidRPr="00C62A4E">
        <w:t>privación</w:t>
      </w:r>
      <w:proofErr w:type="spellEnd"/>
      <w:r w:rsidRPr="00C62A4E">
        <w:t xml:space="preserve"> de su vida, cometidos por miembros de grupos paramilitares, son atribuibles al Estado por la aquiescencia o </w:t>
      </w:r>
      <w:proofErr w:type="spellStart"/>
      <w:r w:rsidRPr="00C62A4E">
        <w:t>colaboración</w:t>
      </w:r>
      <w:proofErr w:type="spellEnd"/>
      <w:r w:rsidRPr="00C62A4E">
        <w:t xml:space="preserve"> que prestaron agentes de la fuerza </w:t>
      </w:r>
      <w:proofErr w:type="spellStart"/>
      <w:r w:rsidRPr="00C62A4E">
        <w:t>pública</w:t>
      </w:r>
      <w:proofErr w:type="spellEnd"/>
      <w:r w:rsidRPr="00C62A4E">
        <w:t xml:space="preserve"> para las operaciones de esos grupos, lo cual les facilitó las incursiones a las comunidades del Cacarica y propició o </w:t>
      </w:r>
      <w:proofErr w:type="spellStart"/>
      <w:r w:rsidRPr="00C62A4E">
        <w:t>permitio</w:t>
      </w:r>
      <w:proofErr w:type="spellEnd"/>
      <w:r w:rsidRPr="00C62A4E">
        <w:t xml:space="preserve">́ la </w:t>
      </w:r>
      <w:proofErr w:type="spellStart"/>
      <w:r w:rsidRPr="00C62A4E">
        <w:t>comisión</w:t>
      </w:r>
      <w:proofErr w:type="spellEnd"/>
      <w:r w:rsidRPr="00C62A4E">
        <w:t xml:space="preserve"> de este tipo de actos. Como consecuencia de lo anterior, la Corte concluyó que el Estado es responsable por la </w:t>
      </w:r>
      <w:proofErr w:type="spellStart"/>
      <w:r w:rsidRPr="00C62A4E">
        <w:t>violación</w:t>
      </w:r>
      <w:proofErr w:type="spellEnd"/>
      <w:r w:rsidRPr="00C62A4E">
        <w:t xml:space="preserve"> de los derechos reconocidos en los </w:t>
      </w:r>
      <w:proofErr w:type="spellStart"/>
      <w:r w:rsidRPr="00C62A4E">
        <w:t>artículos</w:t>
      </w:r>
      <w:proofErr w:type="spellEnd"/>
      <w:r w:rsidRPr="00C62A4E">
        <w:t xml:space="preserve"> 4, 5, 8.1, 19, 21, 22 y 25 de la Convención Americana.</w:t>
      </w:r>
    </w:p>
  </w:footnote>
  <w:footnote w:id="81">
    <w:p w14:paraId="6EB9B18B" w14:textId="6C8B8541" w:rsidR="003104C3" w:rsidRPr="00C62A4E" w:rsidRDefault="003104C3"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3 de septiembre de 2012 la Corte Interamericana de Derechos Humanos declaró, por unanimidad, que el Estado de Venezuela es internacionalmente responsable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entre otros, del derecho a la vida del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Néstor</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Jose</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Uzcátegui</w:t>
      </w:r>
      <w:proofErr w:type="spellEnd"/>
      <w:r w:rsidRPr="00C62A4E">
        <w:rPr>
          <w:rFonts w:ascii="Verdana" w:hAnsi="Verdana"/>
          <w:sz w:val="16"/>
          <w:szCs w:val="16"/>
          <w:lang w:val="es-CL"/>
        </w:rPr>
        <w:t xml:space="preserve">; de los derechos a la integridad personal, a la libertad personal de los </w:t>
      </w:r>
      <w:proofErr w:type="spellStart"/>
      <w:r w:rsidRPr="00C62A4E">
        <w:rPr>
          <w:rFonts w:ascii="Verdana" w:hAnsi="Verdana"/>
          <w:sz w:val="16"/>
          <w:szCs w:val="16"/>
          <w:lang w:val="es-CL"/>
        </w:rPr>
        <w:t>señores</w:t>
      </w:r>
      <w:proofErr w:type="spellEnd"/>
      <w:r w:rsidRPr="00C62A4E">
        <w:rPr>
          <w:rFonts w:ascii="Verdana" w:hAnsi="Verdana"/>
          <w:sz w:val="16"/>
          <w:szCs w:val="16"/>
          <w:lang w:val="es-CL"/>
        </w:rPr>
        <w:t xml:space="preserve"> Luis Enrique </w:t>
      </w:r>
      <w:proofErr w:type="spellStart"/>
      <w:r w:rsidRPr="00C62A4E">
        <w:rPr>
          <w:rFonts w:ascii="Verdana" w:hAnsi="Verdana"/>
          <w:sz w:val="16"/>
          <w:szCs w:val="16"/>
          <w:lang w:val="es-CL"/>
        </w:rPr>
        <w:t>Uzcátegui</w:t>
      </w:r>
      <w:proofErr w:type="spellEnd"/>
      <w:r w:rsidRPr="00C62A4E">
        <w:rPr>
          <w:rFonts w:ascii="Verdana" w:hAnsi="Verdana"/>
          <w:sz w:val="16"/>
          <w:szCs w:val="16"/>
          <w:lang w:val="es-CL"/>
        </w:rPr>
        <w:t xml:space="preserve"> y Carlos Eduardo </w:t>
      </w:r>
      <w:proofErr w:type="spellStart"/>
      <w:r w:rsidRPr="00C62A4E">
        <w:rPr>
          <w:rFonts w:ascii="Verdana" w:hAnsi="Verdana"/>
          <w:sz w:val="16"/>
          <w:szCs w:val="16"/>
          <w:lang w:val="es-CL"/>
        </w:rPr>
        <w:t>Uzcátegui</w:t>
      </w:r>
      <w:proofErr w:type="spellEnd"/>
      <w:r w:rsidRPr="00C62A4E">
        <w:rPr>
          <w:rFonts w:ascii="Verdana" w:hAnsi="Verdana"/>
          <w:sz w:val="16"/>
          <w:szCs w:val="16"/>
          <w:lang w:val="es-CL"/>
        </w:rPr>
        <w:t xml:space="preserve">, a la libertad de </w:t>
      </w:r>
      <w:proofErr w:type="spellStart"/>
      <w:r w:rsidRPr="00C62A4E">
        <w:rPr>
          <w:rFonts w:ascii="Verdana" w:hAnsi="Verdana"/>
          <w:sz w:val="16"/>
          <w:szCs w:val="16"/>
          <w:lang w:val="es-CL"/>
        </w:rPr>
        <w:t>expresión</w:t>
      </w:r>
      <w:proofErr w:type="spellEnd"/>
      <w:r w:rsidRPr="00C62A4E">
        <w:rPr>
          <w:rFonts w:ascii="Verdana" w:hAnsi="Verdana"/>
          <w:sz w:val="16"/>
          <w:szCs w:val="16"/>
          <w:lang w:val="es-CL"/>
        </w:rPr>
        <w:t xml:space="preserve"> del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Luis Enrique </w:t>
      </w:r>
      <w:proofErr w:type="spellStart"/>
      <w:r w:rsidRPr="00C62A4E">
        <w:rPr>
          <w:rFonts w:ascii="Verdana" w:hAnsi="Verdana"/>
          <w:sz w:val="16"/>
          <w:szCs w:val="16"/>
          <w:lang w:val="es-CL"/>
        </w:rPr>
        <w:t>Uzcátegui</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los derechos a la integridad personal,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protección judicial de los integrantes de la familia </w:t>
      </w:r>
      <w:proofErr w:type="spellStart"/>
      <w:r w:rsidRPr="00C62A4E">
        <w:rPr>
          <w:rFonts w:ascii="Verdana" w:hAnsi="Verdana"/>
          <w:sz w:val="16"/>
          <w:szCs w:val="16"/>
          <w:lang w:val="es-CL"/>
        </w:rPr>
        <w:t>Uzcátegui</w:t>
      </w:r>
      <w:proofErr w:type="spellEnd"/>
      <w:r w:rsidRPr="00C62A4E">
        <w:rPr>
          <w:rFonts w:ascii="Verdana" w:hAnsi="Verdana"/>
          <w:sz w:val="16"/>
          <w:szCs w:val="16"/>
          <w:lang w:val="es-CL"/>
        </w:rPr>
        <w:t xml:space="preserve">, la cual </w:t>
      </w:r>
      <w:proofErr w:type="spellStart"/>
      <w:r w:rsidRPr="00C62A4E">
        <w:rPr>
          <w:rFonts w:ascii="Verdana" w:hAnsi="Verdana"/>
          <w:sz w:val="16"/>
          <w:szCs w:val="16"/>
          <w:lang w:val="es-CL"/>
        </w:rPr>
        <w:t>residía</w:t>
      </w:r>
      <w:proofErr w:type="spellEnd"/>
      <w:r w:rsidRPr="00C62A4E">
        <w:rPr>
          <w:rFonts w:ascii="Verdana" w:hAnsi="Verdana"/>
          <w:sz w:val="16"/>
          <w:szCs w:val="16"/>
          <w:lang w:val="es-CL"/>
        </w:rPr>
        <w:t xml:space="preserve"> en la ciudad de Coro, estado </w:t>
      </w:r>
      <w:proofErr w:type="spellStart"/>
      <w:r w:rsidRPr="00C62A4E">
        <w:rPr>
          <w:rFonts w:ascii="Verdana" w:hAnsi="Verdana"/>
          <w:sz w:val="16"/>
          <w:szCs w:val="16"/>
          <w:lang w:val="es-CL"/>
        </w:rPr>
        <w:t>Falcón</w:t>
      </w:r>
      <w:proofErr w:type="spellEnd"/>
      <w:r w:rsidRPr="00C62A4E">
        <w:rPr>
          <w:rFonts w:ascii="Verdana" w:hAnsi="Verdana"/>
          <w:sz w:val="16"/>
          <w:szCs w:val="16"/>
          <w:lang w:val="es-CL"/>
        </w:rPr>
        <w:t xml:space="preserve">, Venezuela. El Tribunal también pudo comprobar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a la vida privada y a la propiedad privada de varios integrantes de la Familia </w:t>
      </w:r>
      <w:proofErr w:type="spellStart"/>
      <w:r w:rsidRPr="00C62A4E">
        <w:rPr>
          <w:rFonts w:ascii="Verdana" w:hAnsi="Verdana"/>
          <w:sz w:val="16"/>
          <w:szCs w:val="16"/>
          <w:lang w:val="es-CL"/>
        </w:rPr>
        <w:t>Uzcátegui</w:t>
      </w:r>
      <w:proofErr w:type="spellEnd"/>
      <w:r w:rsidRPr="00C62A4E">
        <w:rPr>
          <w:rFonts w:ascii="Verdana" w:hAnsi="Verdana"/>
          <w:sz w:val="16"/>
          <w:szCs w:val="16"/>
          <w:lang w:val="es-CL"/>
        </w:rPr>
        <w:t>.</w:t>
      </w:r>
    </w:p>
    <w:p w14:paraId="3F83EF59" w14:textId="77777777" w:rsidR="003104C3" w:rsidRPr="00C62A4E" w:rsidRDefault="003104C3" w:rsidP="00C62A4E">
      <w:pPr>
        <w:pStyle w:val="Textonotapie"/>
        <w:rPr>
          <w:rFonts w:ascii="Verdana" w:hAnsi="Verdana"/>
          <w:sz w:val="16"/>
          <w:szCs w:val="16"/>
          <w:lang w:val="es-CL"/>
        </w:rPr>
      </w:pPr>
    </w:p>
  </w:footnote>
  <w:footnote w:id="82">
    <w:p w14:paraId="6E0454E6" w14:textId="77777777" w:rsidR="003104C3" w:rsidRPr="00C62A4E" w:rsidRDefault="003104C3"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19 de mayo de 2014 la Corte Interamericana de Derechos Humanos dict6 Sentencia en el caso Veliz Franco y otros Vs. Guatemala. La Corte declare que Guatemala vulneró, en perjuicio de la niña </w:t>
      </w:r>
      <w:proofErr w:type="spellStart"/>
      <w:r w:rsidRPr="00C62A4E">
        <w:rPr>
          <w:rFonts w:ascii="Verdana" w:hAnsi="Verdana"/>
          <w:sz w:val="16"/>
          <w:szCs w:val="16"/>
          <w:lang w:val="es-CL"/>
        </w:rPr>
        <w:t>Marfa</w:t>
      </w:r>
      <w:proofErr w:type="spellEnd"/>
      <w:r w:rsidRPr="00C62A4E">
        <w:rPr>
          <w:rFonts w:ascii="Verdana" w:hAnsi="Verdana"/>
          <w:sz w:val="16"/>
          <w:szCs w:val="16"/>
          <w:lang w:val="es-CL"/>
        </w:rPr>
        <w:t xml:space="preserve"> Isabel Veliz Franco, de 15 años de edad al </w:t>
      </w:r>
      <w:proofErr w:type="spellStart"/>
      <w:r w:rsidRPr="00C62A4E">
        <w:rPr>
          <w:rFonts w:ascii="Verdana" w:hAnsi="Verdana"/>
          <w:sz w:val="16"/>
          <w:szCs w:val="16"/>
          <w:lang w:val="es-CL"/>
        </w:rPr>
        <w:t>momenta</w:t>
      </w:r>
      <w:proofErr w:type="spellEnd"/>
      <w:r w:rsidRPr="00C62A4E">
        <w:rPr>
          <w:rFonts w:ascii="Verdana" w:hAnsi="Verdana"/>
          <w:sz w:val="16"/>
          <w:szCs w:val="16"/>
          <w:lang w:val="es-CL"/>
        </w:rPr>
        <w:t xml:space="preserve"> de los hechos, el deber de garantizar el libre y pleno ejercicio de los derechos a la vida (artículo 4.1) e integridad personal (artículo 5.1), en relación con los derechos del niño (artículo 19) y con la obligación general de garantizar los derechos sin discriminación ( artículo 1.1) de la Convención Americana, y la obligaci6n de actuar con la debida diligencia para prevenir e investigar la violencia contra la mujer (artículo 7.b) de la Convención Interamericana para Prevenir, Sancionar y Erradicar la Violencia contra la Mujer. Asimismo, el Estado violó los derechos a las garantías judiciales (artículo 8.1), a la protección judicial (artículo 25.1) y a la igualdad ante la ley (artículo 24) de la Convención Americana, en relación con las obligaciones generales de respetar y garantizar los derechos ( artículo 1.1) y adoptar disposiciones de derecho interno (artículo 2) de dicho tratado, y con los deberes de actuar con diligencia para investigar y sancionar la violencia contra la mujer (artículo 7.b y 7.c) de la Convención Interamericana para Prevenir, Sancionar y Erradicar la Violencia contra la Mujer, en perjuicio de la madre de la niña, Rosa Elvira Franco Sandoval, de los hermanos de </w:t>
      </w:r>
      <w:proofErr w:type="spellStart"/>
      <w:r w:rsidRPr="00C62A4E">
        <w:rPr>
          <w:rFonts w:ascii="Verdana" w:hAnsi="Verdana"/>
          <w:sz w:val="16"/>
          <w:szCs w:val="16"/>
          <w:lang w:val="es-CL"/>
        </w:rPr>
        <w:t>Marfa</w:t>
      </w:r>
      <w:proofErr w:type="spellEnd"/>
      <w:r w:rsidRPr="00C62A4E">
        <w:rPr>
          <w:rFonts w:ascii="Verdana" w:hAnsi="Verdana"/>
          <w:sz w:val="16"/>
          <w:szCs w:val="16"/>
          <w:lang w:val="es-CL"/>
        </w:rPr>
        <w:t xml:space="preserve"> Isabel, Leonel Enrique Veliz Franco, </w:t>
      </w:r>
      <w:proofErr w:type="spellStart"/>
      <w:r w:rsidRPr="00C62A4E">
        <w:rPr>
          <w:rFonts w:ascii="Verdana" w:hAnsi="Verdana"/>
          <w:sz w:val="16"/>
          <w:szCs w:val="16"/>
          <w:lang w:val="es-CL"/>
        </w:rPr>
        <w:t>Jose</w:t>
      </w:r>
      <w:proofErr w:type="spellEnd"/>
      <w:r w:rsidRPr="00C62A4E">
        <w:rPr>
          <w:rFonts w:ascii="Verdana" w:hAnsi="Verdana"/>
          <w:sz w:val="16"/>
          <w:szCs w:val="16"/>
          <w:lang w:val="es-CL"/>
        </w:rPr>
        <w:t xml:space="preserve"> Roberto Franco, y de los abuelos de esta, actualmente fallecidos, Cruz Elvira Sandoval Polanco y Roberto </w:t>
      </w:r>
      <w:proofErr w:type="spellStart"/>
      <w:r w:rsidRPr="00C62A4E">
        <w:rPr>
          <w:rFonts w:ascii="Verdana" w:hAnsi="Verdana"/>
          <w:sz w:val="16"/>
          <w:szCs w:val="16"/>
          <w:lang w:val="es-CL"/>
        </w:rPr>
        <w:t>Perez</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Ademas</w:t>
      </w:r>
      <w:proofErr w:type="spellEnd"/>
      <w:r w:rsidRPr="00C62A4E">
        <w:rPr>
          <w:rFonts w:ascii="Verdana" w:hAnsi="Verdana"/>
          <w:sz w:val="16"/>
          <w:szCs w:val="16"/>
          <w:lang w:val="es-CL"/>
        </w:rPr>
        <w:t xml:space="preserve">, Guatemala violó el derecho a la integridad personal (artículo 5.1) de la Convención Americana, en relación con el </w:t>
      </w:r>
      <w:proofErr w:type="spellStart"/>
      <w:r w:rsidRPr="00C62A4E">
        <w:rPr>
          <w:rFonts w:ascii="Verdana" w:hAnsi="Verdana"/>
          <w:sz w:val="16"/>
          <w:szCs w:val="16"/>
          <w:lang w:val="es-CL"/>
        </w:rPr>
        <w:t>artfculo</w:t>
      </w:r>
      <w:proofErr w:type="spellEnd"/>
      <w:r w:rsidRPr="00C62A4E">
        <w:rPr>
          <w:rFonts w:ascii="Verdana" w:hAnsi="Verdana"/>
          <w:sz w:val="16"/>
          <w:szCs w:val="16"/>
          <w:lang w:val="es-CL"/>
        </w:rPr>
        <w:t xml:space="preserve"> 1.1 de la misma, en perjuicio de la señora Franco Sandoval. </w:t>
      </w:r>
    </w:p>
  </w:footnote>
  <w:footnote w:id="83">
    <w:p w14:paraId="3DE8D984" w14:textId="6156E82A" w:rsidR="00D653CC" w:rsidRPr="00C62A4E" w:rsidRDefault="00D653CC" w:rsidP="00C62A4E">
      <w:pPr>
        <w:pStyle w:val="Textonotapie"/>
        <w:rPr>
          <w:rFonts w:ascii="Verdana" w:hAnsi="Verdana"/>
          <w:b/>
          <w:bCs/>
          <w:sz w:val="16"/>
          <w:szCs w:val="16"/>
          <w:lang w:val="es-CL"/>
        </w:rPr>
      </w:pPr>
      <w:r w:rsidRPr="00C62A4E">
        <w:rPr>
          <w:rStyle w:val="Refdenotaalpie"/>
          <w:rFonts w:ascii="Verdana" w:hAnsi="Verdana"/>
          <w:b/>
          <w:bCs/>
          <w:sz w:val="16"/>
          <w:szCs w:val="16"/>
        </w:rPr>
        <w:footnoteRef/>
      </w:r>
      <w:r w:rsidRPr="00C62A4E">
        <w:rPr>
          <w:rFonts w:ascii="Verdana" w:hAnsi="Verdana"/>
          <w:sz w:val="16"/>
          <w:szCs w:val="16"/>
          <w:lang w:val="es-CL"/>
        </w:rPr>
        <w:t xml:space="preserve"> El 7 de julio de 2011 la República Argentina, la República Federativa de Brasil, la República del Paraguay y la República Oriental del Uruguay, con fundamento en el artículo 64.1 de la Convención Americana y de conformidad con lo establecido en el artículo 70.1 y 70.2 del Reglamento, presentaron una solicitud de Opinión Consultiva sobre niñez migrante a fin de que el Tribunal “</w:t>
      </w:r>
      <w:proofErr w:type="spellStart"/>
      <w:r w:rsidRPr="00C62A4E">
        <w:rPr>
          <w:rFonts w:ascii="Verdana" w:hAnsi="Verdana"/>
          <w:sz w:val="16"/>
          <w:szCs w:val="16"/>
          <w:lang w:val="es-CL"/>
        </w:rPr>
        <w:t>determin</w:t>
      </w:r>
      <w:proofErr w:type="spellEnd"/>
      <w:r w:rsidRPr="00C62A4E">
        <w:rPr>
          <w:rFonts w:ascii="Verdana" w:hAnsi="Verdana"/>
          <w:sz w:val="16"/>
          <w:szCs w:val="16"/>
          <w:lang w:val="es-CL"/>
        </w:rPr>
        <w:t>[e] con mayor precisión cuáles son las obligaciones de los Estados con relación a las medidas pasibles de ser adoptadas respecto de niñas y niños, asociada a su condición migratoria, o a la de sus padres, a la luz de la interpretación autorizada de los artículos 1.1, 2, 4.1, 5, 7, 8, 11, 17, 19, 22.7, 22.8, 25 y 29 de la Convención Americana sobre Derechos Humanos y los artículos 1, 6, 8, 25 y 27 de la Declaración Americana de [los] Derechos y Deberes del Hombre y el artículo 13 de la Convención Interamericana para Prevenir y Sancionar la Tortura”.</w:t>
      </w:r>
    </w:p>
  </w:footnote>
  <w:footnote w:id="84">
    <w:p w14:paraId="060B0062" w14:textId="58598836" w:rsidR="00521531" w:rsidRPr="00C62A4E" w:rsidRDefault="00521531"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30 de junio de 2015 la Corte Interamericana de Derechos Humanos dictó una Sentencia mediante la cual declaró que, de extraditarse al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Wong Ho </w:t>
      </w:r>
      <w:proofErr w:type="spellStart"/>
      <w:r w:rsidRPr="00C62A4E">
        <w:rPr>
          <w:rFonts w:ascii="Verdana" w:hAnsi="Verdana"/>
          <w:sz w:val="16"/>
          <w:szCs w:val="16"/>
          <w:lang w:val="es-CL"/>
        </w:rPr>
        <w:t>Wing</w:t>
      </w:r>
      <w:proofErr w:type="spellEnd"/>
      <w:r w:rsidRPr="00C62A4E">
        <w:rPr>
          <w:rFonts w:ascii="Verdana" w:hAnsi="Verdana"/>
          <w:sz w:val="16"/>
          <w:szCs w:val="16"/>
          <w:lang w:val="es-CL"/>
        </w:rPr>
        <w:t xml:space="preserve">, el Estado del </w:t>
      </w:r>
      <w:proofErr w:type="spellStart"/>
      <w:r w:rsidRPr="00C62A4E">
        <w:rPr>
          <w:rFonts w:ascii="Verdana" w:hAnsi="Verdana"/>
          <w:sz w:val="16"/>
          <w:szCs w:val="16"/>
          <w:lang w:val="es-CL"/>
        </w:rPr>
        <w:t>Peru</w:t>
      </w:r>
      <w:proofErr w:type="spellEnd"/>
      <w:r w:rsidRPr="00C62A4E">
        <w:rPr>
          <w:rFonts w:ascii="Verdana" w:hAnsi="Verdana"/>
          <w:sz w:val="16"/>
          <w:szCs w:val="16"/>
          <w:lang w:val="es-CL"/>
        </w:rPr>
        <w:t xml:space="preserve">́ no </w:t>
      </w:r>
      <w:proofErr w:type="spellStart"/>
      <w:r w:rsidRPr="00C62A4E">
        <w:rPr>
          <w:rFonts w:ascii="Verdana" w:hAnsi="Verdana"/>
          <w:sz w:val="16"/>
          <w:szCs w:val="16"/>
          <w:lang w:val="es-CL"/>
        </w:rPr>
        <w:t>sería</w:t>
      </w:r>
      <w:proofErr w:type="spellEnd"/>
      <w:r w:rsidRPr="00C62A4E">
        <w:rPr>
          <w:rFonts w:ascii="Verdana" w:hAnsi="Verdana"/>
          <w:sz w:val="16"/>
          <w:szCs w:val="16"/>
          <w:lang w:val="es-CL"/>
        </w:rPr>
        <w:t xml:space="preserve"> responsable de una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su obligación de garantizar sus derechos a la vida e integridad personal, ni de la obligación de no </w:t>
      </w:r>
      <w:proofErr w:type="spellStart"/>
      <w:r w:rsidRPr="00C62A4E">
        <w:rPr>
          <w:rFonts w:ascii="Verdana" w:hAnsi="Verdana"/>
          <w:sz w:val="16"/>
          <w:szCs w:val="16"/>
          <w:lang w:val="es-CL"/>
        </w:rPr>
        <w:t>devolución</w:t>
      </w:r>
      <w:proofErr w:type="spellEnd"/>
      <w:r w:rsidRPr="00C62A4E">
        <w:rPr>
          <w:rFonts w:ascii="Verdana" w:hAnsi="Verdana"/>
          <w:sz w:val="16"/>
          <w:szCs w:val="16"/>
          <w:lang w:val="es-CL"/>
        </w:rPr>
        <w:t xml:space="preserve"> por riesgo a estos derechos, en tanto no fue demostrado que actualmente existiera un riesgo real, previsible y personal a los derechos a la vida e integridad personal del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Wong Ho </w:t>
      </w:r>
      <w:proofErr w:type="spellStart"/>
      <w:r w:rsidRPr="00C62A4E">
        <w:rPr>
          <w:rFonts w:ascii="Verdana" w:hAnsi="Verdana"/>
          <w:sz w:val="16"/>
          <w:szCs w:val="16"/>
          <w:lang w:val="es-CL"/>
        </w:rPr>
        <w:t>Wing</w:t>
      </w:r>
      <w:proofErr w:type="spellEnd"/>
      <w:r w:rsidRPr="00C62A4E">
        <w:rPr>
          <w:rFonts w:ascii="Verdana" w:hAnsi="Verdana"/>
          <w:sz w:val="16"/>
          <w:szCs w:val="16"/>
          <w:lang w:val="es-CL"/>
        </w:rPr>
        <w:t xml:space="preserve">. Sin embargo, la Corte consideró que el Estado sí era responsable internacionalmente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la </w:t>
      </w:r>
      <w:proofErr w:type="spellStart"/>
      <w:r w:rsidRPr="00C62A4E">
        <w:rPr>
          <w:rFonts w:ascii="Verdana" w:hAnsi="Verdana"/>
          <w:sz w:val="16"/>
          <w:szCs w:val="16"/>
          <w:lang w:val="es-CL"/>
        </w:rPr>
        <w:t>garantía</w:t>
      </w:r>
      <w:proofErr w:type="spellEnd"/>
      <w:r w:rsidRPr="00C62A4E">
        <w:rPr>
          <w:rFonts w:ascii="Verdana" w:hAnsi="Verdana"/>
          <w:sz w:val="16"/>
          <w:szCs w:val="16"/>
          <w:lang w:val="es-CL"/>
        </w:rPr>
        <w:t xml:space="preserve"> del plazo razonable y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del derecho a la libertad personal, debido a la excesiva demora en la </w:t>
      </w:r>
      <w:proofErr w:type="spellStart"/>
      <w:r w:rsidRPr="00C62A4E">
        <w:rPr>
          <w:rFonts w:ascii="Verdana" w:hAnsi="Verdana"/>
          <w:sz w:val="16"/>
          <w:szCs w:val="16"/>
          <w:lang w:val="es-CL"/>
        </w:rPr>
        <w:t>tramitación</w:t>
      </w:r>
      <w:proofErr w:type="spellEnd"/>
      <w:r w:rsidRPr="00C62A4E">
        <w:rPr>
          <w:rFonts w:ascii="Verdana" w:hAnsi="Verdana"/>
          <w:sz w:val="16"/>
          <w:szCs w:val="16"/>
          <w:lang w:val="es-CL"/>
        </w:rPr>
        <w:t xml:space="preserve"> del proceso de </w:t>
      </w:r>
      <w:proofErr w:type="spellStart"/>
      <w:r w:rsidRPr="00C62A4E">
        <w:rPr>
          <w:rFonts w:ascii="Verdana" w:hAnsi="Verdana"/>
          <w:sz w:val="16"/>
          <w:szCs w:val="16"/>
          <w:lang w:val="es-CL"/>
        </w:rPr>
        <w:t>extradición</w:t>
      </w:r>
      <w:proofErr w:type="spellEnd"/>
      <w:r w:rsidRPr="00C62A4E">
        <w:rPr>
          <w:rFonts w:ascii="Verdana" w:hAnsi="Verdana"/>
          <w:sz w:val="16"/>
          <w:szCs w:val="16"/>
          <w:lang w:val="es-CL"/>
        </w:rPr>
        <w:t xml:space="preserve"> y de la </w:t>
      </w:r>
      <w:proofErr w:type="spellStart"/>
      <w:r w:rsidRPr="00C62A4E">
        <w:rPr>
          <w:rFonts w:ascii="Verdana" w:hAnsi="Verdana"/>
          <w:sz w:val="16"/>
          <w:szCs w:val="16"/>
          <w:lang w:val="es-CL"/>
        </w:rPr>
        <w:t>privación</w:t>
      </w:r>
      <w:proofErr w:type="spellEnd"/>
      <w:r w:rsidRPr="00C62A4E">
        <w:rPr>
          <w:rFonts w:ascii="Verdana" w:hAnsi="Verdana"/>
          <w:sz w:val="16"/>
          <w:szCs w:val="16"/>
          <w:lang w:val="es-CL"/>
        </w:rPr>
        <w:t xml:space="preserve"> de la libertad del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Wong Ho </w:t>
      </w:r>
      <w:proofErr w:type="spellStart"/>
      <w:r w:rsidRPr="00C62A4E">
        <w:rPr>
          <w:rFonts w:ascii="Verdana" w:hAnsi="Verdana"/>
          <w:sz w:val="16"/>
          <w:szCs w:val="16"/>
          <w:lang w:val="es-CL"/>
        </w:rPr>
        <w:t>Wing</w:t>
      </w:r>
      <w:proofErr w:type="spellEnd"/>
      <w:r w:rsidRPr="00C62A4E">
        <w:rPr>
          <w:rFonts w:ascii="Verdana" w:hAnsi="Verdana"/>
          <w:sz w:val="16"/>
          <w:szCs w:val="16"/>
          <w:lang w:val="es-CL"/>
        </w:rPr>
        <w:t xml:space="preserve">,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por la arbitrariedad de la </w:t>
      </w:r>
      <w:proofErr w:type="spellStart"/>
      <w:r w:rsidRPr="00C62A4E">
        <w:rPr>
          <w:rFonts w:ascii="Verdana" w:hAnsi="Verdana"/>
          <w:sz w:val="16"/>
          <w:szCs w:val="16"/>
          <w:lang w:val="es-CL"/>
        </w:rPr>
        <w:t>detención</w:t>
      </w:r>
      <w:proofErr w:type="spellEnd"/>
      <w:r w:rsidRPr="00C62A4E">
        <w:rPr>
          <w:rFonts w:ascii="Verdana" w:hAnsi="Verdana"/>
          <w:sz w:val="16"/>
          <w:szCs w:val="16"/>
          <w:lang w:val="es-CL"/>
        </w:rPr>
        <w:t xml:space="preserve"> y la falta de efectividad de ciertos recursos de </w:t>
      </w:r>
      <w:proofErr w:type="spellStart"/>
      <w:r w:rsidRPr="00C62A4E">
        <w:rPr>
          <w:rFonts w:ascii="Verdana" w:hAnsi="Verdana"/>
          <w:sz w:val="16"/>
          <w:szCs w:val="16"/>
          <w:lang w:val="es-CL"/>
        </w:rPr>
        <w:t>hábeas</w:t>
      </w:r>
      <w:proofErr w:type="spellEnd"/>
      <w:r w:rsidRPr="00C62A4E">
        <w:rPr>
          <w:rFonts w:ascii="Verdana" w:hAnsi="Verdana"/>
          <w:sz w:val="16"/>
          <w:szCs w:val="16"/>
          <w:lang w:val="es-CL"/>
        </w:rPr>
        <w:t xml:space="preserve"> corpus y solicitudes de libertad interpuestos por el </w:t>
      </w:r>
      <w:proofErr w:type="spellStart"/>
      <w:r w:rsidRPr="00C62A4E">
        <w:rPr>
          <w:rFonts w:ascii="Verdana" w:hAnsi="Verdana"/>
          <w:sz w:val="16"/>
          <w:szCs w:val="16"/>
          <w:lang w:val="es-CL"/>
        </w:rPr>
        <w:t>señor</w:t>
      </w:r>
      <w:proofErr w:type="spellEnd"/>
      <w:r w:rsidRPr="00C62A4E">
        <w:rPr>
          <w:rFonts w:ascii="Verdana" w:hAnsi="Verdana"/>
          <w:sz w:val="16"/>
          <w:szCs w:val="16"/>
          <w:lang w:val="es-CL"/>
        </w:rPr>
        <w:t xml:space="preserve"> Wong Ho </w:t>
      </w:r>
      <w:proofErr w:type="spellStart"/>
      <w:r w:rsidRPr="00C62A4E">
        <w:rPr>
          <w:rFonts w:ascii="Verdana" w:hAnsi="Verdana"/>
          <w:sz w:val="16"/>
          <w:szCs w:val="16"/>
          <w:lang w:val="es-CL"/>
        </w:rPr>
        <w:t>Wing</w:t>
      </w:r>
      <w:proofErr w:type="spellEnd"/>
      <w:r w:rsidRPr="00C62A4E">
        <w:rPr>
          <w:rFonts w:ascii="Verdana" w:hAnsi="Verdana"/>
          <w:sz w:val="16"/>
          <w:szCs w:val="16"/>
          <w:lang w:val="es-CL"/>
        </w:rPr>
        <w:t>.</w:t>
      </w:r>
    </w:p>
    <w:p w14:paraId="2BF54FC9" w14:textId="77777777" w:rsidR="00521531" w:rsidRPr="00C62A4E" w:rsidRDefault="00521531" w:rsidP="00C62A4E">
      <w:pPr>
        <w:pStyle w:val="Textonotapie"/>
        <w:rPr>
          <w:rFonts w:ascii="Verdana" w:hAnsi="Verdana"/>
          <w:sz w:val="16"/>
          <w:szCs w:val="16"/>
          <w:lang w:val="es-CL"/>
        </w:rPr>
      </w:pPr>
    </w:p>
  </w:footnote>
  <w:footnote w:id="85">
    <w:p w14:paraId="4578B096" w14:textId="510FCE95" w:rsidR="0031044B" w:rsidRPr="00C62A4E" w:rsidRDefault="0031044B"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 falta de investigación y reparación integral de los actos de tortura sufridos por el señor Leopoldo García Lucero desde su detención el 16 de setiembre de 1973 hasta el 12 de junio de 1975, fecha en la que salió de Chile por decreto del Ministerio del Interior, así como por la falta de investigación y sanción de los responsables. Cabe resaltar que a la fecha, el señor García Lucero se encuentra exiliado en Reino Unido y tiene de una discapacidad permanente. El 28 de agosto de 2013 la Corte Interamericana de Derechos Humanos dictó Sentencia en el caso </w:t>
      </w:r>
      <w:proofErr w:type="spellStart"/>
      <w:r w:rsidRPr="00C62A4E">
        <w:rPr>
          <w:rFonts w:ascii="Verdana" w:hAnsi="Verdana"/>
          <w:sz w:val="16"/>
          <w:szCs w:val="16"/>
          <w:lang w:val="es-CL"/>
        </w:rPr>
        <w:t>García</w:t>
      </w:r>
      <w:proofErr w:type="spellEnd"/>
      <w:r w:rsidRPr="00C62A4E">
        <w:rPr>
          <w:rFonts w:ascii="Verdana" w:hAnsi="Verdana"/>
          <w:sz w:val="16"/>
          <w:szCs w:val="16"/>
          <w:lang w:val="es-CL"/>
        </w:rPr>
        <w:t xml:space="preserve"> Lucero y otras Vs. Chile y declaró que el Estado es internacionalmente responsable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de los derechos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y a la protección judicial de Leopoldo Guillermo </w:t>
      </w:r>
      <w:proofErr w:type="spellStart"/>
      <w:r w:rsidRPr="00C62A4E">
        <w:rPr>
          <w:rFonts w:ascii="Verdana" w:hAnsi="Verdana"/>
          <w:sz w:val="16"/>
          <w:szCs w:val="16"/>
          <w:lang w:val="es-CL"/>
        </w:rPr>
        <w:t>García</w:t>
      </w:r>
      <w:proofErr w:type="spellEnd"/>
      <w:r w:rsidRPr="00C62A4E">
        <w:rPr>
          <w:rFonts w:ascii="Verdana" w:hAnsi="Verdana"/>
          <w:sz w:val="16"/>
          <w:szCs w:val="16"/>
          <w:lang w:val="es-CL"/>
        </w:rPr>
        <w:t xml:space="preserve"> Lucero.</w:t>
      </w:r>
    </w:p>
    <w:p w14:paraId="66750D8F" w14:textId="77777777" w:rsidR="0031044B" w:rsidRPr="00C62A4E" w:rsidRDefault="0031044B" w:rsidP="00C62A4E">
      <w:pPr>
        <w:pStyle w:val="Textonotapie"/>
        <w:rPr>
          <w:rFonts w:ascii="Verdana" w:hAnsi="Verdana"/>
          <w:sz w:val="16"/>
          <w:szCs w:val="16"/>
          <w:lang w:val="es-CL"/>
        </w:rPr>
      </w:pPr>
    </w:p>
  </w:footnote>
  <w:footnote w:id="86">
    <w:p w14:paraId="263EEAA0" w14:textId="43F289B4" w:rsidR="00356F86" w:rsidRPr="00C62A4E" w:rsidRDefault="00356F86"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caso se refiere a la responsabilidad internacional del Estado por la ejecución extrajudicial del niño Gerardo Vargas </w:t>
      </w:r>
      <w:proofErr w:type="spellStart"/>
      <w:r w:rsidRPr="00C62A4E">
        <w:rPr>
          <w:rFonts w:ascii="Verdana" w:hAnsi="Verdana"/>
          <w:sz w:val="16"/>
          <w:szCs w:val="16"/>
          <w:lang w:val="es-CL"/>
        </w:rPr>
        <w:t>Areco</w:t>
      </w:r>
      <w:proofErr w:type="spellEnd"/>
      <w:r w:rsidRPr="00C62A4E">
        <w:rPr>
          <w:rFonts w:ascii="Verdana" w:hAnsi="Verdana"/>
          <w:sz w:val="16"/>
          <w:szCs w:val="16"/>
          <w:lang w:val="es-CL"/>
        </w:rPr>
        <w:t xml:space="preserve"> por parte de un agente militar, así como a la falta de investigación y sanción adecuada del responsable del hecho. La Corte estableció la responsabilidad internacional del Estado por la violación de los siguientes derechos convencionales: Artículo 1 (Obligación de respetar los derechos.) , Artículo 19 (Derecho de niño) , Artículo 25 (Protección Judicial) , Artículo 4 (Derecho a la vida) , Artículo 5 (Derecho a la Integridad Personal) , Artículo 7 (Derecho a la libertad personal) , Artículo 8 (Garantías Judiciales).</w:t>
      </w:r>
    </w:p>
    <w:p w14:paraId="6F650C81" w14:textId="77777777" w:rsidR="00356F86" w:rsidRPr="00C62A4E" w:rsidRDefault="00356F86" w:rsidP="00C62A4E">
      <w:pPr>
        <w:pStyle w:val="Textonotapie"/>
        <w:rPr>
          <w:rFonts w:ascii="Verdana" w:hAnsi="Verdana"/>
          <w:sz w:val="16"/>
          <w:szCs w:val="16"/>
          <w:lang w:val="es-CL"/>
        </w:rPr>
      </w:pPr>
    </w:p>
  </w:footnote>
  <w:footnote w:id="87">
    <w:p w14:paraId="7AF72BF6" w14:textId="14970D80" w:rsidR="00801489" w:rsidRPr="00C62A4E" w:rsidRDefault="00801489" w:rsidP="00C62A4E">
      <w:pPr>
        <w:pStyle w:val="Textonotapie"/>
        <w:rPr>
          <w:rFonts w:ascii="Verdana" w:hAnsi="Verdana"/>
          <w:sz w:val="16"/>
          <w:szCs w:val="16"/>
          <w:lang w:val="es-CL"/>
        </w:rPr>
      </w:pPr>
      <w:r w:rsidRPr="00C62A4E">
        <w:rPr>
          <w:rStyle w:val="Refdenotaalpie"/>
          <w:rFonts w:ascii="Verdana" w:hAnsi="Verdana"/>
          <w:sz w:val="16"/>
          <w:szCs w:val="16"/>
        </w:rPr>
        <w:footnoteRef/>
      </w:r>
      <w:r w:rsidRPr="00C62A4E">
        <w:rPr>
          <w:rFonts w:ascii="Verdana" w:hAnsi="Verdana"/>
          <w:sz w:val="16"/>
          <w:szCs w:val="16"/>
          <w:lang w:val="es-CL"/>
        </w:rPr>
        <w:t xml:space="preserve"> El 13 de marzo de 2018 la Corte Interamericana de Derechos Humanos dictó una Sentencia, mediante la cual declaró responsable internacionalmente al Estado de Colombia por la muerte del periodista Nelson Carvajal </w:t>
      </w:r>
      <w:proofErr w:type="spellStart"/>
      <w:r w:rsidRPr="00C62A4E">
        <w:rPr>
          <w:rFonts w:ascii="Verdana" w:hAnsi="Verdana"/>
          <w:sz w:val="16"/>
          <w:szCs w:val="16"/>
          <w:lang w:val="es-CL"/>
        </w:rPr>
        <w:t>Carvajal</w:t>
      </w:r>
      <w:proofErr w:type="spellEnd"/>
      <w:r w:rsidRPr="00C62A4E">
        <w:rPr>
          <w:rFonts w:ascii="Verdana" w:hAnsi="Verdana"/>
          <w:sz w:val="16"/>
          <w:szCs w:val="16"/>
          <w:lang w:val="es-CL"/>
        </w:rPr>
        <w:t xml:space="preserve"> y por una falta al deber de garantizar su derecho a la libertad de </w:t>
      </w:r>
      <w:proofErr w:type="spellStart"/>
      <w:r w:rsidRPr="00C62A4E">
        <w:rPr>
          <w:rFonts w:ascii="Verdana" w:hAnsi="Verdana"/>
          <w:sz w:val="16"/>
          <w:szCs w:val="16"/>
          <w:lang w:val="es-CL"/>
        </w:rPr>
        <w:t>expresión</w:t>
      </w:r>
      <w:proofErr w:type="spellEnd"/>
      <w:r w:rsidRPr="00C62A4E">
        <w:rPr>
          <w:rFonts w:ascii="Verdana" w:hAnsi="Verdana"/>
          <w:sz w:val="16"/>
          <w:szCs w:val="16"/>
          <w:lang w:val="es-CL"/>
        </w:rPr>
        <w:t xml:space="preserve">. Nelson Carvajal fue asesinado en Pitalito, departamento del Huila, el 16 de abril de 1998. Ese hecho se inscribe dentro de un contexto generalizado de impunidad por los homicidios de periodistas que </w:t>
      </w:r>
      <w:proofErr w:type="spellStart"/>
      <w:r w:rsidRPr="00C62A4E">
        <w:rPr>
          <w:rFonts w:ascii="Verdana" w:hAnsi="Verdana"/>
          <w:sz w:val="16"/>
          <w:szCs w:val="16"/>
          <w:lang w:val="es-CL"/>
        </w:rPr>
        <w:t>ocurrían</w:t>
      </w:r>
      <w:proofErr w:type="spellEnd"/>
      <w:r w:rsidRPr="00C62A4E">
        <w:rPr>
          <w:rFonts w:ascii="Verdana" w:hAnsi="Verdana"/>
          <w:sz w:val="16"/>
          <w:szCs w:val="16"/>
          <w:lang w:val="es-CL"/>
        </w:rPr>
        <w:t xml:space="preserve"> en aquella </w:t>
      </w:r>
      <w:proofErr w:type="spellStart"/>
      <w:r w:rsidRPr="00C62A4E">
        <w:rPr>
          <w:rFonts w:ascii="Verdana" w:hAnsi="Verdana"/>
          <w:sz w:val="16"/>
          <w:szCs w:val="16"/>
          <w:lang w:val="es-CL"/>
        </w:rPr>
        <w:t>época</w:t>
      </w:r>
      <w:proofErr w:type="spellEnd"/>
      <w:r w:rsidRPr="00C62A4E">
        <w:rPr>
          <w:rFonts w:ascii="Verdana" w:hAnsi="Verdana"/>
          <w:sz w:val="16"/>
          <w:szCs w:val="16"/>
          <w:lang w:val="es-CL"/>
        </w:rPr>
        <w:t xml:space="preserve"> en Colombia. La Corte consideró responsable al Estado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al derecho a las </w:t>
      </w:r>
      <w:proofErr w:type="spellStart"/>
      <w:r w:rsidRPr="00C62A4E">
        <w:rPr>
          <w:rFonts w:ascii="Verdana" w:hAnsi="Verdana"/>
          <w:sz w:val="16"/>
          <w:szCs w:val="16"/>
          <w:lang w:val="es-CL"/>
        </w:rPr>
        <w:t>garantías</w:t>
      </w:r>
      <w:proofErr w:type="spellEnd"/>
      <w:r w:rsidRPr="00C62A4E">
        <w:rPr>
          <w:rFonts w:ascii="Verdana" w:hAnsi="Verdana"/>
          <w:sz w:val="16"/>
          <w:szCs w:val="16"/>
          <w:lang w:val="es-CL"/>
        </w:rPr>
        <w:t xml:space="preserve"> judiciales por las investigaciones de ese hecho, por la </w:t>
      </w:r>
      <w:proofErr w:type="spellStart"/>
      <w:r w:rsidRPr="00C62A4E">
        <w:rPr>
          <w:rFonts w:ascii="Verdana" w:hAnsi="Verdana"/>
          <w:sz w:val="16"/>
          <w:szCs w:val="16"/>
          <w:lang w:val="es-CL"/>
        </w:rPr>
        <w:t>violación</w:t>
      </w:r>
      <w:proofErr w:type="spellEnd"/>
      <w:r w:rsidRPr="00C62A4E">
        <w:rPr>
          <w:rFonts w:ascii="Verdana" w:hAnsi="Verdana"/>
          <w:sz w:val="16"/>
          <w:szCs w:val="16"/>
          <w:lang w:val="es-CL"/>
        </w:rPr>
        <w:t xml:space="preserve"> al derecho a la integridad personal y de protección de la familia de los familiares de la </w:t>
      </w:r>
      <w:proofErr w:type="spellStart"/>
      <w:r w:rsidRPr="00C62A4E">
        <w:rPr>
          <w:rFonts w:ascii="Verdana" w:hAnsi="Verdana"/>
          <w:sz w:val="16"/>
          <w:szCs w:val="16"/>
          <w:lang w:val="es-CL"/>
        </w:rPr>
        <w:t>víctima</w:t>
      </w:r>
      <w:proofErr w:type="spellEnd"/>
      <w:r w:rsidRPr="00C62A4E">
        <w:rPr>
          <w:rFonts w:ascii="Verdana" w:hAnsi="Verdana"/>
          <w:sz w:val="16"/>
          <w:szCs w:val="16"/>
          <w:lang w:val="es-CL"/>
        </w:rPr>
        <w:t xml:space="preserve"> directa, </w:t>
      </w:r>
      <w:proofErr w:type="spellStart"/>
      <w:r w:rsidRPr="00C62A4E">
        <w:rPr>
          <w:rFonts w:ascii="Verdana" w:hAnsi="Verdana"/>
          <w:sz w:val="16"/>
          <w:szCs w:val="16"/>
          <w:lang w:val="es-CL"/>
        </w:rPr>
        <w:t>asi</w:t>
      </w:r>
      <w:proofErr w:type="spellEnd"/>
      <w:r w:rsidRPr="00C62A4E">
        <w:rPr>
          <w:rFonts w:ascii="Verdana" w:hAnsi="Verdana"/>
          <w:sz w:val="16"/>
          <w:szCs w:val="16"/>
          <w:lang w:val="es-CL"/>
        </w:rPr>
        <w:t xml:space="preserve">́ como los derechos de </w:t>
      </w:r>
      <w:proofErr w:type="spellStart"/>
      <w:r w:rsidRPr="00C62A4E">
        <w:rPr>
          <w:rFonts w:ascii="Verdana" w:hAnsi="Verdana"/>
          <w:sz w:val="16"/>
          <w:szCs w:val="16"/>
          <w:lang w:val="es-CL"/>
        </w:rPr>
        <w:t>circulación</w:t>
      </w:r>
      <w:proofErr w:type="spellEnd"/>
      <w:r w:rsidRPr="00C62A4E">
        <w:rPr>
          <w:rFonts w:ascii="Verdana" w:hAnsi="Verdana"/>
          <w:sz w:val="16"/>
          <w:szCs w:val="16"/>
          <w:lang w:val="es-CL"/>
        </w:rPr>
        <w:t xml:space="preserve"> y residencia de algunos de los familiares de Nelson Carvajal que se vieron forzados a salir de su lugar de residencia habitual y desplazarse en </w:t>
      </w:r>
      <w:proofErr w:type="spellStart"/>
      <w:r w:rsidRPr="00C62A4E">
        <w:rPr>
          <w:rFonts w:ascii="Verdana" w:hAnsi="Verdana"/>
          <w:sz w:val="16"/>
          <w:szCs w:val="16"/>
          <w:lang w:val="es-CL"/>
        </w:rPr>
        <w:t>razón</w:t>
      </w:r>
      <w:proofErr w:type="spellEnd"/>
      <w:r w:rsidRPr="00C62A4E">
        <w:rPr>
          <w:rFonts w:ascii="Verdana" w:hAnsi="Verdana"/>
          <w:sz w:val="16"/>
          <w:szCs w:val="16"/>
          <w:lang w:val="es-CL"/>
        </w:rPr>
        <w:t xml:space="preserve"> de la situación de riesgo que soportaban, y el temor que </w:t>
      </w:r>
      <w:proofErr w:type="spellStart"/>
      <w:r w:rsidRPr="00C62A4E">
        <w:rPr>
          <w:rFonts w:ascii="Verdana" w:hAnsi="Verdana"/>
          <w:sz w:val="16"/>
          <w:szCs w:val="16"/>
          <w:lang w:val="es-CL"/>
        </w:rPr>
        <w:t>sentían</w:t>
      </w:r>
      <w:proofErr w:type="spellEnd"/>
      <w:r w:rsidRPr="00C62A4E">
        <w:rPr>
          <w:rFonts w:ascii="Verdana" w:hAnsi="Verdana"/>
          <w:sz w:val="16"/>
          <w:szCs w:val="16"/>
          <w:lang w:val="es-CL"/>
        </w:rPr>
        <w:t>.</w:t>
      </w:r>
    </w:p>
    <w:p w14:paraId="01ED986F" w14:textId="77777777" w:rsidR="00801489" w:rsidRPr="00C62A4E" w:rsidRDefault="00801489" w:rsidP="00C62A4E">
      <w:pPr>
        <w:pStyle w:val="Textonotapie"/>
        <w:rPr>
          <w:rFonts w:ascii="Verdana" w:hAnsi="Verdana"/>
          <w:sz w:val="16"/>
          <w:szCs w:val="16"/>
          <w:lang w:val="es-C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1696569"/>
      <w:docPartObj>
        <w:docPartGallery w:val="Page Numbers (Margins)"/>
        <w:docPartUnique/>
      </w:docPartObj>
    </w:sdtPr>
    <w:sdtEndPr>
      <w:rPr>
        <w:rFonts w:ascii="Calibri Light" w:hAnsi="Calibri Light" w:cs="Calibri Light"/>
        <w:color w:val="948A54" w:themeColor="background2" w:themeShade="80"/>
      </w:rPr>
    </w:sdtEndPr>
    <w:sdtContent>
      <w:p w14:paraId="61970DA3" w14:textId="77777777" w:rsidR="0094754F" w:rsidRPr="008B18CE" w:rsidRDefault="0094754F" w:rsidP="008B18CE">
        <w:pPr>
          <w:pStyle w:val="Encabezado"/>
          <w:shd w:val="clear" w:color="auto" w:fill="EEECE1" w:themeFill="background2"/>
          <w:jc w:val="right"/>
          <w:rPr>
            <w:rFonts w:ascii="Calibri Light" w:hAnsi="Calibri Light" w:cs="Calibri Light"/>
            <w:color w:val="948A54" w:themeColor="background2" w:themeShade="80"/>
          </w:rPr>
        </w:pPr>
        <w:r w:rsidRPr="008B18CE">
          <w:rPr>
            <w:rFonts w:ascii="Calibri Light" w:hAnsi="Calibri Light" w:cs="Calibri Light"/>
            <w:noProof/>
            <w:color w:val="948A54" w:themeColor="background2" w:themeShade="80"/>
          </w:rPr>
          <w:t>Nº 10 Integridad Personal</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990D8D6"/>
    <w:lvl w:ilvl="0">
      <w:numFmt w:val="bullet"/>
      <w:pStyle w:val="Estilo8"/>
      <w:lvlText w:val="*"/>
      <w:lvlJc w:val="left"/>
    </w:lvl>
  </w:abstractNum>
  <w:abstractNum w:abstractNumId="1" w15:restartNumberingAfterBreak="0">
    <w:nsid w:val="00000005"/>
    <w:multiLevelType w:val="multilevel"/>
    <w:tmpl w:val="80AA9EC6"/>
    <w:lvl w:ilvl="0">
      <w:start w:val="29"/>
      <w:numFmt w:val="decimal"/>
      <w:lvlText w:val="%1."/>
      <w:lvlJc w:val="left"/>
      <w:pPr>
        <w:tabs>
          <w:tab w:val="num" w:pos="0"/>
        </w:tabs>
        <w:ind w:left="0" w:firstLine="0"/>
      </w:pPr>
      <w:rPr>
        <w:rFonts w:ascii="Verdana" w:hAnsi="Verdana" w:hint="default"/>
        <w:b w:val="0"/>
        <w:i w:val="0"/>
        <w:strike w:val="0"/>
        <w:color w:val="000000"/>
        <w:position w:val="0"/>
        <w:sz w:val="20"/>
        <w:szCs w:val="20"/>
      </w:rPr>
    </w:lvl>
    <w:lvl w:ilvl="1">
      <w:start w:val="1"/>
      <w:numFmt w:val="lowerLetter"/>
      <w:lvlText w:val="%2."/>
      <w:lvlJc w:val="left"/>
      <w:pPr>
        <w:tabs>
          <w:tab w:val="num" w:pos="360"/>
        </w:tabs>
        <w:ind w:left="360" w:firstLine="1080"/>
      </w:pPr>
      <w:rPr>
        <w:rFonts w:hint="default"/>
        <w:color w:val="000000"/>
        <w:position w:val="0"/>
        <w:sz w:val="16"/>
      </w:rPr>
    </w:lvl>
    <w:lvl w:ilvl="2">
      <w:start w:val="1"/>
      <w:numFmt w:val="lowerRoman"/>
      <w:lvlText w:val="%3."/>
      <w:lvlJc w:val="left"/>
      <w:pPr>
        <w:tabs>
          <w:tab w:val="num" w:pos="300"/>
        </w:tabs>
        <w:ind w:left="300" w:firstLine="1860"/>
      </w:pPr>
      <w:rPr>
        <w:rFonts w:hint="default"/>
        <w:color w:val="000000"/>
        <w:position w:val="0"/>
        <w:sz w:val="16"/>
      </w:rPr>
    </w:lvl>
    <w:lvl w:ilvl="3">
      <w:start w:val="1"/>
      <w:numFmt w:val="decimal"/>
      <w:isLgl/>
      <w:lvlText w:val="%4."/>
      <w:lvlJc w:val="left"/>
      <w:pPr>
        <w:tabs>
          <w:tab w:val="num" w:pos="360"/>
        </w:tabs>
        <w:ind w:left="360" w:firstLine="2520"/>
      </w:pPr>
      <w:rPr>
        <w:rFonts w:hint="default"/>
        <w:color w:val="000000"/>
        <w:position w:val="0"/>
        <w:sz w:val="16"/>
      </w:rPr>
    </w:lvl>
    <w:lvl w:ilvl="4">
      <w:start w:val="1"/>
      <w:numFmt w:val="lowerLetter"/>
      <w:lvlText w:val="%5."/>
      <w:lvlJc w:val="left"/>
      <w:pPr>
        <w:tabs>
          <w:tab w:val="num" w:pos="360"/>
        </w:tabs>
        <w:ind w:left="360" w:firstLine="3240"/>
      </w:pPr>
      <w:rPr>
        <w:rFonts w:hint="default"/>
        <w:color w:val="000000"/>
        <w:position w:val="0"/>
        <w:sz w:val="16"/>
      </w:rPr>
    </w:lvl>
    <w:lvl w:ilvl="5">
      <w:start w:val="1"/>
      <w:numFmt w:val="lowerRoman"/>
      <w:lvlText w:val="%6."/>
      <w:lvlJc w:val="left"/>
      <w:pPr>
        <w:tabs>
          <w:tab w:val="num" w:pos="300"/>
        </w:tabs>
        <w:ind w:left="300" w:firstLine="4020"/>
      </w:pPr>
      <w:rPr>
        <w:rFonts w:hint="default"/>
        <w:color w:val="000000"/>
        <w:position w:val="0"/>
        <w:sz w:val="16"/>
      </w:rPr>
    </w:lvl>
    <w:lvl w:ilvl="6">
      <w:start w:val="1"/>
      <w:numFmt w:val="decimal"/>
      <w:isLgl/>
      <w:lvlText w:val="%7."/>
      <w:lvlJc w:val="left"/>
      <w:pPr>
        <w:tabs>
          <w:tab w:val="num" w:pos="360"/>
        </w:tabs>
        <w:ind w:left="360" w:firstLine="4680"/>
      </w:pPr>
      <w:rPr>
        <w:rFonts w:hint="default"/>
        <w:color w:val="000000"/>
        <w:position w:val="0"/>
        <w:sz w:val="16"/>
      </w:rPr>
    </w:lvl>
    <w:lvl w:ilvl="7">
      <w:start w:val="1"/>
      <w:numFmt w:val="lowerLetter"/>
      <w:lvlText w:val="%8."/>
      <w:lvlJc w:val="left"/>
      <w:pPr>
        <w:tabs>
          <w:tab w:val="num" w:pos="360"/>
        </w:tabs>
        <w:ind w:left="360" w:firstLine="5400"/>
      </w:pPr>
      <w:rPr>
        <w:rFonts w:hint="default"/>
        <w:color w:val="000000"/>
        <w:position w:val="0"/>
        <w:sz w:val="16"/>
      </w:rPr>
    </w:lvl>
    <w:lvl w:ilvl="8">
      <w:start w:val="1"/>
      <w:numFmt w:val="lowerRoman"/>
      <w:lvlText w:val="%9."/>
      <w:lvlJc w:val="left"/>
      <w:pPr>
        <w:tabs>
          <w:tab w:val="num" w:pos="300"/>
        </w:tabs>
        <w:ind w:left="300" w:firstLine="6180"/>
      </w:pPr>
      <w:rPr>
        <w:rFonts w:hint="default"/>
        <w:color w:val="000000"/>
        <w:position w:val="0"/>
        <w:sz w:val="16"/>
      </w:rPr>
    </w:lvl>
  </w:abstractNum>
  <w:abstractNum w:abstractNumId="2" w15:restartNumberingAfterBreak="0">
    <w:nsid w:val="063830B2"/>
    <w:multiLevelType w:val="hybridMultilevel"/>
    <w:tmpl w:val="BC64C4A8"/>
    <w:lvl w:ilvl="0" w:tplc="BC4AE82E">
      <w:start w:val="1"/>
      <w:numFmt w:val="decimal"/>
      <w:lvlText w:val="%1."/>
      <w:lvlJc w:val="left"/>
      <w:pPr>
        <w:tabs>
          <w:tab w:val="num" w:pos="360"/>
        </w:tabs>
        <w:ind w:left="360" w:hanging="360"/>
      </w:pPr>
      <w:rPr>
        <w:rFonts w:hint="default"/>
        <w:b w:val="0"/>
        <w:sz w:val="15"/>
        <w:szCs w:val="15"/>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15:restartNumberingAfterBreak="0">
    <w:nsid w:val="0AB862E5"/>
    <w:multiLevelType w:val="hybridMultilevel"/>
    <w:tmpl w:val="60D659E8"/>
    <w:lvl w:ilvl="0" w:tplc="6082E882">
      <w:start w:val="6"/>
      <w:numFmt w:val="lowerLetter"/>
      <w:lvlText w:val="%1)"/>
      <w:lvlJc w:val="left"/>
      <w:pPr>
        <w:tabs>
          <w:tab w:val="num" w:pos="1440"/>
        </w:tabs>
        <w:ind w:left="1440" w:hanging="54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 w15:restartNumberingAfterBreak="0">
    <w:nsid w:val="0DAD613F"/>
    <w:multiLevelType w:val="hybridMultilevel"/>
    <w:tmpl w:val="A71415BA"/>
    <w:lvl w:ilvl="0" w:tplc="8C08A6CE">
      <w:start w:val="2"/>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0E7A1FD1"/>
    <w:multiLevelType w:val="hybridMultilevel"/>
    <w:tmpl w:val="BBF4FC7E"/>
    <w:lvl w:ilvl="0" w:tplc="04469EE4">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0E8B0DE5"/>
    <w:multiLevelType w:val="hybridMultilevel"/>
    <w:tmpl w:val="7A8E31DC"/>
    <w:lvl w:ilvl="0" w:tplc="2A101E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0CC20DC"/>
    <w:multiLevelType w:val="hybridMultilevel"/>
    <w:tmpl w:val="A58436E8"/>
    <w:lvl w:ilvl="0" w:tplc="B7026C46">
      <w:start w:val="93"/>
      <w:numFmt w:val="decimal"/>
      <w:lvlText w:val="%1."/>
      <w:lvlJc w:val="left"/>
      <w:pPr>
        <w:ind w:left="720" w:hanging="720"/>
      </w:pPr>
      <w:rPr>
        <w:rFonts w:ascii="Verdana" w:hAnsi="Verdana" w:cs="Times New Roman" w:hint="default"/>
        <w:b w:val="0"/>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D08F0"/>
    <w:multiLevelType w:val="hybridMultilevel"/>
    <w:tmpl w:val="0BC028D6"/>
    <w:lvl w:ilvl="0" w:tplc="FABA41F2">
      <w:start w:val="1"/>
      <w:numFmt w:val="decimal"/>
      <w:lvlText w:val="%1."/>
      <w:lvlJc w:val="left"/>
      <w:pPr>
        <w:ind w:left="1211" w:hanging="360"/>
      </w:pPr>
      <w:rPr>
        <w:rFonts w:ascii="Verdana" w:hAnsi="Verdana" w:hint="default"/>
        <w:b w:val="0"/>
        <w:sz w:val="20"/>
        <w:szCs w:val="20"/>
      </w:rPr>
    </w:lvl>
    <w:lvl w:ilvl="1" w:tplc="CD862E20">
      <w:start w:val="1"/>
      <w:numFmt w:val="lowerLetter"/>
      <w:lvlText w:val="%2)"/>
      <w:lvlJc w:val="left"/>
      <w:pPr>
        <w:ind w:left="1440" w:hanging="360"/>
      </w:pPr>
      <w:rPr>
        <w:rFonts w:hint="default"/>
        <w:b w:val="0"/>
        <w: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0E2E9A"/>
    <w:multiLevelType w:val="hybridMultilevel"/>
    <w:tmpl w:val="42C83CCC"/>
    <w:lvl w:ilvl="0" w:tplc="A1F47A5A">
      <w:start w:val="1"/>
      <w:numFmt w:val="decimal"/>
      <w:lvlText w:val="%1."/>
      <w:lvlJc w:val="left"/>
      <w:pPr>
        <w:tabs>
          <w:tab w:val="num" w:pos="1084"/>
        </w:tabs>
        <w:ind w:left="1084" w:hanging="375"/>
      </w:pPr>
      <w:rPr>
        <w:rFonts w:cs="Tahoma"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13641029"/>
    <w:multiLevelType w:val="hybridMultilevel"/>
    <w:tmpl w:val="82B27C92"/>
    <w:lvl w:ilvl="0" w:tplc="5E02E4E4">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A9B6CE7"/>
    <w:multiLevelType w:val="multilevel"/>
    <w:tmpl w:val="D2A46D70"/>
    <w:lvl w:ilvl="0">
      <w:start w:val="1"/>
      <w:numFmt w:val="decimal"/>
      <w:lvlText w:val="%1."/>
      <w:lvlJc w:val="left"/>
      <w:pPr>
        <w:tabs>
          <w:tab w:val="num" w:pos="680"/>
        </w:tabs>
        <w:ind w:left="0" w:firstLine="0"/>
      </w:pPr>
      <w:rPr>
        <w:rFonts w:hint="default"/>
        <w:b w:val="0"/>
        <w:i w:val="0"/>
        <w:strike w:val="0"/>
        <w:sz w:val="20"/>
      </w:rPr>
    </w:lvl>
    <w:lvl w:ilvl="1">
      <w:start w:val="1"/>
      <w:numFmt w:val="decimal"/>
      <w:lvlText w:val="%2."/>
      <w:lvlJc w:val="left"/>
      <w:pPr>
        <w:tabs>
          <w:tab w:val="num" w:pos="567"/>
        </w:tabs>
        <w:ind w:left="0" w:firstLine="0"/>
      </w:pPr>
      <w:rPr>
        <w:rFonts w:hint="default"/>
        <w:b w:val="0"/>
        <w:i w:val="0"/>
        <w:strike w:val="0"/>
        <w:sz w:val="20"/>
      </w:rPr>
    </w:lvl>
    <w:lvl w:ilvl="2">
      <w:start w:val="1"/>
      <w:numFmt w:val="bullet"/>
      <w:lvlText w:val="-"/>
      <w:lvlJc w:val="left"/>
      <w:pPr>
        <w:tabs>
          <w:tab w:val="num" w:pos="2340"/>
        </w:tabs>
        <w:ind w:left="2340" w:hanging="360"/>
      </w:pPr>
      <w:rPr>
        <w:rFonts w:ascii="Verdana" w:eastAsia="Batang" w:hAnsi="Verdana"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20075C94"/>
    <w:multiLevelType w:val="hybridMultilevel"/>
    <w:tmpl w:val="ADE47320"/>
    <w:lvl w:ilvl="0" w:tplc="F98ABF2E">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2518332C"/>
    <w:multiLevelType w:val="hybridMultilevel"/>
    <w:tmpl w:val="CDDE4498"/>
    <w:lvl w:ilvl="0" w:tplc="452ED6A0">
      <w:start w:val="1"/>
      <w:numFmt w:val="lowerRoman"/>
      <w:lvlText w:val="%1)"/>
      <w:lvlJc w:val="left"/>
      <w:pPr>
        <w:tabs>
          <w:tab w:val="num" w:pos="4230"/>
        </w:tabs>
        <w:ind w:left="4230" w:hanging="720"/>
      </w:pPr>
      <w:rPr>
        <w:rFonts w:hint="default"/>
      </w:rPr>
    </w:lvl>
    <w:lvl w:ilvl="1" w:tplc="ECA05046">
      <w:start w:val="67"/>
      <w:numFmt w:val="decimal"/>
      <w:lvlText w:val="%2."/>
      <w:lvlJc w:val="left"/>
      <w:pPr>
        <w:tabs>
          <w:tab w:val="num" w:pos="4950"/>
        </w:tabs>
        <w:ind w:left="4950" w:hanging="720"/>
      </w:pPr>
      <w:rPr>
        <w:rFonts w:hint="default"/>
      </w:rPr>
    </w:lvl>
    <w:lvl w:ilvl="2" w:tplc="001B0409" w:tentative="1">
      <w:start w:val="1"/>
      <w:numFmt w:val="lowerRoman"/>
      <w:lvlText w:val="%3."/>
      <w:lvlJc w:val="right"/>
      <w:pPr>
        <w:tabs>
          <w:tab w:val="num" w:pos="5310"/>
        </w:tabs>
        <w:ind w:left="5310" w:hanging="180"/>
      </w:pPr>
    </w:lvl>
    <w:lvl w:ilvl="3" w:tplc="000F0409" w:tentative="1">
      <w:start w:val="1"/>
      <w:numFmt w:val="decimal"/>
      <w:lvlText w:val="%4."/>
      <w:lvlJc w:val="left"/>
      <w:pPr>
        <w:tabs>
          <w:tab w:val="num" w:pos="6030"/>
        </w:tabs>
        <w:ind w:left="6030" w:hanging="360"/>
      </w:pPr>
    </w:lvl>
    <w:lvl w:ilvl="4" w:tplc="00190409" w:tentative="1">
      <w:start w:val="1"/>
      <w:numFmt w:val="lowerLetter"/>
      <w:lvlText w:val="%5."/>
      <w:lvlJc w:val="left"/>
      <w:pPr>
        <w:tabs>
          <w:tab w:val="num" w:pos="6750"/>
        </w:tabs>
        <w:ind w:left="6750" w:hanging="360"/>
      </w:pPr>
    </w:lvl>
    <w:lvl w:ilvl="5" w:tplc="001B0409" w:tentative="1">
      <w:start w:val="1"/>
      <w:numFmt w:val="lowerRoman"/>
      <w:lvlText w:val="%6."/>
      <w:lvlJc w:val="right"/>
      <w:pPr>
        <w:tabs>
          <w:tab w:val="num" w:pos="7470"/>
        </w:tabs>
        <w:ind w:left="7470" w:hanging="180"/>
      </w:pPr>
    </w:lvl>
    <w:lvl w:ilvl="6" w:tplc="000F0409" w:tentative="1">
      <w:start w:val="1"/>
      <w:numFmt w:val="decimal"/>
      <w:lvlText w:val="%7."/>
      <w:lvlJc w:val="left"/>
      <w:pPr>
        <w:tabs>
          <w:tab w:val="num" w:pos="8190"/>
        </w:tabs>
        <w:ind w:left="8190" w:hanging="360"/>
      </w:pPr>
    </w:lvl>
    <w:lvl w:ilvl="7" w:tplc="00190409" w:tentative="1">
      <w:start w:val="1"/>
      <w:numFmt w:val="lowerLetter"/>
      <w:lvlText w:val="%8."/>
      <w:lvlJc w:val="left"/>
      <w:pPr>
        <w:tabs>
          <w:tab w:val="num" w:pos="8910"/>
        </w:tabs>
        <w:ind w:left="8910" w:hanging="360"/>
      </w:pPr>
    </w:lvl>
    <w:lvl w:ilvl="8" w:tplc="001B0409" w:tentative="1">
      <w:start w:val="1"/>
      <w:numFmt w:val="lowerRoman"/>
      <w:lvlText w:val="%9."/>
      <w:lvlJc w:val="right"/>
      <w:pPr>
        <w:tabs>
          <w:tab w:val="num" w:pos="9630"/>
        </w:tabs>
        <w:ind w:left="9630" w:hanging="180"/>
      </w:pPr>
    </w:lvl>
  </w:abstractNum>
  <w:abstractNum w:abstractNumId="14" w15:restartNumberingAfterBreak="0">
    <w:nsid w:val="2A86216D"/>
    <w:multiLevelType w:val="hybridMultilevel"/>
    <w:tmpl w:val="E4D692DA"/>
    <w:lvl w:ilvl="0" w:tplc="04090017">
      <w:start w:val="10"/>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817BBB"/>
    <w:multiLevelType w:val="hybridMultilevel"/>
    <w:tmpl w:val="C0147802"/>
    <w:lvl w:ilvl="0" w:tplc="65828F86">
      <w:start w:val="1"/>
      <w:numFmt w:val="decimal"/>
      <w:lvlText w:val="%1."/>
      <w:lvlJc w:val="left"/>
      <w:pPr>
        <w:tabs>
          <w:tab w:val="num" w:pos="567"/>
        </w:tabs>
        <w:ind w:left="0" w:firstLine="0"/>
      </w:pPr>
      <w:rPr>
        <w:rFonts w:ascii="Verdana" w:eastAsia="Times New Roman" w:hAnsi="Verdana" w:hint="default"/>
        <w:b w:val="0"/>
        <w:bCs w:val="0"/>
        <w:i w:val="0"/>
        <w:iCs w:val="0"/>
        <w:strike w:val="0"/>
        <w:color w:val="auto"/>
        <w:sz w:val="20"/>
        <w:szCs w:val="20"/>
        <w:lang w:val="es-ES_tradnl"/>
      </w:rPr>
    </w:lvl>
    <w:lvl w:ilvl="1" w:tplc="7C2C13CE">
      <w:start w:val="1"/>
      <w:numFmt w:val="lowerLetter"/>
      <w:lvlText w:val="%2."/>
      <w:lvlJc w:val="left"/>
      <w:pPr>
        <w:ind w:left="1440" w:hanging="360"/>
      </w:pPr>
    </w:lvl>
    <w:lvl w:ilvl="2" w:tplc="841219D4"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F23A68"/>
    <w:multiLevelType w:val="hybridMultilevel"/>
    <w:tmpl w:val="ECA401CA"/>
    <w:lvl w:ilvl="0" w:tplc="EE782AA4">
      <w:start w:val="1"/>
      <w:numFmt w:val="decimal"/>
      <w:lvlText w:val="%1."/>
      <w:lvlJc w:val="left"/>
      <w:pPr>
        <w:ind w:left="360" w:hanging="360"/>
      </w:pPr>
      <w:rPr>
        <w:b w:val="0"/>
        <w:color w:val="auto"/>
        <w:sz w:val="20"/>
        <w:szCs w:val="20"/>
      </w:rPr>
    </w:lvl>
    <w:lvl w:ilvl="1" w:tplc="24C4FF96">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076F96"/>
    <w:multiLevelType w:val="hybridMultilevel"/>
    <w:tmpl w:val="FC70F0C8"/>
    <w:lvl w:ilvl="0" w:tplc="04469EE4">
      <w:start w:val="1"/>
      <w:numFmt w:val="decimal"/>
      <w:lvlText w:val="%1)"/>
      <w:lvlJc w:val="left"/>
      <w:pPr>
        <w:tabs>
          <w:tab w:val="num" w:pos="1080"/>
        </w:tabs>
        <w:ind w:left="1080" w:hanging="360"/>
      </w:pPr>
      <w:rPr>
        <w:rFonts w:cs="Times New Roman" w:hint="default"/>
      </w:rPr>
    </w:lvl>
    <w:lvl w:ilvl="1" w:tplc="EDCC7310">
      <w:start w:val="1"/>
      <w:numFmt w:val="decimal"/>
      <w:lvlText w:val="%2."/>
      <w:lvlJc w:val="left"/>
      <w:pPr>
        <w:tabs>
          <w:tab w:val="num" w:pos="1152"/>
        </w:tabs>
        <w:ind w:left="360" w:firstLine="0"/>
      </w:pPr>
      <w:rPr>
        <w:rFonts w:ascii="Verdana" w:hAnsi="Verdana" w:hint="default"/>
        <w:b w:val="0"/>
        <w:sz w:val="20"/>
        <w:szCs w:val="20"/>
      </w:rPr>
    </w:lvl>
    <w:lvl w:ilvl="2" w:tplc="001B0409">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8" w15:restartNumberingAfterBreak="0">
    <w:nsid w:val="37795779"/>
    <w:multiLevelType w:val="multilevel"/>
    <w:tmpl w:val="05887A98"/>
    <w:lvl w:ilvl="0">
      <w:start w:val="1"/>
      <w:numFmt w:val="decimal"/>
      <w:lvlText w:val="%1."/>
      <w:lvlJc w:val="left"/>
      <w:pPr>
        <w:tabs>
          <w:tab w:val="num" w:pos="630"/>
        </w:tabs>
        <w:ind w:left="630" w:hanging="360"/>
      </w:pPr>
      <w:rPr>
        <w:rFonts w:ascii="Verdana" w:hAnsi="Verdana" w:hint="default"/>
        <w:b w:val="0"/>
        <w:i w:val="0"/>
        <w:sz w:val="20"/>
        <w:szCs w:val="20"/>
        <w:lang w:val="es-ES_tradnl"/>
      </w:rPr>
    </w:lvl>
    <w:lvl w:ilvl="1">
      <w:start w:val="1"/>
      <w:numFmt w:val="lowerLetter"/>
      <w:lvlText w:val="%2."/>
      <w:lvlJc w:val="left"/>
      <w:pPr>
        <w:ind w:left="1440" w:hanging="360"/>
      </w:pPr>
    </w:lvl>
    <w:lvl w:ilvl="2">
      <w:start w:val="1"/>
      <w:numFmt w:val="upperLetter"/>
      <w:lvlText w:val="%3."/>
      <w:lvlJc w:val="left"/>
      <w:pPr>
        <w:ind w:left="2340" w:hanging="360"/>
      </w:pPr>
      <w:rPr>
        <w:rFonts w:hint="default"/>
      </w:r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3F9B713D"/>
    <w:multiLevelType w:val="hybridMultilevel"/>
    <w:tmpl w:val="9704209E"/>
    <w:lvl w:ilvl="0" w:tplc="7E8E8A74">
      <w:start w:val="1"/>
      <w:numFmt w:val="decimal"/>
      <w:lvlText w:val="%1."/>
      <w:lvlJc w:val="left"/>
      <w:pPr>
        <w:ind w:left="720" w:hanging="720"/>
      </w:pPr>
      <w:rPr>
        <w:rFonts w:ascii="Verdana" w:hAnsi="Verdana" w:hint="default"/>
        <w:b w:val="0"/>
        <w:i w:val="0"/>
        <w:strike w:val="0"/>
        <w:color w:val="auto"/>
        <w:sz w:val="20"/>
        <w:szCs w:val="2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CFAC7540">
      <w:start w:val="1"/>
      <w:numFmt w:val="decimal"/>
      <w:lvlText w:val="%4."/>
      <w:lvlJc w:val="left"/>
      <w:pPr>
        <w:ind w:left="2520" w:hanging="360"/>
      </w:pPr>
      <w:rPr>
        <w:b/>
        <w:i/>
      </w:r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45660ED7"/>
    <w:multiLevelType w:val="hybridMultilevel"/>
    <w:tmpl w:val="F3FEE6C6"/>
    <w:lvl w:ilvl="0" w:tplc="C4F44876">
      <w:start w:val="1"/>
      <w:numFmt w:val="decimal"/>
      <w:lvlText w:val="%1."/>
      <w:lvlJc w:val="left"/>
      <w:pPr>
        <w:ind w:left="6660" w:hanging="360"/>
      </w:pPr>
      <w:rPr>
        <w:rFonts w:ascii="Verdana" w:hAnsi="Verdana" w:cs="Times New Roman" w:hint="default"/>
        <w:b w:val="0"/>
        <w:i w:val="0"/>
        <w:sz w:val="20"/>
        <w:lang w:val="es-ES_tradnl"/>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63B765B"/>
    <w:multiLevelType w:val="hybridMultilevel"/>
    <w:tmpl w:val="1DD4B5D6"/>
    <w:lvl w:ilvl="0" w:tplc="222EA00C">
      <w:start w:val="169"/>
      <w:numFmt w:val="decimal"/>
      <w:lvlText w:val="%1."/>
      <w:lvlJc w:val="left"/>
      <w:pPr>
        <w:ind w:left="1080" w:hanging="720"/>
      </w:pPr>
      <w:rPr>
        <w:rFonts w:ascii="Verdana" w:hAnsi="Verdana" w:cs="Times New Roman" w:hint="default"/>
        <w:b w:val="0"/>
        <w:i w:val="0"/>
        <w:strike w:val="0"/>
        <w:color w:val="auto"/>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84674F4"/>
    <w:multiLevelType w:val="hybridMultilevel"/>
    <w:tmpl w:val="07FCCEA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C3087D"/>
    <w:multiLevelType w:val="hybridMultilevel"/>
    <w:tmpl w:val="00983C4E"/>
    <w:lvl w:ilvl="0" w:tplc="CF8CC29A">
      <w:start w:val="35"/>
      <w:numFmt w:val="decimal"/>
      <w:lvlText w:val="%1."/>
      <w:lvlJc w:val="left"/>
      <w:pPr>
        <w:ind w:left="360" w:hanging="360"/>
      </w:pPr>
      <w:rPr>
        <w:rFonts w:ascii="Verdana" w:hAnsi="Verdana" w:hint="default"/>
        <w:b w:val="0"/>
        <w:strike w:val="0"/>
        <w:color w:val="auto"/>
        <w:sz w:val="20"/>
        <w:szCs w:val="20"/>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4" w15:restartNumberingAfterBreak="0">
    <w:nsid w:val="4C5469CD"/>
    <w:multiLevelType w:val="hybridMultilevel"/>
    <w:tmpl w:val="D7FED382"/>
    <w:lvl w:ilvl="0" w:tplc="264CB88E">
      <w:start w:val="1"/>
      <w:numFmt w:val="decimal"/>
      <w:lvlText w:val="%1."/>
      <w:lvlJc w:val="left"/>
      <w:pPr>
        <w:ind w:left="720" w:hanging="360"/>
      </w:pPr>
      <w:rPr>
        <w:rFonts w:ascii="Verdana" w:eastAsia="Calibri" w:hAnsi="Verdana" w:cs="Times New Roman" w:hint="default"/>
        <w:b w:val="0"/>
        <w:i w:val="0"/>
        <w:strike w:val="0"/>
        <w:color w:val="auto"/>
        <w:sz w:val="20"/>
        <w:szCs w:val="20"/>
      </w:rPr>
    </w:lvl>
    <w:lvl w:ilvl="1" w:tplc="9B3E45F0">
      <w:start w:val="1"/>
      <w:numFmt w:val="lowerLetter"/>
      <w:pStyle w:val="Estilo4"/>
      <w:lvlText w:val="%2)"/>
      <w:lvlJc w:val="left"/>
      <w:pPr>
        <w:ind w:left="1440" w:hanging="360"/>
      </w:pPr>
      <w:rPr>
        <w:rFonts w:ascii="Verdana" w:hAnsi="Verdana" w:cs="Times New Roman" w:hint="default"/>
        <w:b w:val="0"/>
        <w:i/>
        <w:caps w:val="0"/>
        <w:strike w:val="0"/>
        <w:dstrike w:val="0"/>
        <w:vanish w:val="0"/>
        <w:color w:val="auto"/>
        <w:sz w:val="20"/>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8D3F13"/>
    <w:multiLevelType w:val="hybridMultilevel"/>
    <w:tmpl w:val="AF6A2378"/>
    <w:lvl w:ilvl="0" w:tplc="72DCF806">
      <w:start w:val="2"/>
      <w:numFmt w:val="decimal"/>
      <w:lvlText w:val="%1."/>
      <w:lvlJc w:val="left"/>
      <w:pPr>
        <w:tabs>
          <w:tab w:val="num" w:pos="1440"/>
        </w:tabs>
        <w:ind w:left="1440" w:hanging="54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6" w15:restartNumberingAfterBreak="0">
    <w:nsid w:val="4F5954C0"/>
    <w:multiLevelType w:val="hybridMultilevel"/>
    <w:tmpl w:val="6ACA6660"/>
    <w:lvl w:ilvl="0" w:tplc="BE962534">
      <w:start w:val="1"/>
      <w:numFmt w:val="upperLetter"/>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7" w15:restartNumberingAfterBreak="0">
    <w:nsid w:val="509D6DDB"/>
    <w:multiLevelType w:val="hybridMultilevel"/>
    <w:tmpl w:val="2C10C4C0"/>
    <w:lvl w:ilvl="0" w:tplc="8A2ADA0A">
      <w:start w:val="1"/>
      <w:numFmt w:val="decimal"/>
      <w:lvlText w:val="%1."/>
      <w:lvlJc w:val="left"/>
      <w:pPr>
        <w:tabs>
          <w:tab w:val="num" w:pos="1455"/>
        </w:tabs>
        <w:ind w:left="1455" w:hanging="555"/>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8" w15:restartNumberingAfterBreak="0">
    <w:nsid w:val="53CA2BE7"/>
    <w:multiLevelType w:val="hybridMultilevel"/>
    <w:tmpl w:val="2B5CCFEE"/>
    <w:lvl w:ilvl="0" w:tplc="B5CA7F5A">
      <w:start w:val="10"/>
      <w:numFmt w:val="lowerLetter"/>
      <w:lvlText w:val="%1)"/>
      <w:lvlJc w:val="left"/>
      <w:pPr>
        <w:tabs>
          <w:tab w:val="num" w:pos="1440"/>
        </w:tabs>
        <w:ind w:left="1440" w:hanging="54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9" w15:restartNumberingAfterBreak="0">
    <w:nsid w:val="562A4B8D"/>
    <w:multiLevelType w:val="hybridMultilevel"/>
    <w:tmpl w:val="CC743B3C"/>
    <w:lvl w:ilvl="0" w:tplc="C58AE2D0">
      <w:start w:val="1"/>
      <w:numFmt w:val="decimal"/>
      <w:lvlText w:val="%1."/>
      <w:lvlJc w:val="left"/>
      <w:pPr>
        <w:ind w:left="360" w:hanging="360"/>
      </w:pPr>
      <w:rPr>
        <w:b w:val="0"/>
        <w:i w:val="0"/>
        <w:color w:val="auto"/>
        <w:sz w:val="20"/>
        <w:szCs w:val="20"/>
        <w:vertAlign w:val="baseline"/>
        <w:lang w:val="es-ES_tradnl"/>
      </w:rPr>
    </w:lvl>
    <w:lvl w:ilvl="1" w:tplc="CA7A39D2">
      <w:start w:val="1"/>
      <w:numFmt w:val="lowerLetter"/>
      <w:lvlText w:val="%2."/>
      <w:lvlJc w:val="left"/>
      <w:pPr>
        <w:ind w:left="1440" w:hanging="360"/>
      </w:pPr>
      <w:rPr>
        <w:color w:val="auto"/>
      </w:rPr>
    </w:lvl>
    <w:lvl w:ilvl="2" w:tplc="18A029C2">
      <w:start w:val="1"/>
      <w:numFmt w:val="decimal"/>
      <w:lvlText w:val="%3."/>
      <w:lvlJc w:val="right"/>
      <w:pPr>
        <w:ind w:left="2160" w:hanging="180"/>
      </w:pPr>
      <w:rPr>
        <w:rFonts w:ascii="Verdana" w:eastAsia="Times New Roman" w:hAnsi="Verdana" w:cs="Times New Roman"/>
      </w:rPr>
    </w:lvl>
    <w:lvl w:ilvl="3" w:tplc="D9B6BD20">
      <w:start w:val="2"/>
      <w:numFmt w:val="lowerRoman"/>
      <w:lvlText w:val="%4."/>
      <w:lvlJc w:val="left"/>
      <w:pPr>
        <w:ind w:left="3240" w:hanging="720"/>
      </w:pPr>
      <w:rPr>
        <w:rFonts w:hint="default"/>
        <w:i/>
      </w:r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59F84A13"/>
    <w:multiLevelType w:val="hybridMultilevel"/>
    <w:tmpl w:val="C952D920"/>
    <w:lvl w:ilvl="0" w:tplc="60BEF89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F9767A"/>
    <w:multiLevelType w:val="hybridMultilevel"/>
    <w:tmpl w:val="1BFA85D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61680C15"/>
    <w:multiLevelType w:val="hybridMultilevel"/>
    <w:tmpl w:val="AE4E5A92"/>
    <w:lvl w:ilvl="0" w:tplc="E76EE724">
      <w:start w:val="1"/>
      <w:numFmt w:val="decimal"/>
      <w:lvlText w:val="%1."/>
      <w:lvlJc w:val="left"/>
      <w:pPr>
        <w:ind w:left="720" w:hanging="360"/>
      </w:pPr>
      <w:rPr>
        <w:rFonts w:ascii="Verdana" w:hAnsi="Verdana" w:hint="default"/>
        <w:b w:val="0"/>
        <w:i w:val="0"/>
        <w:strike w:val="0"/>
        <w:sz w:val="20"/>
        <w:szCs w:val="2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3" w15:restartNumberingAfterBreak="0">
    <w:nsid w:val="6AC30A6D"/>
    <w:multiLevelType w:val="hybridMultilevel"/>
    <w:tmpl w:val="99027CD6"/>
    <w:lvl w:ilvl="0" w:tplc="3386E256">
      <w:start w:val="2"/>
      <w:numFmt w:val="upperLetter"/>
      <w:lvlText w:val="%1."/>
      <w:lvlJc w:val="left"/>
      <w:pPr>
        <w:tabs>
          <w:tab w:val="num" w:pos="1455"/>
        </w:tabs>
        <w:ind w:left="1455" w:hanging="555"/>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4" w15:restartNumberingAfterBreak="0">
    <w:nsid w:val="6B392B8B"/>
    <w:multiLevelType w:val="hybridMultilevel"/>
    <w:tmpl w:val="D5A487EE"/>
    <w:lvl w:ilvl="0" w:tplc="31EECF36">
      <w:start w:val="1"/>
      <w:numFmt w:val="decimal"/>
      <w:lvlText w:val="%1."/>
      <w:lvlJc w:val="left"/>
      <w:pPr>
        <w:tabs>
          <w:tab w:val="num" w:pos="1440"/>
        </w:tabs>
        <w:ind w:left="1440" w:hanging="54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5" w15:restartNumberingAfterBreak="0">
    <w:nsid w:val="6D7626AD"/>
    <w:multiLevelType w:val="hybridMultilevel"/>
    <w:tmpl w:val="0E10E27C"/>
    <w:lvl w:ilvl="0" w:tplc="340A000F">
      <w:start w:val="251"/>
      <w:numFmt w:val="decimal"/>
      <w:lvlText w:val="%1."/>
      <w:lvlJc w:val="left"/>
      <w:pPr>
        <w:ind w:left="720" w:hanging="360"/>
      </w:pPr>
      <w:rPr>
        <w:rFonts w:eastAsia="Times New Roman"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705A6F5C"/>
    <w:multiLevelType w:val="hybridMultilevel"/>
    <w:tmpl w:val="554EE8C4"/>
    <w:lvl w:ilvl="0" w:tplc="ED0459E8">
      <w:start w:val="1"/>
      <w:numFmt w:val="decimal"/>
      <w:pStyle w:val="Numberedparagraphs"/>
      <w:lvlText w:val="%1."/>
      <w:lvlJc w:val="left"/>
      <w:pPr>
        <w:tabs>
          <w:tab w:val="num" w:pos="720"/>
        </w:tabs>
        <w:ind w:left="0" w:firstLine="0"/>
      </w:pPr>
      <w:rPr>
        <w:rFonts w:ascii="Verdana" w:hAnsi="Verdana" w:hint="default"/>
        <w:b w:val="0"/>
        <w:i w:val="0"/>
        <w:strike w:val="0"/>
        <w:color w:val="auto"/>
        <w:sz w:val="20"/>
        <w:szCs w:val="20"/>
        <w:lang w:val="es-AR"/>
      </w:rPr>
    </w:lvl>
    <w:lvl w:ilvl="1" w:tplc="323EEAAC">
      <w:start w:val="7"/>
      <w:numFmt w:val="decimal"/>
      <w:lvlText w:val="%2."/>
      <w:lvlJc w:val="left"/>
      <w:pPr>
        <w:ind w:left="2160" w:hanging="360"/>
      </w:pPr>
      <w:rPr>
        <w:rFonts w:hint="default"/>
      </w:rPr>
    </w:lvl>
    <w:lvl w:ilvl="2" w:tplc="B96C1A40">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37" w15:restartNumberingAfterBreak="0">
    <w:nsid w:val="72491961"/>
    <w:multiLevelType w:val="hybridMultilevel"/>
    <w:tmpl w:val="0868B6D2"/>
    <w:lvl w:ilvl="0" w:tplc="0318F0F8">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8" w15:restartNumberingAfterBreak="0">
    <w:nsid w:val="724F2196"/>
    <w:multiLevelType w:val="hybridMultilevel"/>
    <w:tmpl w:val="82D0F2C0"/>
    <w:lvl w:ilvl="0" w:tplc="AEF22E32">
      <w:start w:val="1"/>
      <w:numFmt w:val="lowerLetter"/>
      <w:lvlText w:val="%1)"/>
      <w:lvlJc w:val="left"/>
      <w:pPr>
        <w:tabs>
          <w:tab w:val="num" w:pos="1440"/>
        </w:tabs>
        <w:ind w:left="1440" w:hanging="54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9" w15:restartNumberingAfterBreak="0">
    <w:nsid w:val="72DC2AC7"/>
    <w:multiLevelType w:val="hybridMultilevel"/>
    <w:tmpl w:val="C28ACB1A"/>
    <w:lvl w:ilvl="0" w:tplc="2536CD2C">
      <w:start w:val="1"/>
      <w:numFmt w:val="decimal"/>
      <w:lvlText w:val="%1."/>
      <w:lvlJc w:val="left"/>
      <w:pPr>
        <w:tabs>
          <w:tab w:val="num" w:pos="360"/>
        </w:tabs>
        <w:ind w:left="360" w:hanging="360"/>
      </w:pPr>
      <w:rPr>
        <w:rFonts w:ascii="Verdana" w:hAnsi="Verdana" w:hint="default"/>
        <w:b w:val="0"/>
        <w:i w:val="0"/>
        <w:color w:val="auto"/>
        <w:sz w:val="20"/>
        <w:szCs w:val="20"/>
        <w:lang w:val="es-EC"/>
      </w:rPr>
    </w:lvl>
    <w:lvl w:ilvl="1" w:tplc="64A22312">
      <w:start w:val="1"/>
      <w:numFmt w:val="lowerLetter"/>
      <w:lvlText w:val="%2)"/>
      <w:lvlJc w:val="left"/>
      <w:pPr>
        <w:tabs>
          <w:tab w:val="num" w:pos="1440"/>
        </w:tabs>
        <w:ind w:left="1440" w:hanging="360"/>
      </w:pPr>
      <w:rPr>
        <w:rFonts w:hint="default"/>
        <w:i w:val="0"/>
        <w:color w:val="auto"/>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15:restartNumberingAfterBreak="0">
    <w:nsid w:val="76753A80"/>
    <w:multiLevelType w:val="hybridMultilevel"/>
    <w:tmpl w:val="F1280DB8"/>
    <w:lvl w:ilvl="0" w:tplc="A4D4017A">
      <w:start w:val="1"/>
      <w:numFmt w:val="decimal"/>
      <w:lvlText w:val="%1."/>
      <w:lvlJc w:val="left"/>
      <w:pPr>
        <w:ind w:left="0" w:firstLine="0"/>
      </w:pPr>
      <w:rPr>
        <w:rFonts w:ascii="Verdana" w:hAnsi="Verdana" w:hint="default"/>
        <w:b w:val="0"/>
        <w:i w:val="0"/>
        <w:strike w:val="0"/>
        <w:sz w:val="20"/>
        <w:szCs w:val="20"/>
        <w:lang w:val="es-ES_tradnl"/>
      </w:rPr>
    </w:lvl>
    <w:lvl w:ilvl="1" w:tplc="2C0A0019">
      <w:start w:val="1"/>
      <w:numFmt w:val="lowerLetter"/>
      <w:lvlText w:val="%2."/>
      <w:lvlJc w:val="left"/>
      <w:pPr>
        <w:ind w:left="1298" w:hanging="360"/>
      </w:pPr>
      <w:rPr>
        <w:rFonts w:hint="default"/>
        <w:lang w:val="es-CR"/>
      </w:rPr>
    </w:lvl>
    <w:lvl w:ilvl="2" w:tplc="B768858A">
      <w:start w:val="1"/>
      <w:numFmt w:val="lowerRoman"/>
      <w:lvlText w:val="%3."/>
      <w:lvlJc w:val="right"/>
      <w:pPr>
        <w:ind w:left="2018" w:hanging="180"/>
      </w:pPr>
      <w:rPr>
        <w:i/>
      </w:rPr>
    </w:lvl>
    <w:lvl w:ilvl="3" w:tplc="3F0893E6" w:tentative="1">
      <w:start w:val="1"/>
      <w:numFmt w:val="decimal"/>
      <w:lvlText w:val="%4."/>
      <w:lvlJc w:val="left"/>
      <w:pPr>
        <w:ind w:left="2738" w:hanging="360"/>
      </w:pPr>
    </w:lvl>
    <w:lvl w:ilvl="4" w:tplc="E7BA4BB6" w:tentative="1">
      <w:start w:val="1"/>
      <w:numFmt w:val="lowerLetter"/>
      <w:lvlText w:val="%5."/>
      <w:lvlJc w:val="left"/>
      <w:pPr>
        <w:ind w:left="3458" w:hanging="360"/>
      </w:pPr>
    </w:lvl>
    <w:lvl w:ilvl="5" w:tplc="2C0A001B" w:tentative="1">
      <w:start w:val="1"/>
      <w:numFmt w:val="lowerRoman"/>
      <w:lvlText w:val="%6."/>
      <w:lvlJc w:val="right"/>
      <w:pPr>
        <w:ind w:left="4178" w:hanging="180"/>
      </w:pPr>
    </w:lvl>
    <w:lvl w:ilvl="6" w:tplc="2C0A000F" w:tentative="1">
      <w:start w:val="1"/>
      <w:numFmt w:val="decimal"/>
      <w:lvlText w:val="%7."/>
      <w:lvlJc w:val="left"/>
      <w:pPr>
        <w:ind w:left="4898" w:hanging="360"/>
      </w:pPr>
    </w:lvl>
    <w:lvl w:ilvl="7" w:tplc="2C0A0019" w:tentative="1">
      <w:start w:val="1"/>
      <w:numFmt w:val="lowerLetter"/>
      <w:lvlText w:val="%8."/>
      <w:lvlJc w:val="left"/>
      <w:pPr>
        <w:ind w:left="5618" w:hanging="360"/>
      </w:pPr>
    </w:lvl>
    <w:lvl w:ilvl="8" w:tplc="2C0A001B" w:tentative="1">
      <w:start w:val="1"/>
      <w:numFmt w:val="lowerRoman"/>
      <w:lvlText w:val="%9."/>
      <w:lvlJc w:val="right"/>
      <w:pPr>
        <w:ind w:left="6338" w:hanging="180"/>
      </w:pPr>
    </w:lvl>
  </w:abstractNum>
  <w:abstractNum w:abstractNumId="41" w15:restartNumberingAfterBreak="0">
    <w:nsid w:val="7C3A0913"/>
    <w:multiLevelType w:val="hybridMultilevel"/>
    <w:tmpl w:val="3D3EE3CC"/>
    <w:lvl w:ilvl="0" w:tplc="A5D8C264">
      <w:start w:val="3"/>
      <w:numFmt w:val="decimal"/>
      <w:lvlText w:val="%1."/>
      <w:lvlJc w:val="left"/>
      <w:pPr>
        <w:ind w:left="450" w:hanging="360"/>
      </w:pPr>
      <w:rPr>
        <w:rFonts w:ascii="Verdana" w:hAnsi="Verdana" w:hint="default"/>
        <w:b w:val="0"/>
        <w:i w:val="0"/>
        <w:strike w:val="0"/>
        <w:dstrike w:val="0"/>
        <w:color w:val="auto"/>
        <w:sz w:val="20"/>
        <w:szCs w:val="20"/>
      </w:rPr>
    </w:lvl>
    <w:lvl w:ilvl="1" w:tplc="764A727C">
      <w:start w:val="1"/>
      <w:numFmt w:val="lowerLetter"/>
      <w:lvlText w:val="%2)"/>
      <w:lvlJc w:val="left"/>
      <w:pPr>
        <w:ind w:left="1170" w:hanging="360"/>
      </w:pPr>
      <w:rPr>
        <w:rFonts w:ascii="Verdana" w:eastAsia="Calibri" w:hAnsi="Verdana" w:cs="Calibri"/>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15:restartNumberingAfterBreak="0">
    <w:nsid w:val="7CE64D32"/>
    <w:multiLevelType w:val="hybridMultilevel"/>
    <w:tmpl w:val="0DA49284"/>
    <w:lvl w:ilvl="0" w:tplc="B044D3C6">
      <w:start w:val="1"/>
      <w:numFmt w:val="decimal"/>
      <w:lvlText w:val="%1."/>
      <w:lvlJc w:val="left"/>
      <w:pPr>
        <w:tabs>
          <w:tab w:val="num" w:pos="1247"/>
        </w:tabs>
      </w:pPr>
      <w:rPr>
        <w:rFonts w:ascii="Verdana" w:eastAsia="Times New Roman" w:hAnsi="Verdana" w:cs="Times New Roman"/>
        <w:b w:val="0"/>
        <w:i w:val="0"/>
        <w:color w:val="auto"/>
        <w:sz w:val="20"/>
        <w:lang w:val="es-CR"/>
      </w:rPr>
    </w:lvl>
    <w:lvl w:ilvl="1" w:tplc="04090019">
      <w:start w:val="1"/>
      <w:numFmt w:val="lowerLetter"/>
      <w:lvlText w:val="%2)"/>
      <w:lvlJc w:val="left"/>
      <w:pPr>
        <w:tabs>
          <w:tab w:val="num" w:pos="1080"/>
        </w:tabs>
        <w:ind w:left="1080" w:hanging="360"/>
      </w:pPr>
      <w:rPr>
        <w:rFonts w:cs="Times New Roman" w:hint="default"/>
        <w:b w:val="0"/>
        <w:i w:val="0"/>
        <w:sz w:val="20"/>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3" w15:restartNumberingAfterBreak="0">
    <w:nsid w:val="7E5F59BD"/>
    <w:multiLevelType w:val="hybridMultilevel"/>
    <w:tmpl w:val="FCD2B4B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EA012FB"/>
    <w:multiLevelType w:val="hybridMultilevel"/>
    <w:tmpl w:val="E32A6EEA"/>
    <w:lvl w:ilvl="0" w:tplc="7D6296AE">
      <w:start w:val="1"/>
      <w:numFmt w:val="decimal"/>
      <w:lvlText w:val="%1."/>
      <w:lvlJc w:val="left"/>
      <w:pPr>
        <w:ind w:left="360" w:hanging="360"/>
      </w:pPr>
      <w:rPr>
        <w:b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D926C8"/>
    <w:multiLevelType w:val="hybridMultilevel"/>
    <w:tmpl w:val="16CE3398"/>
    <w:lvl w:ilvl="0" w:tplc="7862EC70">
      <w:start w:val="249"/>
      <w:numFmt w:val="decimal"/>
      <w:lvlText w:val="%1."/>
      <w:lvlJc w:val="left"/>
      <w:pPr>
        <w:tabs>
          <w:tab w:val="num" w:pos="0"/>
        </w:tabs>
        <w:ind w:left="0" w:firstLine="0"/>
      </w:pPr>
      <w:rPr>
        <w:rFonts w:hint="default"/>
        <w:b w:val="0"/>
        <w:i w:val="0"/>
        <w:strike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lvlOverride w:ilvl="0">
      <w:lvl w:ilvl="0">
        <w:start w:val="1"/>
        <w:numFmt w:val="bullet"/>
        <w:pStyle w:val="Estilo8"/>
        <w:lvlText w:val="—"/>
        <w:legacy w:legacy="1" w:legacySpace="120" w:legacyIndent="360"/>
        <w:lvlJc w:val="left"/>
        <w:pPr>
          <w:ind w:left="1080" w:hanging="360"/>
        </w:pPr>
        <w:rPr>
          <w:rFonts w:ascii="Times" w:hAnsi="Times" w:cs="Times" w:hint="default"/>
        </w:rPr>
      </w:lvl>
    </w:lvlOverride>
  </w:num>
  <w:num w:numId="2">
    <w:abstractNumId w:val="12"/>
  </w:num>
  <w:num w:numId="3">
    <w:abstractNumId w:val="39"/>
  </w:num>
  <w:num w:numId="4">
    <w:abstractNumId w:val="11"/>
  </w:num>
  <w:num w:numId="5">
    <w:abstractNumId w:val="1"/>
  </w:num>
  <w:num w:numId="6">
    <w:abstractNumId w:val="17"/>
  </w:num>
  <w:num w:numId="7">
    <w:abstractNumId w:val="22"/>
  </w:num>
  <w:num w:numId="8">
    <w:abstractNumId w:val="13"/>
  </w:num>
  <w:num w:numId="9">
    <w:abstractNumId w:val="5"/>
  </w:num>
  <w:num w:numId="10">
    <w:abstractNumId w:val="2"/>
  </w:num>
  <w:num w:numId="11">
    <w:abstractNumId w:val="43"/>
  </w:num>
  <w:num w:numId="12">
    <w:abstractNumId w:val="10"/>
  </w:num>
  <w:num w:numId="13">
    <w:abstractNumId w:val="9"/>
  </w:num>
  <w:num w:numId="14">
    <w:abstractNumId w:val="6"/>
  </w:num>
  <w:num w:numId="15">
    <w:abstractNumId w:val="44"/>
  </w:num>
  <w:num w:numId="16">
    <w:abstractNumId w:val="4"/>
  </w:num>
  <w:num w:numId="17">
    <w:abstractNumId w:val="27"/>
  </w:num>
  <w:num w:numId="18">
    <w:abstractNumId w:val="25"/>
  </w:num>
  <w:num w:numId="19">
    <w:abstractNumId w:val="37"/>
  </w:num>
  <w:num w:numId="20">
    <w:abstractNumId w:val="3"/>
  </w:num>
  <w:num w:numId="21">
    <w:abstractNumId w:val="28"/>
  </w:num>
  <w:num w:numId="22">
    <w:abstractNumId w:val="38"/>
  </w:num>
  <w:num w:numId="23">
    <w:abstractNumId w:val="33"/>
  </w:num>
  <w:num w:numId="24">
    <w:abstractNumId w:val="34"/>
  </w:num>
  <w:num w:numId="25">
    <w:abstractNumId w:val="14"/>
  </w:num>
  <w:num w:numId="26">
    <w:abstractNumId w:val="19"/>
  </w:num>
  <w:num w:numId="27">
    <w:abstractNumId w:val="26"/>
  </w:num>
  <w:num w:numId="28">
    <w:abstractNumId w:val="8"/>
  </w:num>
  <w:num w:numId="29">
    <w:abstractNumId w:val="20"/>
  </w:num>
  <w:num w:numId="30">
    <w:abstractNumId w:val="42"/>
  </w:num>
  <w:num w:numId="31">
    <w:abstractNumId w:val="16"/>
  </w:num>
  <w:num w:numId="32">
    <w:abstractNumId w:val="21"/>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40"/>
  </w:num>
  <w:num w:numId="36">
    <w:abstractNumId w:val="7"/>
  </w:num>
  <w:num w:numId="37">
    <w:abstractNumId w:val="29"/>
  </w:num>
  <w:num w:numId="38">
    <w:abstractNumId w:val="41"/>
  </w:num>
  <w:num w:numId="39">
    <w:abstractNumId w:val="32"/>
  </w:num>
  <w:num w:numId="40">
    <w:abstractNumId w:val="24"/>
  </w:num>
  <w:num w:numId="41">
    <w:abstractNumId w:val="15"/>
  </w:num>
  <w:num w:numId="42">
    <w:abstractNumId w:val="36"/>
  </w:num>
  <w:num w:numId="43">
    <w:abstractNumId w:val="30"/>
  </w:num>
  <w:num w:numId="44">
    <w:abstractNumId w:val="45"/>
  </w:num>
  <w:num w:numId="45">
    <w:abstractNumId w:val="35"/>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hideSpellingErrors/>
  <w:activeWritingStyle w:appName="MSWord" w:lang="pt-BR" w:vendorID="64" w:dllVersion="6" w:nlCheck="1" w:checkStyle="0"/>
  <w:activeWritingStyle w:appName="MSWord" w:lang="en-US" w:vendorID="64" w:dllVersion="6" w:nlCheck="1" w:checkStyle="0"/>
  <w:activeWritingStyle w:appName="MSWord" w:lang="es-CL"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PE" w:vendorID="64" w:dllVersion="6" w:nlCheck="1" w:checkStyle="0"/>
  <w:activeWritingStyle w:appName="MSWord" w:lang="en-GB" w:vendorID="64" w:dllVersion="6" w:nlCheck="1" w:checkStyle="0"/>
  <w:activeWritingStyle w:appName="MSWord" w:lang="es-CR" w:vendorID="64" w:dllVersion="6" w:nlCheck="1" w:checkStyle="0"/>
  <w:activeWritingStyle w:appName="MSWord" w:lang="es-AR" w:vendorID="64" w:dllVersion="6" w:nlCheck="1" w:checkStyle="0"/>
  <w:activeWritingStyle w:appName="MSWord" w:lang="es-MX" w:vendorID="64" w:dllVersion="6" w:nlCheck="1" w:checkStyle="0"/>
  <w:activeWritingStyle w:appName="MSWord" w:lang="es-EC" w:vendorID="64" w:dllVersion="6" w:nlCheck="1" w:checkStyle="0"/>
  <w:activeWritingStyle w:appName="MSWord" w:lang="es-PR" w:vendorID="64" w:dllVersion="6" w:nlCheck="1" w:checkStyle="0"/>
  <w:activeWritingStyle w:appName="MSWord" w:lang="es-CO" w:vendorID="64" w:dllVersion="6" w:nlCheck="1" w:checkStyle="0"/>
  <w:activeWritingStyle w:appName="MSWord" w:lang="es-PA" w:vendorID="64" w:dllVersion="6" w:nlCheck="1" w:checkStyle="0"/>
  <w:activeWritingStyle w:appName="MSWord" w:lang="es-GT" w:vendorID="64" w:dllVersion="6" w:nlCheck="1" w:checkStyle="1"/>
  <w:activeWritingStyle w:appName="MSWord" w:lang="es-VE" w:vendorID="64" w:dllVersion="6" w:nlCheck="1" w:checkStyle="0"/>
  <w:activeWritingStyle w:appName="MSWord" w:lang="es-DO" w:vendorID="64" w:dllVersion="6" w:nlCheck="1" w:checkStyle="1"/>
  <w:activeWritingStyle w:appName="MSWord" w:lang="fr-FR" w:vendorID="64" w:dllVersion="6" w:nlCheck="1" w:checkStyle="1"/>
  <w:activeWritingStyle w:appName="MSWord" w:lang="nl-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nl-NL" w:vendorID="64" w:dllVersion="0" w:nlCheck="1" w:checkStyle="0"/>
  <w:activeWritingStyle w:appName="MSWord" w:lang="en-US" w:vendorID="64" w:dllVersion="0" w:nlCheck="1" w:checkStyle="0"/>
  <w:activeWritingStyle w:appName="MSWord" w:lang="en-GB"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D83"/>
    <w:rsid w:val="00013470"/>
    <w:rsid w:val="0001369E"/>
    <w:rsid w:val="00025383"/>
    <w:rsid w:val="00025BF6"/>
    <w:rsid w:val="00033680"/>
    <w:rsid w:val="00034FC2"/>
    <w:rsid w:val="000360CF"/>
    <w:rsid w:val="000361F1"/>
    <w:rsid w:val="00037F70"/>
    <w:rsid w:val="000445D1"/>
    <w:rsid w:val="00050C62"/>
    <w:rsid w:val="00053422"/>
    <w:rsid w:val="000537E4"/>
    <w:rsid w:val="00065564"/>
    <w:rsid w:val="00066A0C"/>
    <w:rsid w:val="00072DE3"/>
    <w:rsid w:val="000734D7"/>
    <w:rsid w:val="000734DA"/>
    <w:rsid w:val="0007518D"/>
    <w:rsid w:val="000810D5"/>
    <w:rsid w:val="00081EFB"/>
    <w:rsid w:val="00081F40"/>
    <w:rsid w:val="000831EB"/>
    <w:rsid w:val="00090DEE"/>
    <w:rsid w:val="00091604"/>
    <w:rsid w:val="0009211A"/>
    <w:rsid w:val="000A0E97"/>
    <w:rsid w:val="000A55D3"/>
    <w:rsid w:val="000B208A"/>
    <w:rsid w:val="000B5470"/>
    <w:rsid w:val="000B73F6"/>
    <w:rsid w:val="000B75D0"/>
    <w:rsid w:val="000C47B9"/>
    <w:rsid w:val="000D1AB9"/>
    <w:rsid w:val="000E6A69"/>
    <w:rsid w:val="000F1EB8"/>
    <w:rsid w:val="0010194D"/>
    <w:rsid w:val="0010319B"/>
    <w:rsid w:val="00112465"/>
    <w:rsid w:val="00114134"/>
    <w:rsid w:val="0012188D"/>
    <w:rsid w:val="00140DC1"/>
    <w:rsid w:val="00143090"/>
    <w:rsid w:val="00147BFF"/>
    <w:rsid w:val="001520D3"/>
    <w:rsid w:val="001545B1"/>
    <w:rsid w:val="00157701"/>
    <w:rsid w:val="001643B8"/>
    <w:rsid w:val="00173A96"/>
    <w:rsid w:val="00173EC4"/>
    <w:rsid w:val="0018209D"/>
    <w:rsid w:val="00183533"/>
    <w:rsid w:val="00191E6F"/>
    <w:rsid w:val="0019398E"/>
    <w:rsid w:val="001A1BAC"/>
    <w:rsid w:val="001A1E43"/>
    <w:rsid w:val="001A224D"/>
    <w:rsid w:val="001A7225"/>
    <w:rsid w:val="001B0116"/>
    <w:rsid w:val="001B3CFC"/>
    <w:rsid w:val="001C0D4E"/>
    <w:rsid w:val="001C2511"/>
    <w:rsid w:val="001D348A"/>
    <w:rsid w:val="001D37B7"/>
    <w:rsid w:val="001D746B"/>
    <w:rsid w:val="001E5C96"/>
    <w:rsid w:val="001E7628"/>
    <w:rsid w:val="001E7BFA"/>
    <w:rsid w:val="001F1478"/>
    <w:rsid w:val="001F5FF6"/>
    <w:rsid w:val="001F7AE3"/>
    <w:rsid w:val="00202F55"/>
    <w:rsid w:val="00211881"/>
    <w:rsid w:val="00211F53"/>
    <w:rsid w:val="0021364C"/>
    <w:rsid w:val="00216475"/>
    <w:rsid w:val="002204B2"/>
    <w:rsid w:val="00223006"/>
    <w:rsid w:val="0022598A"/>
    <w:rsid w:val="00226095"/>
    <w:rsid w:val="002329E6"/>
    <w:rsid w:val="0023649D"/>
    <w:rsid w:val="00236636"/>
    <w:rsid w:val="00236B70"/>
    <w:rsid w:val="00241092"/>
    <w:rsid w:val="0024546F"/>
    <w:rsid w:val="0025074F"/>
    <w:rsid w:val="002626F8"/>
    <w:rsid w:val="002629B4"/>
    <w:rsid w:val="002700DA"/>
    <w:rsid w:val="00274EE6"/>
    <w:rsid w:val="00275F75"/>
    <w:rsid w:val="0028104D"/>
    <w:rsid w:val="0028583A"/>
    <w:rsid w:val="0029666C"/>
    <w:rsid w:val="0029681D"/>
    <w:rsid w:val="002A57DB"/>
    <w:rsid w:val="002B485D"/>
    <w:rsid w:val="002B52E6"/>
    <w:rsid w:val="002B7434"/>
    <w:rsid w:val="002C5F30"/>
    <w:rsid w:val="002C7802"/>
    <w:rsid w:val="002C7F1B"/>
    <w:rsid w:val="002C7FBE"/>
    <w:rsid w:val="002D0B62"/>
    <w:rsid w:val="002D2ADC"/>
    <w:rsid w:val="002D30C3"/>
    <w:rsid w:val="002D54B1"/>
    <w:rsid w:val="002D7D75"/>
    <w:rsid w:val="002E0960"/>
    <w:rsid w:val="002E1AFB"/>
    <w:rsid w:val="002E2383"/>
    <w:rsid w:val="002E29B9"/>
    <w:rsid w:val="002E4922"/>
    <w:rsid w:val="002E5869"/>
    <w:rsid w:val="002E7972"/>
    <w:rsid w:val="002F43D4"/>
    <w:rsid w:val="002F6087"/>
    <w:rsid w:val="00301DED"/>
    <w:rsid w:val="003020C7"/>
    <w:rsid w:val="00304500"/>
    <w:rsid w:val="00305729"/>
    <w:rsid w:val="0031044B"/>
    <w:rsid w:val="003104C3"/>
    <w:rsid w:val="003114DD"/>
    <w:rsid w:val="003115D1"/>
    <w:rsid w:val="00321BC7"/>
    <w:rsid w:val="0033435F"/>
    <w:rsid w:val="00335B99"/>
    <w:rsid w:val="003379D5"/>
    <w:rsid w:val="00342A59"/>
    <w:rsid w:val="00351E32"/>
    <w:rsid w:val="00354A8B"/>
    <w:rsid w:val="00355076"/>
    <w:rsid w:val="00356898"/>
    <w:rsid w:val="00356E6C"/>
    <w:rsid w:val="00356F86"/>
    <w:rsid w:val="00361EDC"/>
    <w:rsid w:val="00375D83"/>
    <w:rsid w:val="00384B5C"/>
    <w:rsid w:val="00386954"/>
    <w:rsid w:val="003916A7"/>
    <w:rsid w:val="00394425"/>
    <w:rsid w:val="003A2494"/>
    <w:rsid w:val="003A3588"/>
    <w:rsid w:val="003A3C4C"/>
    <w:rsid w:val="003B1015"/>
    <w:rsid w:val="003B2C88"/>
    <w:rsid w:val="003B7C6D"/>
    <w:rsid w:val="003C064C"/>
    <w:rsid w:val="003C08E9"/>
    <w:rsid w:val="003C25BD"/>
    <w:rsid w:val="003C3808"/>
    <w:rsid w:val="003C49CE"/>
    <w:rsid w:val="003C4BD5"/>
    <w:rsid w:val="003C683C"/>
    <w:rsid w:val="003D33C5"/>
    <w:rsid w:val="003D49EB"/>
    <w:rsid w:val="003D57AE"/>
    <w:rsid w:val="003D6807"/>
    <w:rsid w:val="003F0886"/>
    <w:rsid w:val="003F0DE2"/>
    <w:rsid w:val="00401CD4"/>
    <w:rsid w:val="00402528"/>
    <w:rsid w:val="0042081E"/>
    <w:rsid w:val="00426CB5"/>
    <w:rsid w:val="00432815"/>
    <w:rsid w:val="00434CA9"/>
    <w:rsid w:val="00441109"/>
    <w:rsid w:val="0044235D"/>
    <w:rsid w:val="0044532E"/>
    <w:rsid w:val="00446BCA"/>
    <w:rsid w:val="00447AD8"/>
    <w:rsid w:val="004500E5"/>
    <w:rsid w:val="00452814"/>
    <w:rsid w:val="00456BAA"/>
    <w:rsid w:val="0046573A"/>
    <w:rsid w:val="0047135E"/>
    <w:rsid w:val="00471ECD"/>
    <w:rsid w:val="00476141"/>
    <w:rsid w:val="00482232"/>
    <w:rsid w:val="00482F77"/>
    <w:rsid w:val="00483901"/>
    <w:rsid w:val="0049344B"/>
    <w:rsid w:val="00495143"/>
    <w:rsid w:val="004A08BF"/>
    <w:rsid w:val="004A79FA"/>
    <w:rsid w:val="004A7C53"/>
    <w:rsid w:val="004B0E41"/>
    <w:rsid w:val="004B235E"/>
    <w:rsid w:val="004B5C42"/>
    <w:rsid w:val="004B653C"/>
    <w:rsid w:val="004B706C"/>
    <w:rsid w:val="004C02E2"/>
    <w:rsid w:val="004D2ABD"/>
    <w:rsid w:val="004D3C4E"/>
    <w:rsid w:val="004D43B3"/>
    <w:rsid w:val="004D4800"/>
    <w:rsid w:val="004E4AC6"/>
    <w:rsid w:val="004F440B"/>
    <w:rsid w:val="004F58F9"/>
    <w:rsid w:val="005006D7"/>
    <w:rsid w:val="00502C53"/>
    <w:rsid w:val="005042D8"/>
    <w:rsid w:val="005052AC"/>
    <w:rsid w:val="00507315"/>
    <w:rsid w:val="0050761F"/>
    <w:rsid w:val="00507916"/>
    <w:rsid w:val="0051578C"/>
    <w:rsid w:val="00521531"/>
    <w:rsid w:val="00521E6A"/>
    <w:rsid w:val="005243C0"/>
    <w:rsid w:val="00533A49"/>
    <w:rsid w:val="00547489"/>
    <w:rsid w:val="005532DB"/>
    <w:rsid w:val="00554988"/>
    <w:rsid w:val="0055769A"/>
    <w:rsid w:val="005640B3"/>
    <w:rsid w:val="00571D59"/>
    <w:rsid w:val="0057291F"/>
    <w:rsid w:val="005821EA"/>
    <w:rsid w:val="0058317B"/>
    <w:rsid w:val="00583AC4"/>
    <w:rsid w:val="0058428A"/>
    <w:rsid w:val="00596DAD"/>
    <w:rsid w:val="00597719"/>
    <w:rsid w:val="005A03D8"/>
    <w:rsid w:val="005A07D0"/>
    <w:rsid w:val="005A2A26"/>
    <w:rsid w:val="005A3598"/>
    <w:rsid w:val="005A434D"/>
    <w:rsid w:val="005C017F"/>
    <w:rsid w:val="005C14C3"/>
    <w:rsid w:val="005C1CCD"/>
    <w:rsid w:val="005C32C2"/>
    <w:rsid w:val="005C5EA3"/>
    <w:rsid w:val="005C6B23"/>
    <w:rsid w:val="005C73B8"/>
    <w:rsid w:val="005D0D78"/>
    <w:rsid w:val="005D2592"/>
    <w:rsid w:val="005D3D66"/>
    <w:rsid w:val="005D5F6F"/>
    <w:rsid w:val="005E0916"/>
    <w:rsid w:val="005E2EAF"/>
    <w:rsid w:val="005E31D7"/>
    <w:rsid w:val="005E3C85"/>
    <w:rsid w:val="005F25D6"/>
    <w:rsid w:val="00600994"/>
    <w:rsid w:val="006023BB"/>
    <w:rsid w:val="00602404"/>
    <w:rsid w:val="00607764"/>
    <w:rsid w:val="00607AF4"/>
    <w:rsid w:val="00610E2F"/>
    <w:rsid w:val="00623816"/>
    <w:rsid w:val="006245A3"/>
    <w:rsid w:val="00630F37"/>
    <w:rsid w:val="00632C28"/>
    <w:rsid w:val="00646B80"/>
    <w:rsid w:val="006517F6"/>
    <w:rsid w:val="006607D0"/>
    <w:rsid w:val="00660A10"/>
    <w:rsid w:val="0066318B"/>
    <w:rsid w:val="00665858"/>
    <w:rsid w:val="00666A34"/>
    <w:rsid w:val="006671F3"/>
    <w:rsid w:val="00667E3D"/>
    <w:rsid w:val="00681B0D"/>
    <w:rsid w:val="00685C87"/>
    <w:rsid w:val="00694E3A"/>
    <w:rsid w:val="00695CC2"/>
    <w:rsid w:val="00697A22"/>
    <w:rsid w:val="006A10E3"/>
    <w:rsid w:val="006A1F65"/>
    <w:rsid w:val="006A660B"/>
    <w:rsid w:val="006B0AD4"/>
    <w:rsid w:val="006B17CE"/>
    <w:rsid w:val="006B2EAF"/>
    <w:rsid w:val="006B6D52"/>
    <w:rsid w:val="006B74E6"/>
    <w:rsid w:val="006C1EFF"/>
    <w:rsid w:val="006C229C"/>
    <w:rsid w:val="006D097F"/>
    <w:rsid w:val="006D57CC"/>
    <w:rsid w:val="006E172C"/>
    <w:rsid w:val="006E4926"/>
    <w:rsid w:val="006E5C73"/>
    <w:rsid w:val="006E7162"/>
    <w:rsid w:val="006E7A90"/>
    <w:rsid w:val="006F7697"/>
    <w:rsid w:val="00704706"/>
    <w:rsid w:val="007227F3"/>
    <w:rsid w:val="007276B0"/>
    <w:rsid w:val="007326AE"/>
    <w:rsid w:val="00740849"/>
    <w:rsid w:val="00742D47"/>
    <w:rsid w:val="0074435B"/>
    <w:rsid w:val="007458EE"/>
    <w:rsid w:val="00750B30"/>
    <w:rsid w:val="00754B67"/>
    <w:rsid w:val="00766DA1"/>
    <w:rsid w:val="00773AFF"/>
    <w:rsid w:val="0077425C"/>
    <w:rsid w:val="00781ACD"/>
    <w:rsid w:val="007905B6"/>
    <w:rsid w:val="00792130"/>
    <w:rsid w:val="00792714"/>
    <w:rsid w:val="00796542"/>
    <w:rsid w:val="007A0CC8"/>
    <w:rsid w:val="007A630D"/>
    <w:rsid w:val="007B2062"/>
    <w:rsid w:val="007C15D9"/>
    <w:rsid w:val="007C1C5F"/>
    <w:rsid w:val="007C2049"/>
    <w:rsid w:val="007C2303"/>
    <w:rsid w:val="007D1EC9"/>
    <w:rsid w:val="007D28F2"/>
    <w:rsid w:val="007D3060"/>
    <w:rsid w:val="007E1B35"/>
    <w:rsid w:val="007E3D14"/>
    <w:rsid w:val="007E4168"/>
    <w:rsid w:val="00800384"/>
    <w:rsid w:val="00800714"/>
    <w:rsid w:val="00801489"/>
    <w:rsid w:val="00802C14"/>
    <w:rsid w:val="00802E7A"/>
    <w:rsid w:val="00803815"/>
    <w:rsid w:val="008060E7"/>
    <w:rsid w:val="00806926"/>
    <w:rsid w:val="00820A3C"/>
    <w:rsid w:val="0083723C"/>
    <w:rsid w:val="0083762B"/>
    <w:rsid w:val="00845BB0"/>
    <w:rsid w:val="008465F7"/>
    <w:rsid w:val="00850727"/>
    <w:rsid w:val="008553CB"/>
    <w:rsid w:val="00861E22"/>
    <w:rsid w:val="008624B8"/>
    <w:rsid w:val="008628EA"/>
    <w:rsid w:val="00864652"/>
    <w:rsid w:val="00865216"/>
    <w:rsid w:val="008654B2"/>
    <w:rsid w:val="00867194"/>
    <w:rsid w:val="00871A8D"/>
    <w:rsid w:val="0087427E"/>
    <w:rsid w:val="008743EB"/>
    <w:rsid w:val="0088193A"/>
    <w:rsid w:val="00890B82"/>
    <w:rsid w:val="00896F99"/>
    <w:rsid w:val="00897F90"/>
    <w:rsid w:val="008A5B5C"/>
    <w:rsid w:val="008B024B"/>
    <w:rsid w:val="008B18CE"/>
    <w:rsid w:val="008B1E3D"/>
    <w:rsid w:val="008B2D54"/>
    <w:rsid w:val="008C0F50"/>
    <w:rsid w:val="008C1D04"/>
    <w:rsid w:val="008C6BA4"/>
    <w:rsid w:val="008D5C7E"/>
    <w:rsid w:val="008E199E"/>
    <w:rsid w:val="008E5712"/>
    <w:rsid w:val="008F0240"/>
    <w:rsid w:val="008F14D4"/>
    <w:rsid w:val="008F42C5"/>
    <w:rsid w:val="008F6B5B"/>
    <w:rsid w:val="00900922"/>
    <w:rsid w:val="00911A60"/>
    <w:rsid w:val="00924D1A"/>
    <w:rsid w:val="009329C3"/>
    <w:rsid w:val="00936673"/>
    <w:rsid w:val="00942851"/>
    <w:rsid w:val="0094306A"/>
    <w:rsid w:val="0094613C"/>
    <w:rsid w:val="0094754F"/>
    <w:rsid w:val="009511A7"/>
    <w:rsid w:val="00951502"/>
    <w:rsid w:val="00951D4F"/>
    <w:rsid w:val="0095281D"/>
    <w:rsid w:val="00952CAB"/>
    <w:rsid w:val="00957741"/>
    <w:rsid w:val="00957FEC"/>
    <w:rsid w:val="00960F41"/>
    <w:rsid w:val="009651CF"/>
    <w:rsid w:val="00971822"/>
    <w:rsid w:val="00972AF2"/>
    <w:rsid w:val="00973224"/>
    <w:rsid w:val="00984FCA"/>
    <w:rsid w:val="00991599"/>
    <w:rsid w:val="00991CCD"/>
    <w:rsid w:val="0099227A"/>
    <w:rsid w:val="009932C3"/>
    <w:rsid w:val="00993905"/>
    <w:rsid w:val="00994980"/>
    <w:rsid w:val="009A0F11"/>
    <w:rsid w:val="009A4683"/>
    <w:rsid w:val="009B0099"/>
    <w:rsid w:val="009B2AB1"/>
    <w:rsid w:val="009B637C"/>
    <w:rsid w:val="009B6643"/>
    <w:rsid w:val="009D0041"/>
    <w:rsid w:val="009D0909"/>
    <w:rsid w:val="009D0A73"/>
    <w:rsid w:val="009D500F"/>
    <w:rsid w:val="009D5E41"/>
    <w:rsid w:val="009E10C1"/>
    <w:rsid w:val="009F232F"/>
    <w:rsid w:val="009F304D"/>
    <w:rsid w:val="00A056EF"/>
    <w:rsid w:val="00A14BF3"/>
    <w:rsid w:val="00A17B11"/>
    <w:rsid w:val="00A20BE8"/>
    <w:rsid w:val="00A321D3"/>
    <w:rsid w:val="00A328C0"/>
    <w:rsid w:val="00A35FE8"/>
    <w:rsid w:val="00A37606"/>
    <w:rsid w:val="00A37908"/>
    <w:rsid w:val="00A47FAC"/>
    <w:rsid w:val="00A50005"/>
    <w:rsid w:val="00A52D84"/>
    <w:rsid w:val="00A55300"/>
    <w:rsid w:val="00A57CDE"/>
    <w:rsid w:val="00A63191"/>
    <w:rsid w:val="00A64924"/>
    <w:rsid w:val="00A67421"/>
    <w:rsid w:val="00A704D3"/>
    <w:rsid w:val="00A84D35"/>
    <w:rsid w:val="00A84FCC"/>
    <w:rsid w:val="00A867D4"/>
    <w:rsid w:val="00A86983"/>
    <w:rsid w:val="00A869F1"/>
    <w:rsid w:val="00A877DD"/>
    <w:rsid w:val="00A968C0"/>
    <w:rsid w:val="00A9708B"/>
    <w:rsid w:val="00AA0A16"/>
    <w:rsid w:val="00AA2F78"/>
    <w:rsid w:val="00AB1145"/>
    <w:rsid w:val="00AB652F"/>
    <w:rsid w:val="00AB7BFF"/>
    <w:rsid w:val="00AD5A5E"/>
    <w:rsid w:val="00AE0978"/>
    <w:rsid w:val="00AE1DC9"/>
    <w:rsid w:val="00AE6F5A"/>
    <w:rsid w:val="00AF4947"/>
    <w:rsid w:val="00B10948"/>
    <w:rsid w:val="00B11465"/>
    <w:rsid w:val="00B14EA7"/>
    <w:rsid w:val="00B21394"/>
    <w:rsid w:val="00B21408"/>
    <w:rsid w:val="00B23BED"/>
    <w:rsid w:val="00B305AC"/>
    <w:rsid w:val="00B31097"/>
    <w:rsid w:val="00B319B3"/>
    <w:rsid w:val="00B32B2B"/>
    <w:rsid w:val="00B33530"/>
    <w:rsid w:val="00B34938"/>
    <w:rsid w:val="00B36382"/>
    <w:rsid w:val="00B37482"/>
    <w:rsid w:val="00B42AB6"/>
    <w:rsid w:val="00B56B94"/>
    <w:rsid w:val="00B6105B"/>
    <w:rsid w:val="00B71E11"/>
    <w:rsid w:val="00B81108"/>
    <w:rsid w:val="00B8119B"/>
    <w:rsid w:val="00B857C3"/>
    <w:rsid w:val="00B87EEC"/>
    <w:rsid w:val="00BA56F9"/>
    <w:rsid w:val="00BA6752"/>
    <w:rsid w:val="00BB11C2"/>
    <w:rsid w:val="00BB2848"/>
    <w:rsid w:val="00BB58A8"/>
    <w:rsid w:val="00BC391A"/>
    <w:rsid w:val="00BC613F"/>
    <w:rsid w:val="00BC6BD2"/>
    <w:rsid w:val="00BD14B7"/>
    <w:rsid w:val="00BD210B"/>
    <w:rsid w:val="00BD256D"/>
    <w:rsid w:val="00BD2A3F"/>
    <w:rsid w:val="00BF2C46"/>
    <w:rsid w:val="00BF4179"/>
    <w:rsid w:val="00BF467C"/>
    <w:rsid w:val="00BF4ECD"/>
    <w:rsid w:val="00C01414"/>
    <w:rsid w:val="00C07C28"/>
    <w:rsid w:val="00C1126E"/>
    <w:rsid w:val="00C23672"/>
    <w:rsid w:val="00C24F2D"/>
    <w:rsid w:val="00C257FF"/>
    <w:rsid w:val="00C2706D"/>
    <w:rsid w:val="00C27325"/>
    <w:rsid w:val="00C275C6"/>
    <w:rsid w:val="00C33713"/>
    <w:rsid w:val="00C437CC"/>
    <w:rsid w:val="00C57D7F"/>
    <w:rsid w:val="00C62A4E"/>
    <w:rsid w:val="00C67E6E"/>
    <w:rsid w:val="00C72CC1"/>
    <w:rsid w:val="00C90BDA"/>
    <w:rsid w:val="00C94D80"/>
    <w:rsid w:val="00C95B34"/>
    <w:rsid w:val="00C96B7C"/>
    <w:rsid w:val="00C9736C"/>
    <w:rsid w:val="00CA27D0"/>
    <w:rsid w:val="00CB4ABA"/>
    <w:rsid w:val="00CD3FB0"/>
    <w:rsid w:val="00CD672B"/>
    <w:rsid w:val="00CE15B5"/>
    <w:rsid w:val="00CE2B32"/>
    <w:rsid w:val="00CE407B"/>
    <w:rsid w:val="00CE68A3"/>
    <w:rsid w:val="00CF1DFC"/>
    <w:rsid w:val="00CF352B"/>
    <w:rsid w:val="00CF4E08"/>
    <w:rsid w:val="00CF7E1B"/>
    <w:rsid w:val="00D01AEE"/>
    <w:rsid w:val="00D03E36"/>
    <w:rsid w:val="00D05109"/>
    <w:rsid w:val="00D33072"/>
    <w:rsid w:val="00D4257B"/>
    <w:rsid w:val="00D45075"/>
    <w:rsid w:val="00D47996"/>
    <w:rsid w:val="00D51653"/>
    <w:rsid w:val="00D53BB4"/>
    <w:rsid w:val="00D5530F"/>
    <w:rsid w:val="00D61829"/>
    <w:rsid w:val="00D653CC"/>
    <w:rsid w:val="00D666CC"/>
    <w:rsid w:val="00D712FB"/>
    <w:rsid w:val="00D7252B"/>
    <w:rsid w:val="00D764FE"/>
    <w:rsid w:val="00D81F66"/>
    <w:rsid w:val="00D82A8F"/>
    <w:rsid w:val="00D85C9A"/>
    <w:rsid w:val="00D86617"/>
    <w:rsid w:val="00D874BE"/>
    <w:rsid w:val="00D87808"/>
    <w:rsid w:val="00D92248"/>
    <w:rsid w:val="00D94D43"/>
    <w:rsid w:val="00D94E94"/>
    <w:rsid w:val="00D95D0F"/>
    <w:rsid w:val="00DA57C9"/>
    <w:rsid w:val="00DB6516"/>
    <w:rsid w:val="00DB678A"/>
    <w:rsid w:val="00DC1503"/>
    <w:rsid w:val="00DD1B60"/>
    <w:rsid w:val="00DD3E8B"/>
    <w:rsid w:val="00DE07E4"/>
    <w:rsid w:val="00DE60AF"/>
    <w:rsid w:val="00DE70B4"/>
    <w:rsid w:val="00E03D2F"/>
    <w:rsid w:val="00E103E1"/>
    <w:rsid w:val="00E1043D"/>
    <w:rsid w:val="00E1278A"/>
    <w:rsid w:val="00E15067"/>
    <w:rsid w:val="00E179D4"/>
    <w:rsid w:val="00E21F88"/>
    <w:rsid w:val="00E235C4"/>
    <w:rsid w:val="00E256D8"/>
    <w:rsid w:val="00E36FF8"/>
    <w:rsid w:val="00E40BD5"/>
    <w:rsid w:val="00E46FF6"/>
    <w:rsid w:val="00E47E38"/>
    <w:rsid w:val="00E56EED"/>
    <w:rsid w:val="00E57DF8"/>
    <w:rsid w:val="00E636E4"/>
    <w:rsid w:val="00E66910"/>
    <w:rsid w:val="00E70056"/>
    <w:rsid w:val="00E750F2"/>
    <w:rsid w:val="00E7576F"/>
    <w:rsid w:val="00E90A44"/>
    <w:rsid w:val="00E9109D"/>
    <w:rsid w:val="00E9597A"/>
    <w:rsid w:val="00E96CD2"/>
    <w:rsid w:val="00EA36A9"/>
    <w:rsid w:val="00EA435F"/>
    <w:rsid w:val="00EA7516"/>
    <w:rsid w:val="00EC633C"/>
    <w:rsid w:val="00ED1206"/>
    <w:rsid w:val="00ED1592"/>
    <w:rsid w:val="00ED1697"/>
    <w:rsid w:val="00ED20FD"/>
    <w:rsid w:val="00ED5598"/>
    <w:rsid w:val="00EE1AA0"/>
    <w:rsid w:val="00EE648E"/>
    <w:rsid w:val="00EF2216"/>
    <w:rsid w:val="00EF2B94"/>
    <w:rsid w:val="00EF55E2"/>
    <w:rsid w:val="00EF65CE"/>
    <w:rsid w:val="00EF6946"/>
    <w:rsid w:val="00F01102"/>
    <w:rsid w:val="00F146D5"/>
    <w:rsid w:val="00F15E90"/>
    <w:rsid w:val="00F27029"/>
    <w:rsid w:val="00F36F12"/>
    <w:rsid w:val="00F40854"/>
    <w:rsid w:val="00F43AA9"/>
    <w:rsid w:val="00F52873"/>
    <w:rsid w:val="00F65AFB"/>
    <w:rsid w:val="00F71BC4"/>
    <w:rsid w:val="00F849AA"/>
    <w:rsid w:val="00F86937"/>
    <w:rsid w:val="00FA1D1A"/>
    <w:rsid w:val="00FA44F9"/>
    <w:rsid w:val="00FB7147"/>
    <w:rsid w:val="00FC7585"/>
    <w:rsid w:val="00FE050B"/>
    <w:rsid w:val="00FE0DAB"/>
    <w:rsid w:val="00FE18EB"/>
    <w:rsid w:val="00FE3840"/>
    <w:rsid w:val="00FE5956"/>
    <w:rsid w:val="00FE601E"/>
    <w:rsid w:val="00FF0265"/>
    <w:rsid w:val="00FF1546"/>
    <w:rsid w:val="00FF6B9C"/>
    <w:rsid w:val="00FF6E3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471D1"/>
  <w15:docId w15:val="{2AC4F865-B3E3-9548-8456-BFE605F96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s-ES" w:eastAsia="es-E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060"/>
    <w:pPr>
      <w:spacing w:after="0" w:line="240" w:lineRule="auto"/>
      <w:jc w:val="both"/>
    </w:pPr>
    <w:rPr>
      <w:rFonts w:ascii="Verdana" w:eastAsia="Times New Roman" w:hAnsi="Verdana" w:cs="Times New Roman"/>
      <w:sz w:val="20"/>
      <w:szCs w:val="24"/>
      <w:lang w:val="es-CL" w:eastAsia="es-MX"/>
    </w:rPr>
  </w:style>
  <w:style w:type="paragraph" w:styleId="Ttulo1">
    <w:name w:val="heading 1"/>
    <w:basedOn w:val="Normal"/>
    <w:next w:val="Normal"/>
    <w:link w:val="Ttulo1Car"/>
    <w:uiPriority w:val="9"/>
    <w:qFormat/>
    <w:rsid w:val="00681B0D"/>
    <w:pPr>
      <w:pBdr>
        <w:bottom w:val="single" w:sz="8" w:space="1" w:color="948A54" w:themeColor="background2" w:themeShade="80"/>
      </w:pBdr>
      <w:spacing w:before="400"/>
      <w:jc w:val="center"/>
      <w:outlineLvl w:val="0"/>
    </w:pPr>
    <w:rPr>
      <w:b/>
      <w:caps/>
      <w:spacing w:val="20"/>
      <w:sz w:val="24"/>
    </w:rPr>
  </w:style>
  <w:style w:type="paragraph" w:styleId="Ttulo2">
    <w:name w:val="heading 2"/>
    <w:basedOn w:val="Normal"/>
    <w:next w:val="Normal"/>
    <w:link w:val="Ttulo2Car"/>
    <w:uiPriority w:val="9"/>
    <w:unhideWhenUsed/>
    <w:qFormat/>
    <w:rsid w:val="00681B0D"/>
    <w:pPr>
      <w:pBdr>
        <w:bottom w:val="single" w:sz="8" w:space="1" w:color="948A54" w:themeColor="background2" w:themeShade="80"/>
      </w:pBdr>
      <w:spacing w:before="400"/>
      <w:jc w:val="left"/>
      <w:outlineLvl w:val="1"/>
    </w:pPr>
    <w:rPr>
      <w:b/>
      <w:bCs/>
      <w:spacing w:val="15"/>
      <w:sz w:val="22"/>
      <w:lang w:val="es-CR"/>
    </w:rPr>
  </w:style>
  <w:style w:type="paragraph" w:styleId="Ttulo3">
    <w:name w:val="heading 3"/>
    <w:basedOn w:val="Normal"/>
    <w:next w:val="Normal"/>
    <w:link w:val="Ttulo3Car"/>
    <w:uiPriority w:val="9"/>
    <w:unhideWhenUsed/>
    <w:qFormat/>
    <w:rsid w:val="00681B0D"/>
    <w:pPr>
      <w:spacing w:before="300"/>
      <w:jc w:val="left"/>
      <w:outlineLvl w:val="2"/>
    </w:pPr>
    <w:rPr>
      <w:b/>
      <w:bCs/>
      <w:caps/>
      <w:szCs w:val="20"/>
    </w:rPr>
  </w:style>
  <w:style w:type="paragraph" w:styleId="Ttulo4">
    <w:name w:val="heading 4"/>
    <w:basedOn w:val="Normal"/>
    <w:next w:val="Normal"/>
    <w:link w:val="Ttulo4Car"/>
    <w:uiPriority w:val="9"/>
    <w:unhideWhenUsed/>
    <w:qFormat/>
    <w:rsid w:val="002D2ADC"/>
    <w:pPr>
      <w:pBdr>
        <w:bottom w:val="dotted" w:sz="4" w:space="1" w:color="943634" w:themeColor="accent2" w:themeShade="BF"/>
      </w:pBdr>
      <w:spacing w:after="120"/>
      <w:jc w:val="center"/>
      <w:outlineLvl w:val="3"/>
    </w:pPr>
    <w:rPr>
      <w:caps/>
      <w:color w:val="622423" w:themeColor="accent2" w:themeShade="7F"/>
      <w:spacing w:val="10"/>
    </w:rPr>
  </w:style>
  <w:style w:type="paragraph" w:styleId="Ttulo5">
    <w:name w:val="heading 5"/>
    <w:basedOn w:val="Normal"/>
    <w:next w:val="Normal"/>
    <w:link w:val="Ttulo5Car"/>
    <w:uiPriority w:val="9"/>
    <w:unhideWhenUsed/>
    <w:qFormat/>
    <w:rsid w:val="002D2ADC"/>
    <w:pPr>
      <w:spacing w:before="320" w:after="120"/>
      <w:jc w:val="center"/>
      <w:outlineLvl w:val="4"/>
    </w:pPr>
    <w:rPr>
      <w:caps/>
      <w:color w:val="622423" w:themeColor="accent2" w:themeShade="7F"/>
      <w:spacing w:val="10"/>
    </w:rPr>
  </w:style>
  <w:style w:type="paragraph" w:styleId="Ttulo6">
    <w:name w:val="heading 6"/>
    <w:basedOn w:val="Normal"/>
    <w:next w:val="Normal"/>
    <w:link w:val="Ttulo6Car"/>
    <w:uiPriority w:val="9"/>
    <w:unhideWhenUsed/>
    <w:qFormat/>
    <w:rsid w:val="002D2ADC"/>
    <w:pPr>
      <w:spacing w:after="120"/>
      <w:jc w:val="center"/>
      <w:outlineLvl w:val="5"/>
    </w:pPr>
    <w:rPr>
      <w:caps/>
      <w:color w:val="943634" w:themeColor="accent2" w:themeShade="BF"/>
      <w:spacing w:val="10"/>
    </w:rPr>
  </w:style>
  <w:style w:type="paragraph" w:styleId="Ttulo7">
    <w:name w:val="heading 7"/>
    <w:basedOn w:val="Normal"/>
    <w:next w:val="Normal"/>
    <w:link w:val="Ttulo7Car"/>
    <w:uiPriority w:val="9"/>
    <w:semiHidden/>
    <w:unhideWhenUsed/>
    <w:qFormat/>
    <w:rsid w:val="002D2ADC"/>
    <w:pPr>
      <w:spacing w:after="120"/>
      <w:jc w:val="center"/>
      <w:outlineLvl w:val="6"/>
    </w:pPr>
    <w:rPr>
      <w:i/>
      <w:iCs/>
      <w:caps/>
      <w:color w:val="943634" w:themeColor="accent2" w:themeShade="BF"/>
      <w:spacing w:val="10"/>
    </w:rPr>
  </w:style>
  <w:style w:type="paragraph" w:styleId="Ttulo8">
    <w:name w:val="heading 8"/>
    <w:basedOn w:val="Normal"/>
    <w:next w:val="Normal"/>
    <w:link w:val="Ttulo8Car"/>
    <w:uiPriority w:val="9"/>
    <w:unhideWhenUsed/>
    <w:qFormat/>
    <w:rsid w:val="002D2ADC"/>
    <w:pPr>
      <w:spacing w:after="120"/>
      <w:jc w:val="center"/>
      <w:outlineLvl w:val="7"/>
    </w:pPr>
    <w:rPr>
      <w:caps/>
      <w:spacing w:val="10"/>
      <w:szCs w:val="20"/>
    </w:rPr>
  </w:style>
  <w:style w:type="paragraph" w:styleId="Ttulo9">
    <w:name w:val="heading 9"/>
    <w:basedOn w:val="Normal"/>
    <w:next w:val="Normal"/>
    <w:link w:val="Ttulo9Car"/>
    <w:uiPriority w:val="9"/>
    <w:semiHidden/>
    <w:unhideWhenUsed/>
    <w:qFormat/>
    <w:rsid w:val="002D2ADC"/>
    <w:pPr>
      <w:spacing w:after="120"/>
      <w:jc w:val="center"/>
      <w:outlineLvl w:val="8"/>
    </w:pPr>
    <w:rPr>
      <w:i/>
      <w:iCs/>
      <w:caps/>
      <w:spacing w:val="1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nhideWhenUsed/>
    <w:rsid w:val="001B0116"/>
    <w:rPr>
      <w:sz w:val="16"/>
      <w:szCs w:val="16"/>
    </w:rPr>
  </w:style>
  <w:style w:type="paragraph" w:styleId="Textocomentario">
    <w:name w:val="annotation text"/>
    <w:basedOn w:val="Normal"/>
    <w:link w:val="TextocomentarioCar"/>
    <w:unhideWhenUsed/>
    <w:rsid w:val="001B0116"/>
    <w:rPr>
      <w:szCs w:val="20"/>
    </w:rPr>
  </w:style>
  <w:style w:type="character" w:customStyle="1" w:styleId="TextocomentarioCar">
    <w:name w:val="Texto comentario Car"/>
    <w:basedOn w:val="Fuentedeprrafopredeter"/>
    <w:link w:val="Textocomentario"/>
    <w:rsid w:val="001B0116"/>
    <w:rPr>
      <w:sz w:val="20"/>
      <w:szCs w:val="20"/>
    </w:rPr>
  </w:style>
  <w:style w:type="paragraph" w:styleId="Asuntodelcomentario">
    <w:name w:val="annotation subject"/>
    <w:basedOn w:val="Textocomentario"/>
    <w:next w:val="Textocomentario"/>
    <w:link w:val="AsuntodelcomentarioCar"/>
    <w:unhideWhenUsed/>
    <w:rsid w:val="001B0116"/>
    <w:rPr>
      <w:b/>
      <w:bCs/>
    </w:rPr>
  </w:style>
  <w:style w:type="character" w:customStyle="1" w:styleId="AsuntodelcomentarioCar">
    <w:name w:val="Asunto del comentario Car"/>
    <w:basedOn w:val="TextocomentarioCar"/>
    <w:link w:val="Asuntodelcomentario"/>
    <w:rsid w:val="001B0116"/>
    <w:rPr>
      <w:b/>
      <w:bCs/>
      <w:sz w:val="20"/>
      <w:szCs w:val="20"/>
    </w:rPr>
  </w:style>
  <w:style w:type="paragraph" w:styleId="Textodeglobo">
    <w:name w:val="Balloon Text"/>
    <w:basedOn w:val="Normal"/>
    <w:link w:val="TextodegloboCar"/>
    <w:semiHidden/>
    <w:unhideWhenUsed/>
    <w:rsid w:val="001B0116"/>
    <w:rPr>
      <w:rFonts w:ascii="Tahoma" w:hAnsi="Tahoma" w:cs="Tahoma"/>
      <w:sz w:val="16"/>
      <w:szCs w:val="16"/>
    </w:rPr>
  </w:style>
  <w:style w:type="character" w:customStyle="1" w:styleId="TextodegloboCar">
    <w:name w:val="Texto de globo Car"/>
    <w:basedOn w:val="Fuentedeprrafopredeter"/>
    <w:link w:val="Textodeglobo"/>
    <w:rsid w:val="001B0116"/>
    <w:rPr>
      <w:rFonts w:ascii="Tahoma" w:hAnsi="Tahoma" w:cs="Tahoma"/>
      <w:sz w:val="16"/>
      <w:szCs w:val="16"/>
    </w:rPr>
  </w:style>
  <w:style w:type="character" w:styleId="Refdenotaalpie">
    <w:name w:val="footnote reference"/>
    <w:aliases w:val="Texto de nota al pie,Footnotes refss,Appel note de bas de page,f,Footnote number,referencia nota al pie,BVI fnr,4_G,16 Point,Superscript 6 Point,Texto nota al pie,Footnote Reference Char3,Ref. de nota al pi,foote,Ref. de nota al"/>
    <w:basedOn w:val="Fuentedeprrafopredeter"/>
    <w:link w:val="Char2"/>
    <w:qFormat/>
    <w:rsid w:val="0028583A"/>
    <w:rPr>
      <w:vertAlign w:val="superscript"/>
    </w:rPr>
  </w:style>
  <w:style w:type="paragraph" w:styleId="Textonotapie">
    <w:name w:val="footnote text"/>
    <w:aliases w:val="Footnote reference,FA Fu,Footnote Text Char Char Char Char Char,Footnote Text Char Char Char Char,Footnote Text Char Char Char,Footnote Text Cha,FA Fußnotentext,FA Fuﬂnotentext,Footnote Text Char Char,FA Fu?notentext,Ca,C,ft,FA Fu?notente"/>
    <w:basedOn w:val="Normal"/>
    <w:link w:val="TextonotapieCar"/>
    <w:qFormat/>
    <w:rsid w:val="0028583A"/>
    <w:pPr>
      <w:overflowPunct w:val="0"/>
      <w:autoSpaceDE w:val="0"/>
      <w:autoSpaceDN w:val="0"/>
      <w:adjustRightInd w:val="0"/>
      <w:textAlignment w:val="baseline"/>
    </w:pPr>
    <w:rPr>
      <w:rFonts w:ascii="New York" w:hAnsi="New York"/>
      <w:szCs w:val="20"/>
      <w:lang w:val="en-US"/>
    </w:rPr>
  </w:style>
  <w:style w:type="character" w:customStyle="1" w:styleId="TextonotapieCar">
    <w:name w:val="Texto nota pie Car"/>
    <w:aliases w:val="Footnote reference Car,FA Fu Car,Footnote Text Char Char Char Char Char Car,Footnote Text Char Char Char Char Car,Footnote Text Char Char Char Car,Footnote Text Cha Car,FA Fußnotentext Car,FA Fuﬂnotentext Car,FA Fu?notentext Car,C Car"/>
    <w:basedOn w:val="Fuentedeprrafopredeter"/>
    <w:link w:val="Textonotapie"/>
    <w:qFormat/>
    <w:rsid w:val="0028583A"/>
    <w:rPr>
      <w:rFonts w:ascii="New York" w:eastAsia="Times New Roman" w:hAnsi="New York" w:cs="Times New Roman"/>
      <w:sz w:val="20"/>
      <w:szCs w:val="20"/>
      <w:lang w:val="en-US" w:eastAsia="es-ES"/>
    </w:rPr>
  </w:style>
  <w:style w:type="paragraph" w:styleId="Textoindependiente">
    <w:name w:val="Body Text"/>
    <w:aliases w:val="Body Text Char,Body Text Char Car Car Car Car Car Car Car Car Car Car Car Car Car,Body Text Char Car Car Car Car Car Car Car Car Car Car Car Car"/>
    <w:basedOn w:val="Normal"/>
    <w:link w:val="TextoindependienteCar"/>
    <w:rsid w:val="0028583A"/>
    <w:pPr>
      <w:widowControl w:val="0"/>
      <w:overflowPunct w:val="0"/>
      <w:autoSpaceDE w:val="0"/>
      <w:autoSpaceDN w:val="0"/>
      <w:adjustRightInd w:val="0"/>
      <w:textAlignment w:val="baseline"/>
    </w:pPr>
    <w:rPr>
      <w:rFonts w:ascii="Times New Roman" w:hAnsi="Times New Roman"/>
      <w:sz w:val="24"/>
      <w:szCs w:val="20"/>
    </w:rPr>
  </w:style>
  <w:style w:type="character" w:customStyle="1" w:styleId="TextoindependienteCar">
    <w:name w:val="Texto independiente Car"/>
    <w:aliases w:val="Body Text Char Car,Body Text Char Car Car Car Car Car Car Car Car Car Car Car Car Car Car,Body Text Char Car Car Car Car Car Car Car Car Car Car Car Car Car1"/>
    <w:basedOn w:val="Fuentedeprrafopredeter"/>
    <w:link w:val="Textoindependiente"/>
    <w:rsid w:val="0028583A"/>
    <w:rPr>
      <w:rFonts w:ascii="Times New Roman" w:eastAsia="Times New Roman" w:hAnsi="Times New Roman" w:cs="Times New Roman"/>
      <w:sz w:val="24"/>
      <w:szCs w:val="20"/>
      <w:lang w:val="es-ES" w:eastAsia="es-ES"/>
    </w:rPr>
  </w:style>
  <w:style w:type="paragraph" w:customStyle="1" w:styleId="Textodebloque1">
    <w:name w:val="Texto de bloque1"/>
    <w:basedOn w:val="Normal"/>
    <w:rsid w:val="0028583A"/>
    <w:pPr>
      <w:overflowPunct w:val="0"/>
      <w:autoSpaceDE w:val="0"/>
      <w:autoSpaceDN w:val="0"/>
      <w:adjustRightInd w:val="0"/>
      <w:ind w:left="720" w:right="720"/>
      <w:textAlignment w:val="baseline"/>
    </w:pPr>
    <w:rPr>
      <w:sz w:val="18"/>
      <w:szCs w:val="20"/>
      <w:lang w:val="es-ES_tradnl"/>
    </w:rPr>
  </w:style>
  <w:style w:type="paragraph" w:customStyle="1" w:styleId="Sangradetindependiente">
    <w:name w:val="Sangr’a de t. independiente"/>
    <w:basedOn w:val="Normal"/>
    <w:rsid w:val="00CA27D0"/>
    <w:pPr>
      <w:overflowPunct w:val="0"/>
      <w:autoSpaceDE w:val="0"/>
      <w:autoSpaceDN w:val="0"/>
      <w:adjustRightInd w:val="0"/>
      <w:textAlignment w:val="baseline"/>
    </w:pPr>
    <w:rPr>
      <w:rFonts w:ascii="Helvetica" w:hAnsi="Helvetica"/>
      <w:sz w:val="18"/>
      <w:szCs w:val="20"/>
      <w:lang w:val="es-ES_tradnl"/>
    </w:rPr>
  </w:style>
  <w:style w:type="paragraph" w:styleId="Encabezado">
    <w:name w:val="header"/>
    <w:basedOn w:val="Normal"/>
    <w:link w:val="EncabezadoCar"/>
    <w:uiPriority w:val="99"/>
    <w:rsid w:val="00147BFF"/>
    <w:pPr>
      <w:tabs>
        <w:tab w:val="center" w:pos="4419"/>
        <w:tab w:val="right" w:pos="8838"/>
      </w:tabs>
    </w:pPr>
    <w:rPr>
      <w:rFonts w:ascii="Arial" w:hAnsi="Arial"/>
      <w:sz w:val="24"/>
      <w:szCs w:val="20"/>
      <w:lang w:val="en-US"/>
    </w:rPr>
  </w:style>
  <w:style w:type="character" w:customStyle="1" w:styleId="EncabezadoCar">
    <w:name w:val="Encabezado Car"/>
    <w:basedOn w:val="Fuentedeprrafopredeter"/>
    <w:link w:val="Encabezado"/>
    <w:uiPriority w:val="99"/>
    <w:rsid w:val="00147BFF"/>
    <w:rPr>
      <w:rFonts w:ascii="Arial" w:eastAsia="Times New Roman" w:hAnsi="Arial" w:cs="Times New Roman"/>
      <w:sz w:val="24"/>
      <w:szCs w:val="20"/>
      <w:lang w:val="en-US" w:eastAsia="es-ES"/>
    </w:rPr>
  </w:style>
  <w:style w:type="paragraph" w:styleId="Textoindependiente3">
    <w:name w:val="Body Text 3"/>
    <w:basedOn w:val="Normal"/>
    <w:link w:val="Textoindependiente3Car"/>
    <w:uiPriority w:val="99"/>
    <w:semiHidden/>
    <w:unhideWhenUsed/>
    <w:rsid w:val="00147BF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47BFF"/>
    <w:rPr>
      <w:sz w:val="16"/>
      <w:szCs w:val="16"/>
    </w:rPr>
  </w:style>
  <w:style w:type="paragraph" w:styleId="Sangra2detindependiente">
    <w:name w:val="Body Text Indent 2"/>
    <w:basedOn w:val="Normal"/>
    <w:link w:val="Sangra2detindependienteCar"/>
    <w:unhideWhenUsed/>
    <w:rsid w:val="00CE407B"/>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CE407B"/>
  </w:style>
  <w:style w:type="paragraph" w:customStyle="1" w:styleId="Textonotapie1">
    <w:name w:val="Texto nota pie1"/>
    <w:basedOn w:val="Normal"/>
    <w:semiHidden/>
    <w:rsid w:val="00CE407B"/>
    <w:rPr>
      <w:rFonts w:ascii="Times New Roman" w:hAnsi="Times New Roman"/>
      <w:szCs w:val="20"/>
      <w:lang w:val="es-ES_tradnl"/>
    </w:rPr>
  </w:style>
  <w:style w:type="paragraph" w:customStyle="1" w:styleId="Textoindependiente21">
    <w:name w:val="Texto independiente 21"/>
    <w:basedOn w:val="Normal"/>
    <w:rsid w:val="00CE407B"/>
    <w:pPr>
      <w:spacing w:line="360" w:lineRule="atLeast"/>
    </w:pPr>
    <w:rPr>
      <w:szCs w:val="20"/>
      <w:lang w:val="es-ES_tradnl"/>
    </w:rPr>
  </w:style>
  <w:style w:type="paragraph" w:customStyle="1" w:styleId="Lneadereferencia">
    <w:name w:val="Línea de referencia"/>
    <w:basedOn w:val="Textoindependiente21"/>
    <w:rsid w:val="00CE407B"/>
    <w:pPr>
      <w:spacing w:line="240" w:lineRule="auto"/>
    </w:pPr>
    <w:rPr>
      <w:rFonts w:ascii="Garamond" w:hAnsi="Garamond"/>
      <w:sz w:val="24"/>
    </w:rPr>
  </w:style>
  <w:style w:type="paragraph" w:styleId="Sangradetextonormal">
    <w:name w:val="Body Text Indent"/>
    <w:basedOn w:val="Normal"/>
    <w:link w:val="SangradetextonormalCar"/>
    <w:unhideWhenUsed/>
    <w:rsid w:val="00A63191"/>
    <w:pPr>
      <w:spacing w:after="120"/>
      <w:ind w:left="283"/>
    </w:pPr>
  </w:style>
  <w:style w:type="character" w:customStyle="1" w:styleId="SangradetextonormalCar">
    <w:name w:val="Sangría de texto normal Car"/>
    <w:basedOn w:val="Fuentedeprrafopredeter"/>
    <w:link w:val="Sangradetextonormal"/>
    <w:rsid w:val="00A63191"/>
  </w:style>
  <w:style w:type="character" w:customStyle="1" w:styleId="Ttulo8Car">
    <w:name w:val="Título 8 Car"/>
    <w:basedOn w:val="Fuentedeprrafopredeter"/>
    <w:link w:val="Ttulo8"/>
    <w:uiPriority w:val="9"/>
    <w:rsid w:val="002D2ADC"/>
    <w:rPr>
      <w:caps/>
      <w:spacing w:val="10"/>
      <w:sz w:val="20"/>
      <w:szCs w:val="20"/>
    </w:rPr>
  </w:style>
  <w:style w:type="paragraph" w:customStyle="1" w:styleId="Sangradetindependiente2">
    <w:name w:val="Sangría de t. independiente2"/>
    <w:basedOn w:val="Normal"/>
    <w:rsid w:val="00A63191"/>
    <w:pPr>
      <w:spacing w:line="360" w:lineRule="atLeast"/>
    </w:pPr>
    <w:rPr>
      <w:rFonts w:ascii="Arial" w:hAnsi="Arial" w:cs="Arial"/>
      <w:sz w:val="24"/>
      <w:lang w:val="es-ES_tradnl"/>
    </w:rPr>
  </w:style>
  <w:style w:type="paragraph" w:styleId="Textodebloque">
    <w:name w:val="Block Text"/>
    <w:basedOn w:val="Normal"/>
    <w:rsid w:val="00A63191"/>
    <w:pPr>
      <w:ind w:left="720" w:right="764"/>
    </w:pPr>
    <w:rPr>
      <w:rFonts w:ascii="Garamond" w:hAnsi="Garamond"/>
      <w:szCs w:val="20"/>
      <w:lang w:val="es-ES_tradnl"/>
    </w:rPr>
  </w:style>
  <w:style w:type="paragraph" w:customStyle="1" w:styleId="negritamayuscula">
    <w:name w:val="negrita mayuscula"/>
    <w:basedOn w:val="Normal"/>
    <w:rsid w:val="00A63191"/>
    <w:pPr>
      <w:widowControl w:val="0"/>
      <w:tabs>
        <w:tab w:val="left" w:pos="1120"/>
      </w:tabs>
      <w:spacing w:line="360" w:lineRule="atLeast"/>
    </w:pPr>
    <w:rPr>
      <w:rFonts w:ascii="Garamond" w:hAnsi="Garamond"/>
      <w:sz w:val="24"/>
      <w:lang w:val="es-ES_tradnl"/>
    </w:rPr>
  </w:style>
  <w:style w:type="paragraph" w:styleId="Textoindependiente2">
    <w:name w:val="Body Text 2"/>
    <w:basedOn w:val="Normal"/>
    <w:link w:val="Textoindependiente2Car"/>
    <w:unhideWhenUsed/>
    <w:rsid w:val="004A08BF"/>
    <w:pPr>
      <w:spacing w:after="120" w:line="480" w:lineRule="auto"/>
    </w:pPr>
  </w:style>
  <w:style w:type="character" w:customStyle="1" w:styleId="Textoindependiente2Car">
    <w:name w:val="Texto independiente 2 Car"/>
    <w:basedOn w:val="Fuentedeprrafopredeter"/>
    <w:link w:val="Textoindependiente2"/>
    <w:rsid w:val="004A08BF"/>
  </w:style>
  <w:style w:type="paragraph" w:customStyle="1" w:styleId="Textoindependiente20">
    <w:name w:val="Texto independiente2"/>
    <w:basedOn w:val="Normal"/>
    <w:rsid w:val="005D0D78"/>
    <w:pPr>
      <w:spacing w:before="60" w:after="60"/>
    </w:pPr>
    <w:rPr>
      <w:rFonts w:ascii="Times New Roman" w:hAnsi="Times New Roman"/>
      <w:sz w:val="24"/>
      <w:szCs w:val="20"/>
      <w:lang w:val="es-ES_tradnl"/>
    </w:rPr>
  </w:style>
  <w:style w:type="paragraph" w:customStyle="1" w:styleId="Textomacro1">
    <w:name w:val="Texto macro1"/>
    <w:basedOn w:val="Normal"/>
    <w:rsid w:val="005D0D78"/>
    <w:pPr>
      <w:spacing w:before="60" w:after="60"/>
    </w:pPr>
    <w:rPr>
      <w:sz w:val="24"/>
      <w:szCs w:val="20"/>
      <w:lang w:val="es-ES_tradnl"/>
    </w:rPr>
  </w:style>
  <w:style w:type="paragraph" w:styleId="Ttulo">
    <w:name w:val="Title"/>
    <w:basedOn w:val="Normal"/>
    <w:next w:val="Normal"/>
    <w:link w:val="TtuloCar"/>
    <w:uiPriority w:val="10"/>
    <w:qFormat/>
    <w:rsid w:val="002D2ADC"/>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tuloCar">
    <w:name w:val="Título Car"/>
    <w:basedOn w:val="Fuentedeprrafopredeter"/>
    <w:link w:val="Ttulo"/>
    <w:uiPriority w:val="10"/>
    <w:rsid w:val="002D2ADC"/>
    <w:rPr>
      <w:caps/>
      <w:color w:val="632423" w:themeColor="accent2" w:themeShade="80"/>
      <w:spacing w:val="50"/>
      <w:sz w:val="44"/>
      <w:szCs w:val="44"/>
    </w:rPr>
  </w:style>
  <w:style w:type="character" w:customStyle="1" w:styleId="1">
    <w:name w:val="1"/>
    <w:rsid w:val="008B1E3D"/>
    <w:rPr>
      <w:rFonts w:ascii="Baskerville Old Face" w:hAnsi="Baskerville Old Face"/>
      <w:sz w:val="28"/>
    </w:rPr>
  </w:style>
  <w:style w:type="character" w:styleId="nfasis">
    <w:name w:val="Emphasis"/>
    <w:uiPriority w:val="20"/>
    <w:qFormat/>
    <w:rsid w:val="002D2ADC"/>
    <w:rPr>
      <w:caps/>
      <w:spacing w:val="5"/>
      <w:sz w:val="20"/>
      <w:szCs w:val="20"/>
    </w:rPr>
  </w:style>
  <w:style w:type="character" w:customStyle="1" w:styleId="Ttulo3Car">
    <w:name w:val="Título 3 Car"/>
    <w:basedOn w:val="Fuentedeprrafopredeter"/>
    <w:link w:val="Ttulo3"/>
    <w:uiPriority w:val="9"/>
    <w:rsid w:val="00681B0D"/>
    <w:rPr>
      <w:rFonts w:ascii="Verdana" w:hAnsi="Verdana"/>
      <w:b/>
      <w:bCs/>
      <w:caps/>
      <w:sz w:val="20"/>
      <w:szCs w:val="20"/>
    </w:rPr>
  </w:style>
  <w:style w:type="paragraph" w:customStyle="1" w:styleId="JuPara">
    <w:name w:val="Ju_Para"/>
    <w:basedOn w:val="Normal"/>
    <w:rsid w:val="009B6643"/>
    <w:pPr>
      <w:suppressAutoHyphens/>
      <w:ind w:firstLine="284"/>
    </w:pPr>
    <w:rPr>
      <w:rFonts w:ascii="Times" w:hAnsi="Times" w:cs="Times"/>
      <w:sz w:val="24"/>
      <w:lang w:val="en-GB" w:eastAsia="fr-FR"/>
    </w:rPr>
  </w:style>
  <w:style w:type="character" w:styleId="Hipervnculo">
    <w:name w:val="Hyperlink"/>
    <w:basedOn w:val="Fuentedeprrafopredeter"/>
    <w:uiPriority w:val="99"/>
    <w:rsid w:val="00F71BC4"/>
    <w:rPr>
      <w:color w:val="0000FF"/>
      <w:u w:val="single"/>
    </w:rPr>
  </w:style>
  <w:style w:type="paragraph" w:customStyle="1" w:styleId="Sangradetindependiente0">
    <w:name w:val="Sangría de t. independiente"/>
    <w:basedOn w:val="Normal"/>
    <w:rsid w:val="00F71BC4"/>
    <w:rPr>
      <w:rFonts w:ascii="Helvetica" w:hAnsi="Helvetica"/>
      <w:sz w:val="18"/>
      <w:szCs w:val="20"/>
      <w:lang w:val="es-ES_tradnl"/>
    </w:rPr>
  </w:style>
  <w:style w:type="paragraph" w:customStyle="1" w:styleId="ndice91">
    <w:name w:val="Índice 91"/>
    <w:basedOn w:val="Normal"/>
    <w:rsid w:val="00F71BC4"/>
    <w:pPr>
      <w:jc w:val="center"/>
    </w:pPr>
    <w:rPr>
      <w:rFonts w:ascii="Apple Chancery" w:hAnsi="Apple Chancery"/>
      <w:b/>
      <w:szCs w:val="20"/>
      <w:lang w:val="es-ES_tradnl"/>
    </w:rPr>
  </w:style>
  <w:style w:type="character" w:customStyle="1" w:styleId="Ttulo2Car">
    <w:name w:val="Título 2 Car"/>
    <w:basedOn w:val="Fuentedeprrafopredeter"/>
    <w:link w:val="Ttulo2"/>
    <w:uiPriority w:val="9"/>
    <w:rsid w:val="00681B0D"/>
    <w:rPr>
      <w:rFonts w:ascii="Verdana" w:hAnsi="Verdana"/>
      <w:b/>
      <w:bCs/>
      <w:spacing w:val="15"/>
      <w:lang w:val="es-CR"/>
    </w:rPr>
  </w:style>
  <w:style w:type="paragraph" w:styleId="NormalWeb">
    <w:name w:val="Normal (Web)"/>
    <w:aliases w:val="Normal (Web) Char1,Normal (Web) Char Char,Normal (Web) Char1 Char,Normal (Web) Char Char Char"/>
    <w:basedOn w:val="Normal"/>
    <w:uiPriority w:val="99"/>
    <w:rsid w:val="004D4800"/>
    <w:pPr>
      <w:spacing w:before="100" w:beforeAutospacing="1" w:after="100" w:afterAutospacing="1"/>
    </w:pPr>
    <w:rPr>
      <w:rFonts w:ascii="Arial Unicode MS" w:eastAsia="Arial Unicode MS" w:hAnsi="Arial Unicode MS" w:cs="Arial Unicode MS"/>
      <w:sz w:val="24"/>
    </w:rPr>
  </w:style>
  <w:style w:type="character" w:customStyle="1" w:styleId="TextonotapieCar1">
    <w:name w:val="Texto nota pie Car1"/>
    <w:aliases w:val="Footnote Text Char Char Char Char Char Car1,Footnote Text Char Char Char Char Car1,Footnote reference Car1,FA Fu Car1,Footnote Text Char Char Char Car1,Footnote Text Cha Car1,FA Fußnotentext Car1,FA Fu?notentext Car1,Ca Car,Ca Car1"/>
    <w:basedOn w:val="Fuentedeprrafopredeter"/>
    <w:uiPriority w:val="99"/>
    <w:rsid w:val="004D4800"/>
    <w:rPr>
      <w:lang w:val="es-ES" w:eastAsia="es-ES" w:bidi="ar-SA"/>
    </w:rPr>
  </w:style>
  <w:style w:type="character" w:styleId="MquinadeescribirHTML">
    <w:name w:val="HTML Typewriter"/>
    <w:basedOn w:val="Fuentedeprrafopredeter"/>
    <w:rsid w:val="00D7252B"/>
    <w:rPr>
      <w:rFonts w:ascii="Courier New" w:eastAsia="Times New Roman" w:hAnsi="Courier New" w:cs="Courier New"/>
      <w:sz w:val="20"/>
      <w:szCs w:val="20"/>
    </w:rPr>
  </w:style>
  <w:style w:type="character" w:customStyle="1" w:styleId="Ttulo5Car">
    <w:name w:val="Título 5 Car"/>
    <w:basedOn w:val="Fuentedeprrafopredeter"/>
    <w:link w:val="Ttulo5"/>
    <w:uiPriority w:val="9"/>
    <w:rsid w:val="002D2ADC"/>
    <w:rPr>
      <w:caps/>
      <w:color w:val="622423" w:themeColor="accent2" w:themeShade="7F"/>
      <w:spacing w:val="10"/>
    </w:rPr>
  </w:style>
  <w:style w:type="character" w:styleId="Textoennegrita">
    <w:name w:val="Strong"/>
    <w:uiPriority w:val="22"/>
    <w:qFormat/>
    <w:rsid w:val="002D2ADC"/>
    <w:rPr>
      <w:b/>
      <w:bCs/>
      <w:color w:val="943634" w:themeColor="accent2" w:themeShade="BF"/>
      <w:spacing w:val="5"/>
    </w:rPr>
  </w:style>
  <w:style w:type="character" w:customStyle="1" w:styleId="apple-style-span">
    <w:name w:val="apple-style-span"/>
    <w:basedOn w:val="Fuentedeprrafopredeter"/>
    <w:rsid w:val="005E31D7"/>
  </w:style>
  <w:style w:type="character" w:customStyle="1" w:styleId="Ttulo1Car">
    <w:name w:val="Título 1 Car"/>
    <w:basedOn w:val="Fuentedeprrafopredeter"/>
    <w:link w:val="Ttulo1"/>
    <w:uiPriority w:val="9"/>
    <w:rsid w:val="00681B0D"/>
    <w:rPr>
      <w:rFonts w:ascii="Verdana" w:hAnsi="Verdana"/>
      <w:b/>
      <w:caps/>
      <w:spacing w:val="20"/>
      <w:sz w:val="24"/>
      <w:szCs w:val="24"/>
    </w:rPr>
  </w:style>
  <w:style w:type="character" w:customStyle="1" w:styleId="Ttulo4Car">
    <w:name w:val="Título 4 Car"/>
    <w:basedOn w:val="Fuentedeprrafopredeter"/>
    <w:link w:val="Ttulo4"/>
    <w:uiPriority w:val="9"/>
    <w:rsid w:val="002D2ADC"/>
    <w:rPr>
      <w:caps/>
      <w:color w:val="622423" w:themeColor="accent2" w:themeShade="7F"/>
      <w:spacing w:val="10"/>
    </w:rPr>
  </w:style>
  <w:style w:type="character" w:customStyle="1" w:styleId="Ttulo6Car">
    <w:name w:val="Título 6 Car"/>
    <w:basedOn w:val="Fuentedeprrafopredeter"/>
    <w:link w:val="Ttulo6"/>
    <w:uiPriority w:val="9"/>
    <w:rsid w:val="002D2ADC"/>
    <w:rPr>
      <w:caps/>
      <w:color w:val="943634" w:themeColor="accent2" w:themeShade="BF"/>
      <w:spacing w:val="10"/>
    </w:rPr>
  </w:style>
  <w:style w:type="paragraph" w:customStyle="1" w:styleId="EstiloTtulo2Verdana10ptAntes6ptoDespus6pto">
    <w:name w:val="Estilo Título 2 + Verdana 10 pt Antes:  6 pto Después:  6 pto"/>
    <w:basedOn w:val="Ttulo2"/>
    <w:rsid w:val="00F27029"/>
    <w:pPr>
      <w:spacing w:before="0"/>
    </w:pPr>
    <w:rPr>
      <w:b w:val="0"/>
      <w:bCs w:val="0"/>
      <w:smallCaps/>
      <w:sz w:val="20"/>
      <w:szCs w:val="20"/>
      <w:lang w:val="es-ES_tradnl"/>
    </w:rPr>
  </w:style>
  <w:style w:type="paragraph" w:customStyle="1" w:styleId="StyleHeading3Left049Hanging001After12pt">
    <w:name w:val="Style Heading 3 + Left:  0.49&quot; Hanging:  0.01&quot; After:  12 pt"/>
    <w:basedOn w:val="Ttulo3"/>
    <w:rsid w:val="00F27029"/>
    <w:pPr>
      <w:spacing w:before="240" w:after="240"/>
      <w:ind w:left="706"/>
      <w:jc w:val="both"/>
    </w:pPr>
    <w:rPr>
      <w:b w:val="0"/>
      <w:bCs w:val="0"/>
      <w:i/>
      <w:iCs/>
      <w:lang w:val="es-ES_tradnl"/>
    </w:rPr>
  </w:style>
  <w:style w:type="table" w:styleId="Tablaconcuadrcula">
    <w:name w:val="Table Grid"/>
    <w:basedOn w:val="Tablanormal"/>
    <w:rsid w:val="00F27029"/>
    <w:pPr>
      <w:spacing w:after="0" w:line="240" w:lineRule="auto"/>
    </w:pPr>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
    <w:rsid w:val="00F27029"/>
    <w:rPr>
      <w:rFonts w:eastAsia="Batang"/>
      <w:szCs w:val="20"/>
      <w:lang w:val="es-ES_tradnl"/>
    </w:rPr>
  </w:style>
  <w:style w:type="character" w:customStyle="1" w:styleId="TextonotaalfinalCar">
    <w:name w:val="Texto nota al final Car"/>
    <w:basedOn w:val="Fuentedeprrafopredeter"/>
    <w:link w:val="Textonotaalfinal"/>
    <w:rsid w:val="00F27029"/>
    <w:rPr>
      <w:rFonts w:ascii="Verdana" w:eastAsia="Batang" w:hAnsi="Verdana" w:cs="Times New Roman"/>
      <w:sz w:val="20"/>
      <w:szCs w:val="20"/>
      <w:lang w:val="es-ES_tradnl"/>
    </w:rPr>
  </w:style>
  <w:style w:type="paragraph" w:styleId="Sangra3detindependiente">
    <w:name w:val="Body Text Indent 3"/>
    <w:basedOn w:val="Normal"/>
    <w:link w:val="Sangra3detindependienteCar"/>
    <w:rsid w:val="00F27029"/>
    <w:pPr>
      <w:spacing w:after="120"/>
      <w:ind w:left="360"/>
    </w:pPr>
    <w:rPr>
      <w:rFonts w:eastAsia="Batang"/>
      <w:sz w:val="16"/>
      <w:szCs w:val="16"/>
      <w:lang w:val="es-ES_tradnl"/>
    </w:rPr>
  </w:style>
  <w:style w:type="character" w:customStyle="1" w:styleId="Sangra3detindependienteCar">
    <w:name w:val="Sangría 3 de t. independiente Car"/>
    <w:basedOn w:val="Fuentedeprrafopredeter"/>
    <w:link w:val="Sangra3detindependiente"/>
    <w:rsid w:val="00F27029"/>
    <w:rPr>
      <w:rFonts w:ascii="Verdana" w:eastAsia="Batang" w:hAnsi="Verdana" w:cs="Times New Roman"/>
      <w:sz w:val="16"/>
      <w:szCs w:val="16"/>
      <w:lang w:val="es-ES_tradnl"/>
    </w:rPr>
  </w:style>
  <w:style w:type="paragraph" w:styleId="Piedepgina">
    <w:name w:val="footer"/>
    <w:basedOn w:val="Normal"/>
    <w:link w:val="PiedepginaCar"/>
    <w:uiPriority w:val="99"/>
    <w:rsid w:val="00F27029"/>
    <w:pPr>
      <w:tabs>
        <w:tab w:val="center" w:pos="4320"/>
        <w:tab w:val="right" w:pos="8640"/>
      </w:tabs>
    </w:pPr>
    <w:rPr>
      <w:rFonts w:eastAsia="Batang"/>
      <w:sz w:val="24"/>
      <w:lang w:val="es-ES_tradnl"/>
    </w:rPr>
  </w:style>
  <w:style w:type="character" w:customStyle="1" w:styleId="PiedepginaCar">
    <w:name w:val="Pie de página Car"/>
    <w:basedOn w:val="Fuentedeprrafopredeter"/>
    <w:link w:val="Piedepgina"/>
    <w:uiPriority w:val="99"/>
    <w:rsid w:val="00F27029"/>
    <w:rPr>
      <w:rFonts w:ascii="Verdana" w:eastAsia="Batang" w:hAnsi="Verdana" w:cs="Times New Roman"/>
      <w:sz w:val="24"/>
      <w:szCs w:val="24"/>
      <w:lang w:val="es-ES_tradnl"/>
    </w:rPr>
  </w:style>
  <w:style w:type="character" w:styleId="Nmerodepgina">
    <w:name w:val="page number"/>
    <w:basedOn w:val="Fuentedeprrafopredeter"/>
    <w:uiPriority w:val="99"/>
    <w:rsid w:val="00F27029"/>
  </w:style>
  <w:style w:type="paragraph" w:styleId="Textosinformato">
    <w:name w:val="Plain Text"/>
    <w:basedOn w:val="Normal"/>
    <w:link w:val="TextosinformatoCar"/>
    <w:rsid w:val="00F27029"/>
    <w:rPr>
      <w:rFonts w:ascii="Courier New" w:hAnsi="Courier New" w:cs="Courier New"/>
      <w:szCs w:val="20"/>
      <w:lang w:val="en-US"/>
    </w:rPr>
  </w:style>
  <w:style w:type="character" w:customStyle="1" w:styleId="TextosinformatoCar">
    <w:name w:val="Texto sin formato Car"/>
    <w:basedOn w:val="Fuentedeprrafopredeter"/>
    <w:link w:val="Textosinformato"/>
    <w:rsid w:val="00F27029"/>
    <w:rPr>
      <w:rFonts w:ascii="Courier New" w:eastAsia="Times New Roman" w:hAnsi="Courier New" w:cs="Courier New"/>
      <w:sz w:val="20"/>
      <w:szCs w:val="20"/>
      <w:lang w:val="en-US"/>
    </w:rPr>
  </w:style>
  <w:style w:type="paragraph" w:styleId="Revisin">
    <w:name w:val="Revision"/>
    <w:hidden/>
    <w:uiPriority w:val="99"/>
    <w:semiHidden/>
    <w:rsid w:val="00F27029"/>
    <w:pPr>
      <w:spacing w:after="0" w:line="240" w:lineRule="auto"/>
    </w:pPr>
    <w:rPr>
      <w:rFonts w:ascii="Verdana" w:eastAsia="Batang" w:hAnsi="Verdana" w:cs="Times New Roman"/>
      <w:sz w:val="24"/>
      <w:szCs w:val="24"/>
      <w:lang w:val="es-ES_tradnl"/>
    </w:rPr>
  </w:style>
  <w:style w:type="character" w:customStyle="1" w:styleId="longtext">
    <w:name w:val="long_text"/>
    <w:basedOn w:val="Fuentedeprrafopredeter"/>
    <w:rsid w:val="00F27029"/>
    <w:rPr>
      <w:rFonts w:cs="Times New Roman"/>
    </w:rPr>
  </w:style>
  <w:style w:type="paragraph" w:customStyle="1" w:styleId="Default">
    <w:name w:val="Default"/>
    <w:rsid w:val="00F2702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CharacterStyle3">
    <w:name w:val="Character Style 3"/>
    <w:rsid w:val="00F27029"/>
    <w:rPr>
      <w:sz w:val="20"/>
    </w:rPr>
  </w:style>
  <w:style w:type="character" w:customStyle="1" w:styleId="apple-converted-space">
    <w:name w:val="apple-converted-space"/>
    <w:basedOn w:val="Fuentedeprrafopredeter"/>
    <w:rsid w:val="00F27029"/>
  </w:style>
  <w:style w:type="paragraph" w:styleId="Mapadeldocumento">
    <w:name w:val="Document Map"/>
    <w:basedOn w:val="Normal"/>
    <w:link w:val="MapadeldocumentoCar"/>
    <w:rsid w:val="00F27029"/>
    <w:rPr>
      <w:rFonts w:ascii="Tahoma" w:eastAsia="Batang" w:hAnsi="Tahoma" w:cs="Tahoma"/>
      <w:sz w:val="16"/>
      <w:szCs w:val="16"/>
      <w:lang w:val="es-ES_tradnl"/>
    </w:rPr>
  </w:style>
  <w:style w:type="character" w:customStyle="1" w:styleId="MapadeldocumentoCar">
    <w:name w:val="Mapa del documento Car"/>
    <w:basedOn w:val="Fuentedeprrafopredeter"/>
    <w:link w:val="Mapadeldocumento"/>
    <w:rsid w:val="00F27029"/>
    <w:rPr>
      <w:rFonts w:ascii="Tahoma" w:eastAsia="Batang" w:hAnsi="Tahoma" w:cs="Tahoma"/>
      <w:sz w:val="16"/>
      <w:szCs w:val="16"/>
      <w:lang w:val="es-ES_tradnl"/>
    </w:rPr>
  </w:style>
  <w:style w:type="paragraph" w:styleId="Prrafodelista">
    <w:name w:val="List Paragraph"/>
    <w:aliases w:val="Footnote,List Paragraph1,Colorful List - Accent 11,Párrafo de lista1,List Paragraph2,Lista vistosa - Énfasis 11"/>
    <w:basedOn w:val="Normal"/>
    <w:uiPriority w:val="34"/>
    <w:qFormat/>
    <w:rsid w:val="002D2ADC"/>
    <w:pPr>
      <w:ind w:left="720"/>
      <w:contextualSpacing/>
    </w:pPr>
  </w:style>
  <w:style w:type="paragraph" w:customStyle="1" w:styleId="cptname">
    <w:name w:val="cptname"/>
    <w:basedOn w:val="Normal"/>
    <w:rsid w:val="00F27029"/>
    <w:pPr>
      <w:snapToGrid w:val="0"/>
      <w:ind w:left="454"/>
    </w:pPr>
    <w:rPr>
      <w:rFonts w:ascii="Arial" w:eastAsia="Calibri" w:hAnsi="Arial" w:cs="Arial"/>
      <w:b/>
      <w:bCs/>
      <w:szCs w:val="20"/>
      <w:lang w:val="en-US"/>
    </w:rPr>
  </w:style>
  <w:style w:type="character" w:customStyle="1" w:styleId="doctitle2">
    <w:name w:val="doctitle2"/>
    <w:basedOn w:val="Fuentedeprrafopredeter"/>
    <w:rsid w:val="00F27029"/>
    <w:rPr>
      <w:b/>
      <w:bCs/>
      <w:color w:val="333333"/>
    </w:rPr>
  </w:style>
  <w:style w:type="character" w:styleId="Refdenotaalfinal">
    <w:name w:val="endnote reference"/>
    <w:basedOn w:val="Fuentedeprrafopredeter"/>
    <w:rsid w:val="00F27029"/>
    <w:rPr>
      <w:vertAlign w:val="superscript"/>
    </w:rPr>
  </w:style>
  <w:style w:type="paragraph" w:customStyle="1" w:styleId="Prrafodelista2">
    <w:name w:val="Párrafo de lista2"/>
    <w:basedOn w:val="Normal"/>
    <w:uiPriority w:val="99"/>
    <w:rsid w:val="00F27029"/>
    <w:pPr>
      <w:ind w:left="720"/>
    </w:pPr>
    <w:rPr>
      <w:rFonts w:eastAsia="MS Mincho"/>
      <w:szCs w:val="20"/>
      <w:lang w:val="es-ES_tradnl"/>
    </w:rPr>
  </w:style>
  <w:style w:type="paragraph" w:customStyle="1" w:styleId="NormalNumbered">
    <w:name w:val="Normal Numbered"/>
    <w:basedOn w:val="Normal"/>
    <w:link w:val="NormalNumberedChar"/>
    <w:qFormat/>
    <w:rsid w:val="00890B82"/>
    <w:pPr>
      <w:spacing w:after="100" w:afterAutospacing="1" w:line="264" w:lineRule="auto"/>
      <w:ind w:left="1416"/>
    </w:pPr>
    <w:rPr>
      <w:sz w:val="18"/>
      <w:szCs w:val="18"/>
    </w:rPr>
  </w:style>
  <w:style w:type="character" w:customStyle="1" w:styleId="NormalNumberedChar">
    <w:name w:val="Normal Numbered Char"/>
    <w:link w:val="NormalNumbered"/>
    <w:rsid w:val="00890B82"/>
    <w:rPr>
      <w:rFonts w:ascii="Verdana" w:hAnsi="Verdana"/>
      <w:sz w:val="18"/>
      <w:szCs w:val="18"/>
    </w:rPr>
  </w:style>
  <w:style w:type="character" w:customStyle="1" w:styleId="Cuadrculaclara-nfasis3Car">
    <w:name w:val="Cuadrícula clara - Énfasis 3 Car"/>
    <w:aliases w:val="Footnote Car,Colorful List - Accent 11 Car,Párrafo de lista Car1"/>
    <w:link w:val="Cuadrculaclara-nfasis3"/>
    <w:rsid w:val="008628EA"/>
    <w:rPr>
      <w:rFonts w:ascii="Verdana" w:eastAsia="Batang" w:hAnsi="Verdana" w:cs="Times"/>
      <w:sz w:val="20"/>
      <w:szCs w:val="24"/>
      <w:lang w:val="es-ES_tradnl"/>
    </w:rPr>
  </w:style>
  <w:style w:type="table" w:styleId="Cuadrculaclara-nfasis3">
    <w:name w:val="Light Grid Accent 3"/>
    <w:basedOn w:val="Tablanormal"/>
    <w:link w:val="Cuadrculaclara-nfasis3Car"/>
    <w:uiPriority w:val="34"/>
    <w:semiHidden/>
    <w:unhideWhenUsed/>
    <w:rsid w:val="008628EA"/>
    <w:pPr>
      <w:spacing w:after="0" w:line="240" w:lineRule="auto"/>
    </w:pPr>
    <w:rPr>
      <w:rFonts w:ascii="Verdana" w:eastAsia="Batang" w:hAnsi="Verdana" w:cs="Times"/>
      <w:sz w:val="20"/>
      <w:szCs w:val="24"/>
      <w:lang w:val="es-ES_tradn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lastCol">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TextonotaalfinalCar1">
    <w:name w:val="Texto nota al final Car1"/>
    <w:basedOn w:val="Fuentedeprrafopredeter"/>
    <w:rsid w:val="00E47E38"/>
    <w:rPr>
      <w:rFonts w:ascii="CG Times" w:eastAsia="MS Mincho" w:hAnsi="CG Times" w:cs="Times New Roman"/>
      <w:szCs w:val="20"/>
      <w:lang w:val="es-ES_tradnl"/>
    </w:rPr>
  </w:style>
  <w:style w:type="paragraph" w:customStyle="1" w:styleId="Enelmismo">
    <w:name w:val="En el mismo"/>
    <w:basedOn w:val="Normal"/>
    <w:link w:val="EnelmismoCar"/>
    <w:autoRedefine/>
    <w:qFormat/>
    <w:rsid w:val="00495143"/>
    <w:pPr>
      <w:spacing w:after="100" w:afterAutospacing="1" w:line="264" w:lineRule="auto"/>
    </w:pPr>
    <w:rPr>
      <w:b/>
      <w:i/>
      <w:sz w:val="18"/>
      <w:szCs w:val="18"/>
    </w:rPr>
  </w:style>
  <w:style w:type="character" w:customStyle="1" w:styleId="EnelmismoCar">
    <w:name w:val="En el mismo Car"/>
    <w:link w:val="Enelmismo"/>
    <w:rsid w:val="00495143"/>
    <w:rPr>
      <w:rFonts w:ascii="Verdana" w:hAnsi="Verdana"/>
      <w:b/>
      <w:i/>
      <w:sz w:val="18"/>
      <w:szCs w:val="18"/>
    </w:rPr>
  </w:style>
  <w:style w:type="paragraph" w:customStyle="1" w:styleId="Footnotes">
    <w:name w:val="**. Footnotes"/>
    <w:basedOn w:val="Textonotapie"/>
    <w:link w:val="FootnotesChar"/>
    <w:autoRedefine/>
    <w:qFormat/>
    <w:rsid w:val="004B5C42"/>
    <w:pPr>
      <w:overflowPunct/>
      <w:autoSpaceDE/>
      <w:autoSpaceDN/>
      <w:adjustRightInd/>
      <w:spacing w:before="120" w:after="120"/>
      <w:textAlignment w:val="auto"/>
    </w:pPr>
    <w:rPr>
      <w:rFonts w:ascii="Verdana" w:hAnsi="Verdana"/>
      <w:bCs/>
      <w:iCs/>
      <w:sz w:val="16"/>
      <w:szCs w:val="16"/>
      <w:lang w:val="es-ES"/>
    </w:rPr>
  </w:style>
  <w:style w:type="character" w:customStyle="1" w:styleId="FootnotesChar">
    <w:name w:val="**. Footnotes Char"/>
    <w:link w:val="Footnotes"/>
    <w:rsid w:val="004B5C42"/>
    <w:rPr>
      <w:rFonts w:ascii="Verdana" w:eastAsia="Times New Roman" w:hAnsi="Verdana" w:cs="Times New Roman"/>
      <w:bCs/>
      <w:iCs/>
      <w:sz w:val="16"/>
      <w:szCs w:val="16"/>
      <w:lang w:val="es-ES"/>
    </w:rPr>
  </w:style>
  <w:style w:type="paragraph" w:customStyle="1" w:styleId="Prrafodelista4">
    <w:name w:val="Párrafo de lista4"/>
    <w:basedOn w:val="Normal"/>
    <w:link w:val="PrrafodelistaCar"/>
    <w:uiPriority w:val="99"/>
    <w:rsid w:val="007E4168"/>
    <w:pPr>
      <w:ind w:left="720"/>
    </w:pPr>
    <w:rPr>
      <w:szCs w:val="20"/>
      <w:lang w:val="es-ES_tradnl"/>
    </w:rPr>
  </w:style>
  <w:style w:type="character" w:customStyle="1" w:styleId="PrrafodelistaCar">
    <w:name w:val="Párrafo de lista Car"/>
    <w:aliases w:val="List Paragraph1 Car,Párrafo de lista1 Car,List Paragraph2 Car,Lista vistosa - Énfasis 11 Car"/>
    <w:link w:val="Prrafodelista4"/>
    <w:uiPriority w:val="34"/>
    <w:locked/>
    <w:rsid w:val="007E4168"/>
    <w:rPr>
      <w:rFonts w:ascii="Verdana" w:eastAsia="Times New Roman" w:hAnsi="Verdana" w:cs="Times New Roman"/>
      <w:sz w:val="20"/>
      <w:szCs w:val="20"/>
      <w:lang w:val="es-ES_tradnl"/>
    </w:rPr>
  </w:style>
  <w:style w:type="paragraph" w:customStyle="1" w:styleId="Caso">
    <w:name w:val="Caso"/>
    <w:basedOn w:val="Normal"/>
    <w:link w:val="CasoCar"/>
    <w:qFormat/>
    <w:rsid w:val="00B6105B"/>
    <w:pPr>
      <w:tabs>
        <w:tab w:val="left" w:pos="567"/>
        <w:tab w:val="left" w:pos="1134"/>
        <w:tab w:val="num" w:pos="6042"/>
      </w:tabs>
    </w:pPr>
    <w:rPr>
      <w:rFonts w:eastAsia="Calibri"/>
      <w:b/>
      <w:szCs w:val="20"/>
    </w:rPr>
  </w:style>
  <w:style w:type="paragraph" w:customStyle="1" w:styleId="Estilo2">
    <w:name w:val="Estilo2"/>
    <w:basedOn w:val="Normal"/>
    <w:link w:val="Estilo2Car"/>
    <w:qFormat/>
    <w:rsid w:val="000B5470"/>
    <w:pPr>
      <w:tabs>
        <w:tab w:val="left" w:pos="567"/>
        <w:tab w:val="left" w:pos="1134"/>
        <w:tab w:val="num" w:pos="4767"/>
      </w:tabs>
      <w:spacing w:after="120"/>
      <w:ind w:firstLine="357"/>
    </w:pPr>
    <w:rPr>
      <w:rFonts w:eastAsia="Calibri"/>
      <w:szCs w:val="20"/>
    </w:rPr>
  </w:style>
  <w:style w:type="character" w:customStyle="1" w:styleId="CasoCar">
    <w:name w:val="Caso Car"/>
    <w:link w:val="Caso"/>
    <w:rsid w:val="00B6105B"/>
    <w:rPr>
      <w:rFonts w:ascii="Verdana" w:eastAsia="Calibri" w:hAnsi="Verdana" w:cs="Times New Roman"/>
      <w:b/>
      <w:sz w:val="20"/>
      <w:szCs w:val="20"/>
      <w:lang w:val="es-CL" w:eastAsia="es-MX"/>
    </w:rPr>
  </w:style>
  <w:style w:type="paragraph" w:customStyle="1" w:styleId="Estilo8">
    <w:name w:val="Estilo8"/>
    <w:basedOn w:val="Enelmismo"/>
    <w:link w:val="Estilo8Car"/>
    <w:rsid w:val="000B5470"/>
    <w:pPr>
      <w:numPr>
        <w:ilvl w:val="2"/>
        <w:numId w:val="1"/>
      </w:numPr>
      <w:tabs>
        <w:tab w:val="left" w:pos="567"/>
        <w:tab w:val="left" w:pos="851"/>
      </w:tabs>
      <w:ind w:left="0" w:firstLine="567"/>
    </w:pPr>
    <w:rPr>
      <w:lang w:val="es-ES_tradnl"/>
    </w:rPr>
  </w:style>
  <w:style w:type="character" w:customStyle="1" w:styleId="Estilo8Car">
    <w:name w:val="Estilo8 Car"/>
    <w:basedOn w:val="EnelmismoCar"/>
    <w:link w:val="Estilo8"/>
    <w:rsid w:val="000B5470"/>
    <w:rPr>
      <w:rFonts w:ascii="Verdana" w:eastAsia="Batang" w:hAnsi="Verdana" w:cs="Times New Roman"/>
      <w:b/>
      <w:i/>
      <w:sz w:val="20"/>
      <w:szCs w:val="20"/>
      <w:lang w:val="es-ES_tradnl" w:eastAsia="es-MX"/>
    </w:rPr>
  </w:style>
  <w:style w:type="paragraph" w:customStyle="1" w:styleId="Normal1">
    <w:name w:val="Normal1"/>
    <w:link w:val="NormalChar"/>
    <w:rsid w:val="000B5470"/>
    <w:pPr>
      <w:autoSpaceDE w:val="0"/>
      <w:autoSpaceDN w:val="0"/>
      <w:adjustRightInd w:val="0"/>
      <w:ind w:left="1080" w:hanging="360"/>
      <w:contextualSpacing/>
      <w:jc w:val="both"/>
    </w:pPr>
    <w:rPr>
      <w:rFonts w:ascii="Verdana" w:eastAsia="Times New Roman" w:hAnsi="Verdana" w:cs="Times New Roman"/>
      <w:sz w:val="20"/>
      <w:szCs w:val="20"/>
      <w:lang w:val="es-CR"/>
    </w:rPr>
  </w:style>
  <w:style w:type="character" w:customStyle="1" w:styleId="NormalChar">
    <w:name w:val="Normal Char"/>
    <w:link w:val="Normal1"/>
    <w:rsid w:val="000B5470"/>
    <w:rPr>
      <w:rFonts w:ascii="Verdana" w:eastAsia="Times New Roman" w:hAnsi="Verdana" w:cs="Times New Roman"/>
      <w:sz w:val="20"/>
      <w:szCs w:val="20"/>
      <w:lang w:val="es-CR"/>
    </w:rPr>
  </w:style>
  <w:style w:type="table" w:styleId="Listavistosa-nfasis1">
    <w:name w:val="Colorful List Accent 1"/>
    <w:basedOn w:val="Tablanormal"/>
    <w:uiPriority w:val="72"/>
    <w:semiHidden/>
    <w:unhideWhenUsed/>
    <w:rsid w:val="000B5470"/>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Caracteresdenotafinal">
    <w:name w:val="Caracteres de nota final"/>
    <w:rsid w:val="003D57AE"/>
    <w:rPr>
      <w:vertAlign w:val="superscript"/>
    </w:rPr>
  </w:style>
  <w:style w:type="paragraph" w:customStyle="1" w:styleId="Estilo7">
    <w:name w:val="Estilo7"/>
    <w:basedOn w:val="Normal"/>
    <w:rsid w:val="005E3C85"/>
    <w:pPr>
      <w:tabs>
        <w:tab w:val="left" w:pos="567"/>
        <w:tab w:val="left" w:pos="851"/>
        <w:tab w:val="num" w:pos="2160"/>
      </w:tabs>
      <w:spacing w:before="120" w:after="120"/>
      <w:ind w:left="2160" w:hanging="180"/>
    </w:pPr>
    <w:rPr>
      <w:rFonts w:eastAsia="Batang"/>
      <w:b/>
      <w:i/>
      <w:szCs w:val="20"/>
      <w:lang w:val="es-ES_tradnl"/>
    </w:rPr>
  </w:style>
  <w:style w:type="character" w:customStyle="1" w:styleId="Estilo2Car">
    <w:name w:val="Estilo2 Car"/>
    <w:basedOn w:val="Fuentedeprrafopredeter"/>
    <w:link w:val="Estilo2"/>
    <w:rsid w:val="003114DD"/>
    <w:rPr>
      <w:rFonts w:ascii="Verdana" w:eastAsia="Calibri" w:hAnsi="Verdana" w:cs="Times New Roman"/>
      <w:sz w:val="20"/>
      <w:szCs w:val="20"/>
    </w:rPr>
  </w:style>
  <w:style w:type="paragraph" w:customStyle="1" w:styleId="Estilo4">
    <w:name w:val="Estilo4"/>
    <w:basedOn w:val="Prrafodelista"/>
    <w:rsid w:val="00BB2848"/>
    <w:pPr>
      <w:numPr>
        <w:ilvl w:val="1"/>
        <w:numId w:val="40"/>
      </w:numPr>
      <w:spacing w:after="120"/>
      <w:ind w:left="0" w:firstLine="357"/>
    </w:pPr>
    <w:rPr>
      <w:spacing w:val="-2"/>
      <w:szCs w:val="20"/>
      <w:lang w:val="es-CR"/>
    </w:rPr>
  </w:style>
  <w:style w:type="character" w:customStyle="1" w:styleId="sb8d990e2">
    <w:name w:val="sb8d990e2"/>
    <w:basedOn w:val="Fuentedeprrafopredeter"/>
    <w:rsid w:val="00704706"/>
  </w:style>
  <w:style w:type="character" w:customStyle="1" w:styleId="s6b621b36">
    <w:name w:val="s6b621b36"/>
    <w:basedOn w:val="Fuentedeprrafopredeter"/>
    <w:rsid w:val="00704706"/>
  </w:style>
  <w:style w:type="paragraph" w:customStyle="1" w:styleId="Numberedparagraphs">
    <w:name w:val="Numbered paragraphs"/>
    <w:basedOn w:val="Normal"/>
    <w:rsid w:val="00704706"/>
    <w:pPr>
      <w:numPr>
        <w:numId w:val="42"/>
      </w:numPr>
    </w:pPr>
    <w:rPr>
      <w:rFonts w:eastAsia="MS Mincho"/>
      <w:color w:val="000000"/>
      <w:szCs w:val="20"/>
      <w:lang w:val="es-ES_tradnl"/>
    </w:rPr>
  </w:style>
  <w:style w:type="paragraph" w:styleId="TtuloTDC">
    <w:name w:val="TOC Heading"/>
    <w:basedOn w:val="Ttulo1"/>
    <w:next w:val="Normal"/>
    <w:uiPriority w:val="39"/>
    <w:unhideWhenUsed/>
    <w:qFormat/>
    <w:rsid w:val="002D2ADC"/>
    <w:pPr>
      <w:outlineLvl w:val="9"/>
    </w:pPr>
  </w:style>
  <w:style w:type="paragraph" w:styleId="TDC1">
    <w:name w:val="toc 1"/>
    <w:basedOn w:val="Normal"/>
    <w:next w:val="Normal"/>
    <w:autoRedefine/>
    <w:uiPriority w:val="39"/>
    <w:unhideWhenUsed/>
    <w:rsid w:val="00C62A4E"/>
    <w:pPr>
      <w:shd w:val="clear" w:color="auto" w:fill="DAEEF3" w:themeFill="accent5" w:themeFillTint="33"/>
      <w:tabs>
        <w:tab w:val="right" w:leader="dot" w:pos="8488"/>
      </w:tabs>
      <w:spacing w:after="100"/>
    </w:pPr>
  </w:style>
  <w:style w:type="paragraph" w:styleId="TDC2">
    <w:name w:val="toc 2"/>
    <w:basedOn w:val="Normal"/>
    <w:next w:val="Normal"/>
    <w:autoRedefine/>
    <w:uiPriority w:val="39"/>
    <w:unhideWhenUsed/>
    <w:rsid w:val="002D0B62"/>
    <w:pPr>
      <w:shd w:val="clear" w:color="auto" w:fill="DAEEF3" w:themeFill="accent5" w:themeFillTint="33"/>
      <w:tabs>
        <w:tab w:val="right" w:leader="dot" w:pos="8488"/>
      </w:tabs>
      <w:spacing w:after="100"/>
      <w:ind w:left="220"/>
    </w:pPr>
  </w:style>
  <w:style w:type="paragraph" w:styleId="TDC3">
    <w:name w:val="toc 3"/>
    <w:basedOn w:val="Normal"/>
    <w:next w:val="Normal"/>
    <w:autoRedefine/>
    <w:uiPriority w:val="39"/>
    <w:unhideWhenUsed/>
    <w:rsid w:val="002E0960"/>
    <w:pPr>
      <w:spacing w:after="100"/>
      <w:ind w:left="440"/>
    </w:pPr>
  </w:style>
  <w:style w:type="paragraph" w:customStyle="1" w:styleId="Char2">
    <w:name w:val="Char2"/>
    <w:basedOn w:val="Normal"/>
    <w:link w:val="Refdenotaalpie"/>
    <w:rsid w:val="00066A0C"/>
    <w:pPr>
      <w:spacing w:after="160" w:line="240" w:lineRule="exact"/>
    </w:pPr>
    <w:rPr>
      <w:vertAlign w:val="superscript"/>
    </w:rPr>
  </w:style>
  <w:style w:type="paragraph" w:styleId="Sinespaciado">
    <w:name w:val="No Spacing"/>
    <w:basedOn w:val="Normal"/>
    <w:link w:val="SinespaciadoCar"/>
    <w:uiPriority w:val="1"/>
    <w:qFormat/>
    <w:rsid w:val="002D2ADC"/>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qFormat/>
    <w:rsid w:val="004F440B"/>
    <w:rPr>
      <w:rFonts w:eastAsiaTheme="minorHAnsi"/>
      <w:szCs w:val="20"/>
      <w:vertAlign w:val="superscript"/>
      <w:lang w:val="en-US" w:eastAsia="en-US"/>
    </w:rPr>
  </w:style>
  <w:style w:type="character" w:customStyle="1" w:styleId="Ttulo7Car">
    <w:name w:val="Título 7 Car"/>
    <w:basedOn w:val="Fuentedeprrafopredeter"/>
    <w:link w:val="Ttulo7"/>
    <w:uiPriority w:val="9"/>
    <w:semiHidden/>
    <w:rsid w:val="002D2ADC"/>
    <w:rPr>
      <w:i/>
      <w:iCs/>
      <w:caps/>
      <w:color w:val="943634" w:themeColor="accent2" w:themeShade="BF"/>
      <w:spacing w:val="10"/>
    </w:rPr>
  </w:style>
  <w:style w:type="character" w:customStyle="1" w:styleId="Ttulo9Car">
    <w:name w:val="Título 9 Car"/>
    <w:basedOn w:val="Fuentedeprrafopredeter"/>
    <w:link w:val="Ttulo9"/>
    <w:uiPriority w:val="9"/>
    <w:semiHidden/>
    <w:rsid w:val="002D2ADC"/>
    <w:rPr>
      <w:i/>
      <w:iCs/>
      <w:caps/>
      <w:spacing w:val="10"/>
      <w:sz w:val="20"/>
      <w:szCs w:val="20"/>
    </w:rPr>
  </w:style>
  <w:style w:type="paragraph" w:styleId="Descripcin">
    <w:name w:val="caption"/>
    <w:basedOn w:val="Normal"/>
    <w:next w:val="Normal"/>
    <w:uiPriority w:val="35"/>
    <w:semiHidden/>
    <w:unhideWhenUsed/>
    <w:qFormat/>
    <w:rsid w:val="002D2ADC"/>
    <w:rPr>
      <w:caps/>
      <w:spacing w:val="10"/>
      <w:sz w:val="18"/>
      <w:szCs w:val="18"/>
    </w:rPr>
  </w:style>
  <w:style w:type="paragraph" w:styleId="Subttulo">
    <w:name w:val="Subtitle"/>
    <w:basedOn w:val="Normal"/>
    <w:next w:val="Normal"/>
    <w:link w:val="SubttuloCar"/>
    <w:uiPriority w:val="11"/>
    <w:qFormat/>
    <w:rsid w:val="002D2ADC"/>
    <w:pPr>
      <w:spacing w:after="560"/>
      <w:jc w:val="center"/>
    </w:pPr>
    <w:rPr>
      <w:caps/>
      <w:spacing w:val="20"/>
      <w:sz w:val="18"/>
      <w:szCs w:val="18"/>
    </w:rPr>
  </w:style>
  <w:style w:type="character" w:customStyle="1" w:styleId="SubttuloCar">
    <w:name w:val="Subtítulo Car"/>
    <w:basedOn w:val="Fuentedeprrafopredeter"/>
    <w:link w:val="Subttulo"/>
    <w:uiPriority w:val="11"/>
    <w:rsid w:val="002D2ADC"/>
    <w:rPr>
      <w:caps/>
      <w:spacing w:val="20"/>
      <w:sz w:val="18"/>
      <w:szCs w:val="18"/>
    </w:rPr>
  </w:style>
  <w:style w:type="character" w:customStyle="1" w:styleId="SinespaciadoCar">
    <w:name w:val="Sin espaciado Car"/>
    <w:basedOn w:val="Fuentedeprrafopredeter"/>
    <w:link w:val="Sinespaciado"/>
    <w:uiPriority w:val="1"/>
    <w:rsid w:val="002D2ADC"/>
  </w:style>
  <w:style w:type="paragraph" w:styleId="Cita">
    <w:name w:val="Quote"/>
    <w:basedOn w:val="Normal"/>
    <w:next w:val="Normal"/>
    <w:link w:val="CitaCar"/>
    <w:uiPriority w:val="29"/>
    <w:qFormat/>
    <w:rsid w:val="002D2ADC"/>
    <w:rPr>
      <w:i/>
      <w:iCs/>
    </w:rPr>
  </w:style>
  <w:style w:type="character" w:customStyle="1" w:styleId="CitaCar">
    <w:name w:val="Cita Car"/>
    <w:basedOn w:val="Fuentedeprrafopredeter"/>
    <w:link w:val="Cita"/>
    <w:uiPriority w:val="29"/>
    <w:rsid w:val="002D2ADC"/>
    <w:rPr>
      <w:i/>
      <w:iCs/>
    </w:rPr>
  </w:style>
  <w:style w:type="paragraph" w:styleId="Citadestacada">
    <w:name w:val="Intense Quote"/>
    <w:basedOn w:val="Normal"/>
    <w:next w:val="Normal"/>
    <w:link w:val="CitadestacadaCar"/>
    <w:uiPriority w:val="30"/>
    <w:qFormat/>
    <w:rsid w:val="002D2ADC"/>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Cs w:val="20"/>
    </w:rPr>
  </w:style>
  <w:style w:type="character" w:customStyle="1" w:styleId="CitadestacadaCar">
    <w:name w:val="Cita destacada Car"/>
    <w:basedOn w:val="Fuentedeprrafopredeter"/>
    <w:link w:val="Citadestacada"/>
    <w:uiPriority w:val="30"/>
    <w:rsid w:val="002D2ADC"/>
    <w:rPr>
      <w:caps/>
      <w:color w:val="622423" w:themeColor="accent2" w:themeShade="7F"/>
      <w:spacing w:val="5"/>
      <w:sz w:val="20"/>
      <w:szCs w:val="20"/>
    </w:rPr>
  </w:style>
  <w:style w:type="character" w:styleId="nfasissutil">
    <w:name w:val="Subtle Emphasis"/>
    <w:uiPriority w:val="19"/>
    <w:qFormat/>
    <w:rsid w:val="002D2ADC"/>
    <w:rPr>
      <w:i/>
      <w:iCs/>
    </w:rPr>
  </w:style>
  <w:style w:type="character" w:styleId="nfasisintenso">
    <w:name w:val="Intense Emphasis"/>
    <w:uiPriority w:val="21"/>
    <w:qFormat/>
    <w:rsid w:val="002D2ADC"/>
    <w:rPr>
      <w:i/>
      <w:iCs/>
      <w:caps/>
      <w:spacing w:val="10"/>
      <w:sz w:val="20"/>
      <w:szCs w:val="20"/>
    </w:rPr>
  </w:style>
  <w:style w:type="character" w:styleId="Referenciasutil">
    <w:name w:val="Subtle Reference"/>
    <w:basedOn w:val="Fuentedeprrafopredeter"/>
    <w:uiPriority w:val="31"/>
    <w:qFormat/>
    <w:rsid w:val="002D2ADC"/>
    <w:rPr>
      <w:rFonts w:asciiTheme="minorHAnsi" w:eastAsiaTheme="minorEastAsia" w:hAnsiTheme="minorHAnsi" w:cstheme="minorBidi"/>
      <w:i/>
      <w:iCs/>
      <w:color w:val="622423" w:themeColor="accent2" w:themeShade="7F"/>
    </w:rPr>
  </w:style>
  <w:style w:type="character" w:styleId="Referenciaintensa">
    <w:name w:val="Intense Reference"/>
    <w:uiPriority w:val="32"/>
    <w:qFormat/>
    <w:rsid w:val="002D2ADC"/>
    <w:rPr>
      <w:rFonts w:asciiTheme="minorHAnsi" w:eastAsiaTheme="minorEastAsia" w:hAnsiTheme="minorHAnsi" w:cstheme="minorBidi"/>
      <w:b/>
      <w:bCs/>
      <w:i/>
      <w:iCs/>
      <w:color w:val="622423" w:themeColor="accent2" w:themeShade="7F"/>
    </w:rPr>
  </w:style>
  <w:style w:type="character" w:styleId="Ttulodellibro">
    <w:name w:val="Book Title"/>
    <w:uiPriority w:val="33"/>
    <w:qFormat/>
    <w:rsid w:val="002D2ADC"/>
    <w:rPr>
      <w:caps/>
      <w:color w:val="622423" w:themeColor="accent2" w:themeShade="7F"/>
      <w:spacing w:val="5"/>
      <w:u w:color="622423" w:themeColor="accent2" w:themeShade="7F"/>
    </w:rPr>
  </w:style>
  <w:style w:type="character" w:styleId="Hipervnculovisitado">
    <w:name w:val="FollowedHyperlink"/>
    <w:basedOn w:val="Fuentedeprrafopredeter"/>
    <w:uiPriority w:val="99"/>
    <w:semiHidden/>
    <w:unhideWhenUsed/>
    <w:rsid w:val="002629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95003">
      <w:bodyDiv w:val="1"/>
      <w:marLeft w:val="0"/>
      <w:marRight w:val="0"/>
      <w:marTop w:val="0"/>
      <w:marBottom w:val="0"/>
      <w:divBdr>
        <w:top w:val="none" w:sz="0" w:space="0" w:color="auto"/>
        <w:left w:val="none" w:sz="0" w:space="0" w:color="auto"/>
        <w:bottom w:val="none" w:sz="0" w:space="0" w:color="auto"/>
        <w:right w:val="none" w:sz="0" w:space="0" w:color="auto"/>
      </w:divBdr>
      <w:divsChild>
        <w:div w:id="970522977">
          <w:marLeft w:val="0"/>
          <w:marRight w:val="0"/>
          <w:marTop w:val="0"/>
          <w:marBottom w:val="0"/>
          <w:divBdr>
            <w:top w:val="none" w:sz="0" w:space="0" w:color="auto"/>
            <w:left w:val="none" w:sz="0" w:space="0" w:color="auto"/>
            <w:bottom w:val="none" w:sz="0" w:space="0" w:color="auto"/>
            <w:right w:val="none" w:sz="0" w:space="0" w:color="auto"/>
          </w:divBdr>
          <w:divsChild>
            <w:div w:id="208171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83690">
      <w:bodyDiv w:val="1"/>
      <w:marLeft w:val="0"/>
      <w:marRight w:val="0"/>
      <w:marTop w:val="0"/>
      <w:marBottom w:val="0"/>
      <w:divBdr>
        <w:top w:val="none" w:sz="0" w:space="0" w:color="auto"/>
        <w:left w:val="none" w:sz="0" w:space="0" w:color="auto"/>
        <w:bottom w:val="none" w:sz="0" w:space="0" w:color="auto"/>
        <w:right w:val="none" w:sz="0" w:space="0" w:color="auto"/>
      </w:divBdr>
    </w:div>
    <w:div w:id="91126211">
      <w:bodyDiv w:val="1"/>
      <w:marLeft w:val="0"/>
      <w:marRight w:val="0"/>
      <w:marTop w:val="0"/>
      <w:marBottom w:val="0"/>
      <w:divBdr>
        <w:top w:val="none" w:sz="0" w:space="0" w:color="auto"/>
        <w:left w:val="none" w:sz="0" w:space="0" w:color="auto"/>
        <w:bottom w:val="none" w:sz="0" w:space="0" w:color="auto"/>
        <w:right w:val="none" w:sz="0" w:space="0" w:color="auto"/>
      </w:divBdr>
    </w:div>
    <w:div w:id="99180983">
      <w:bodyDiv w:val="1"/>
      <w:marLeft w:val="0"/>
      <w:marRight w:val="0"/>
      <w:marTop w:val="0"/>
      <w:marBottom w:val="0"/>
      <w:divBdr>
        <w:top w:val="none" w:sz="0" w:space="0" w:color="auto"/>
        <w:left w:val="none" w:sz="0" w:space="0" w:color="auto"/>
        <w:bottom w:val="none" w:sz="0" w:space="0" w:color="auto"/>
        <w:right w:val="none" w:sz="0" w:space="0" w:color="auto"/>
      </w:divBdr>
    </w:div>
    <w:div w:id="104230099">
      <w:bodyDiv w:val="1"/>
      <w:marLeft w:val="0"/>
      <w:marRight w:val="0"/>
      <w:marTop w:val="0"/>
      <w:marBottom w:val="0"/>
      <w:divBdr>
        <w:top w:val="none" w:sz="0" w:space="0" w:color="auto"/>
        <w:left w:val="none" w:sz="0" w:space="0" w:color="auto"/>
        <w:bottom w:val="none" w:sz="0" w:space="0" w:color="auto"/>
        <w:right w:val="none" w:sz="0" w:space="0" w:color="auto"/>
      </w:divBdr>
    </w:div>
    <w:div w:id="114060709">
      <w:bodyDiv w:val="1"/>
      <w:marLeft w:val="0"/>
      <w:marRight w:val="0"/>
      <w:marTop w:val="0"/>
      <w:marBottom w:val="0"/>
      <w:divBdr>
        <w:top w:val="none" w:sz="0" w:space="0" w:color="auto"/>
        <w:left w:val="none" w:sz="0" w:space="0" w:color="auto"/>
        <w:bottom w:val="none" w:sz="0" w:space="0" w:color="auto"/>
        <w:right w:val="none" w:sz="0" w:space="0" w:color="auto"/>
      </w:divBdr>
      <w:divsChild>
        <w:div w:id="1256205527">
          <w:marLeft w:val="0"/>
          <w:marRight w:val="0"/>
          <w:marTop w:val="0"/>
          <w:marBottom w:val="0"/>
          <w:divBdr>
            <w:top w:val="none" w:sz="0" w:space="0" w:color="auto"/>
            <w:left w:val="none" w:sz="0" w:space="0" w:color="auto"/>
            <w:bottom w:val="none" w:sz="0" w:space="0" w:color="auto"/>
            <w:right w:val="none" w:sz="0" w:space="0" w:color="auto"/>
          </w:divBdr>
          <w:divsChild>
            <w:div w:id="71211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73167">
      <w:bodyDiv w:val="1"/>
      <w:marLeft w:val="0"/>
      <w:marRight w:val="0"/>
      <w:marTop w:val="0"/>
      <w:marBottom w:val="0"/>
      <w:divBdr>
        <w:top w:val="none" w:sz="0" w:space="0" w:color="auto"/>
        <w:left w:val="none" w:sz="0" w:space="0" w:color="auto"/>
        <w:bottom w:val="none" w:sz="0" w:space="0" w:color="auto"/>
        <w:right w:val="none" w:sz="0" w:space="0" w:color="auto"/>
      </w:divBdr>
      <w:divsChild>
        <w:div w:id="944851993">
          <w:marLeft w:val="0"/>
          <w:marRight w:val="0"/>
          <w:marTop w:val="0"/>
          <w:marBottom w:val="0"/>
          <w:divBdr>
            <w:top w:val="none" w:sz="0" w:space="0" w:color="auto"/>
            <w:left w:val="none" w:sz="0" w:space="0" w:color="auto"/>
            <w:bottom w:val="none" w:sz="0" w:space="0" w:color="auto"/>
            <w:right w:val="none" w:sz="0" w:space="0" w:color="auto"/>
          </w:divBdr>
          <w:divsChild>
            <w:div w:id="14058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6435">
      <w:bodyDiv w:val="1"/>
      <w:marLeft w:val="0"/>
      <w:marRight w:val="0"/>
      <w:marTop w:val="0"/>
      <w:marBottom w:val="0"/>
      <w:divBdr>
        <w:top w:val="none" w:sz="0" w:space="0" w:color="auto"/>
        <w:left w:val="none" w:sz="0" w:space="0" w:color="auto"/>
        <w:bottom w:val="none" w:sz="0" w:space="0" w:color="auto"/>
        <w:right w:val="none" w:sz="0" w:space="0" w:color="auto"/>
      </w:divBdr>
      <w:divsChild>
        <w:div w:id="1377437705">
          <w:marLeft w:val="0"/>
          <w:marRight w:val="0"/>
          <w:marTop w:val="0"/>
          <w:marBottom w:val="0"/>
          <w:divBdr>
            <w:top w:val="none" w:sz="0" w:space="0" w:color="auto"/>
            <w:left w:val="none" w:sz="0" w:space="0" w:color="auto"/>
            <w:bottom w:val="none" w:sz="0" w:space="0" w:color="auto"/>
            <w:right w:val="none" w:sz="0" w:space="0" w:color="auto"/>
          </w:divBdr>
          <w:divsChild>
            <w:div w:id="143709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39451">
      <w:bodyDiv w:val="1"/>
      <w:marLeft w:val="0"/>
      <w:marRight w:val="0"/>
      <w:marTop w:val="0"/>
      <w:marBottom w:val="0"/>
      <w:divBdr>
        <w:top w:val="none" w:sz="0" w:space="0" w:color="auto"/>
        <w:left w:val="none" w:sz="0" w:space="0" w:color="auto"/>
        <w:bottom w:val="none" w:sz="0" w:space="0" w:color="auto"/>
        <w:right w:val="none" w:sz="0" w:space="0" w:color="auto"/>
      </w:divBdr>
      <w:divsChild>
        <w:div w:id="1294022910">
          <w:marLeft w:val="0"/>
          <w:marRight w:val="75"/>
          <w:marTop w:val="0"/>
          <w:marBottom w:val="0"/>
          <w:divBdr>
            <w:top w:val="none" w:sz="0" w:space="0" w:color="auto"/>
            <w:left w:val="none" w:sz="0" w:space="0" w:color="auto"/>
            <w:bottom w:val="none" w:sz="0" w:space="0" w:color="auto"/>
            <w:right w:val="none" w:sz="0" w:space="0" w:color="auto"/>
          </w:divBdr>
        </w:div>
        <w:div w:id="1704400052">
          <w:marLeft w:val="0"/>
          <w:marRight w:val="0"/>
          <w:marTop w:val="0"/>
          <w:marBottom w:val="0"/>
          <w:divBdr>
            <w:top w:val="none" w:sz="0" w:space="0" w:color="auto"/>
            <w:left w:val="none" w:sz="0" w:space="0" w:color="auto"/>
            <w:bottom w:val="none" w:sz="0" w:space="0" w:color="auto"/>
            <w:right w:val="none" w:sz="0" w:space="0" w:color="auto"/>
          </w:divBdr>
        </w:div>
        <w:div w:id="1195145885">
          <w:marLeft w:val="0"/>
          <w:marRight w:val="0"/>
          <w:marTop w:val="0"/>
          <w:marBottom w:val="0"/>
          <w:divBdr>
            <w:top w:val="none" w:sz="0" w:space="0" w:color="auto"/>
            <w:left w:val="none" w:sz="0" w:space="0" w:color="auto"/>
            <w:bottom w:val="none" w:sz="0" w:space="0" w:color="auto"/>
            <w:right w:val="none" w:sz="0" w:space="0" w:color="auto"/>
          </w:divBdr>
          <w:divsChild>
            <w:div w:id="1210797490">
              <w:marLeft w:val="0"/>
              <w:marRight w:val="0"/>
              <w:marTop w:val="0"/>
              <w:marBottom w:val="0"/>
              <w:divBdr>
                <w:top w:val="none" w:sz="0" w:space="0" w:color="auto"/>
                <w:left w:val="none" w:sz="0" w:space="0" w:color="auto"/>
                <w:bottom w:val="none" w:sz="0" w:space="0" w:color="auto"/>
                <w:right w:val="none" w:sz="0" w:space="0" w:color="auto"/>
              </w:divBdr>
              <w:divsChild>
                <w:div w:id="1521821965">
                  <w:marLeft w:val="0"/>
                  <w:marRight w:val="0"/>
                  <w:marTop w:val="0"/>
                  <w:marBottom w:val="960"/>
                  <w:divBdr>
                    <w:top w:val="none" w:sz="0" w:space="0" w:color="auto"/>
                    <w:left w:val="none" w:sz="0" w:space="0" w:color="auto"/>
                    <w:bottom w:val="single" w:sz="4" w:space="0" w:color="3695D2"/>
                    <w:right w:val="none" w:sz="0" w:space="0" w:color="auto"/>
                  </w:divBdr>
                </w:div>
                <w:div w:id="2061007879">
                  <w:marLeft w:val="0"/>
                  <w:marRight w:val="0"/>
                  <w:marTop w:val="0"/>
                  <w:marBottom w:val="0"/>
                  <w:divBdr>
                    <w:top w:val="none" w:sz="0" w:space="0" w:color="auto"/>
                    <w:left w:val="none" w:sz="0" w:space="0" w:color="auto"/>
                    <w:bottom w:val="none" w:sz="0" w:space="0" w:color="auto"/>
                    <w:right w:val="none" w:sz="0" w:space="0" w:color="auto"/>
                  </w:divBdr>
                  <w:divsChild>
                    <w:div w:id="1594826757">
                      <w:marLeft w:val="-225"/>
                      <w:marRight w:val="-225"/>
                      <w:marTop w:val="0"/>
                      <w:marBottom w:val="0"/>
                      <w:divBdr>
                        <w:top w:val="none" w:sz="0" w:space="0" w:color="auto"/>
                        <w:left w:val="none" w:sz="0" w:space="0" w:color="auto"/>
                        <w:bottom w:val="none" w:sz="0" w:space="0" w:color="auto"/>
                        <w:right w:val="none" w:sz="0" w:space="0" w:color="auto"/>
                      </w:divBdr>
                      <w:divsChild>
                        <w:div w:id="115028698">
                          <w:marLeft w:val="0"/>
                          <w:marRight w:val="0"/>
                          <w:marTop w:val="0"/>
                          <w:marBottom w:val="0"/>
                          <w:divBdr>
                            <w:top w:val="none" w:sz="0" w:space="0" w:color="auto"/>
                            <w:left w:val="none" w:sz="0" w:space="0" w:color="auto"/>
                            <w:bottom w:val="none" w:sz="0" w:space="0" w:color="auto"/>
                            <w:right w:val="none" w:sz="0" w:space="0" w:color="auto"/>
                          </w:divBdr>
                          <w:divsChild>
                            <w:div w:id="195802744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625266">
      <w:bodyDiv w:val="1"/>
      <w:marLeft w:val="0"/>
      <w:marRight w:val="0"/>
      <w:marTop w:val="0"/>
      <w:marBottom w:val="0"/>
      <w:divBdr>
        <w:top w:val="none" w:sz="0" w:space="0" w:color="auto"/>
        <w:left w:val="none" w:sz="0" w:space="0" w:color="auto"/>
        <w:bottom w:val="none" w:sz="0" w:space="0" w:color="auto"/>
        <w:right w:val="none" w:sz="0" w:space="0" w:color="auto"/>
      </w:divBdr>
    </w:div>
    <w:div w:id="196281069">
      <w:bodyDiv w:val="1"/>
      <w:marLeft w:val="0"/>
      <w:marRight w:val="0"/>
      <w:marTop w:val="0"/>
      <w:marBottom w:val="0"/>
      <w:divBdr>
        <w:top w:val="none" w:sz="0" w:space="0" w:color="auto"/>
        <w:left w:val="none" w:sz="0" w:space="0" w:color="auto"/>
        <w:bottom w:val="none" w:sz="0" w:space="0" w:color="auto"/>
        <w:right w:val="none" w:sz="0" w:space="0" w:color="auto"/>
      </w:divBdr>
      <w:divsChild>
        <w:div w:id="608271696">
          <w:marLeft w:val="0"/>
          <w:marRight w:val="0"/>
          <w:marTop w:val="0"/>
          <w:marBottom w:val="0"/>
          <w:divBdr>
            <w:top w:val="none" w:sz="0" w:space="0" w:color="auto"/>
            <w:left w:val="none" w:sz="0" w:space="0" w:color="auto"/>
            <w:bottom w:val="none" w:sz="0" w:space="0" w:color="auto"/>
            <w:right w:val="none" w:sz="0" w:space="0" w:color="auto"/>
          </w:divBdr>
          <w:divsChild>
            <w:div w:id="1577130353">
              <w:marLeft w:val="0"/>
              <w:marRight w:val="0"/>
              <w:marTop w:val="0"/>
              <w:marBottom w:val="0"/>
              <w:divBdr>
                <w:top w:val="none" w:sz="0" w:space="0" w:color="auto"/>
                <w:left w:val="none" w:sz="0" w:space="0" w:color="auto"/>
                <w:bottom w:val="none" w:sz="0" w:space="0" w:color="auto"/>
                <w:right w:val="none" w:sz="0" w:space="0" w:color="auto"/>
              </w:divBdr>
              <w:divsChild>
                <w:div w:id="99984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204015">
      <w:bodyDiv w:val="1"/>
      <w:marLeft w:val="0"/>
      <w:marRight w:val="0"/>
      <w:marTop w:val="0"/>
      <w:marBottom w:val="0"/>
      <w:divBdr>
        <w:top w:val="none" w:sz="0" w:space="0" w:color="auto"/>
        <w:left w:val="none" w:sz="0" w:space="0" w:color="auto"/>
        <w:bottom w:val="none" w:sz="0" w:space="0" w:color="auto"/>
        <w:right w:val="none" w:sz="0" w:space="0" w:color="auto"/>
      </w:divBdr>
    </w:div>
    <w:div w:id="259948506">
      <w:bodyDiv w:val="1"/>
      <w:marLeft w:val="0"/>
      <w:marRight w:val="0"/>
      <w:marTop w:val="0"/>
      <w:marBottom w:val="0"/>
      <w:divBdr>
        <w:top w:val="none" w:sz="0" w:space="0" w:color="auto"/>
        <w:left w:val="none" w:sz="0" w:space="0" w:color="auto"/>
        <w:bottom w:val="none" w:sz="0" w:space="0" w:color="auto"/>
        <w:right w:val="none" w:sz="0" w:space="0" w:color="auto"/>
      </w:divBdr>
    </w:div>
    <w:div w:id="267347467">
      <w:bodyDiv w:val="1"/>
      <w:marLeft w:val="0"/>
      <w:marRight w:val="0"/>
      <w:marTop w:val="0"/>
      <w:marBottom w:val="0"/>
      <w:divBdr>
        <w:top w:val="none" w:sz="0" w:space="0" w:color="auto"/>
        <w:left w:val="none" w:sz="0" w:space="0" w:color="auto"/>
        <w:bottom w:val="none" w:sz="0" w:space="0" w:color="auto"/>
        <w:right w:val="none" w:sz="0" w:space="0" w:color="auto"/>
      </w:divBdr>
    </w:div>
    <w:div w:id="291404208">
      <w:bodyDiv w:val="1"/>
      <w:marLeft w:val="0"/>
      <w:marRight w:val="0"/>
      <w:marTop w:val="0"/>
      <w:marBottom w:val="0"/>
      <w:divBdr>
        <w:top w:val="none" w:sz="0" w:space="0" w:color="auto"/>
        <w:left w:val="none" w:sz="0" w:space="0" w:color="auto"/>
        <w:bottom w:val="none" w:sz="0" w:space="0" w:color="auto"/>
        <w:right w:val="none" w:sz="0" w:space="0" w:color="auto"/>
      </w:divBdr>
    </w:div>
    <w:div w:id="291517642">
      <w:bodyDiv w:val="1"/>
      <w:marLeft w:val="0"/>
      <w:marRight w:val="0"/>
      <w:marTop w:val="0"/>
      <w:marBottom w:val="0"/>
      <w:divBdr>
        <w:top w:val="none" w:sz="0" w:space="0" w:color="auto"/>
        <w:left w:val="none" w:sz="0" w:space="0" w:color="auto"/>
        <w:bottom w:val="none" w:sz="0" w:space="0" w:color="auto"/>
        <w:right w:val="none" w:sz="0" w:space="0" w:color="auto"/>
      </w:divBdr>
    </w:div>
    <w:div w:id="319121163">
      <w:bodyDiv w:val="1"/>
      <w:marLeft w:val="0"/>
      <w:marRight w:val="0"/>
      <w:marTop w:val="0"/>
      <w:marBottom w:val="0"/>
      <w:divBdr>
        <w:top w:val="none" w:sz="0" w:space="0" w:color="auto"/>
        <w:left w:val="none" w:sz="0" w:space="0" w:color="auto"/>
        <w:bottom w:val="none" w:sz="0" w:space="0" w:color="auto"/>
        <w:right w:val="none" w:sz="0" w:space="0" w:color="auto"/>
      </w:divBdr>
    </w:div>
    <w:div w:id="322785672">
      <w:bodyDiv w:val="1"/>
      <w:marLeft w:val="0"/>
      <w:marRight w:val="0"/>
      <w:marTop w:val="0"/>
      <w:marBottom w:val="0"/>
      <w:divBdr>
        <w:top w:val="none" w:sz="0" w:space="0" w:color="auto"/>
        <w:left w:val="none" w:sz="0" w:space="0" w:color="auto"/>
        <w:bottom w:val="none" w:sz="0" w:space="0" w:color="auto"/>
        <w:right w:val="none" w:sz="0" w:space="0" w:color="auto"/>
      </w:divBdr>
      <w:divsChild>
        <w:div w:id="1977904284">
          <w:marLeft w:val="0"/>
          <w:marRight w:val="0"/>
          <w:marTop w:val="0"/>
          <w:marBottom w:val="0"/>
          <w:divBdr>
            <w:top w:val="none" w:sz="0" w:space="0" w:color="auto"/>
            <w:left w:val="none" w:sz="0" w:space="0" w:color="auto"/>
            <w:bottom w:val="none" w:sz="0" w:space="0" w:color="auto"/>
            <w:right w:val="none" w:sz="0" w:space="0" w:color="auto"/>
          </w:divBdr>
          <w:divsChild>
            <w:div w:id="188062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738139">
      <w:bodyDiv w:val="1"/>
      <w:marLeft w:val="0"/>
      <w:marRight w:val="0"/>
      <w:marTop w:val="0"/>
      <w:marBottom w:val="0"/>
      <w:divBdr>
        <w:top w:val="none" w:sz="0" w:space="0" w:color="auto"/>
        <w:left w:val="none" w:sz="0" w:space="0" w:color="auto"/>
        <w:bottom w:val="none" w:sz="0" w:space="0" w:color="auto"/>
        <w:right w:val="none" w:sz="0" w:space="0" w:color="auto"/>
      </w:divBdr>
    </w:div>
    <w:div w:id="364410928">
      <w:bodyDiv w:val="1"/>
      <w:marLeft w:val="0"/>
      <w:marRight w:val="0"/>
      <w:marTop w:val="0"/>
      <w:marBottom w:val="0"/>
      <w:divBdr>
        <w:top w:val="none" w:sz="0" w:space="0" w:color="auto"/>
        <w:left w:val="none" w:sz="0" w:space="0" w:color="auto"/>
        <w:bottom w:val="none" w:sz="0" w:space="0" w:color="auto"/>
        <w:right w:val="none" w:sz="0" w:space="0" w:color="auto"/>
      </w:divBdr>
    </w:div>
    <w:div w:id="369499043">
      <w:bodyDiv w:val="1"/>
      <w:marLeft w:val="0"/>
      <w:marRight w:val="0"/>
      <w:marTop w:val="0"/>
      <w:marBottom w:val="0"/>
      <w:divBdr>
        <w:top w:val="none" w:sz="0" w:space="0" w:color="auto"/>
        <w:left w:val="none" w:sz="0" w:space="0" w:color="auto"/>
        <w:bottom w:val="none" w:sz="0" w:space="0" w:color="auto"/>
        <w:right w:val="none" w:sz="0" w:space="0" w:color="auto"/>
      </w:divBdr>
    </w:div>
    <w:div w:id="402408976">
      <w:bodyDiv w:val="1"/>
      <w:marLeft w:val="0"/>
      <w:marRight w:val="0"/>
      <w:marTop w:val="0"/>
      <w:marBottom w:val="0"/>
      <w:divBdr>
        <w:top w:val="none" w:sz="0" w:space="0" w:color="auto"/>
        <w:left w:val="none" w:sz="0" w:space="0" w:color="auto"/>
        <w:bottom w:val="none" w:sz="0" w:space="0" w:color="auto"/>
        <w:right w:val="none" w:sz="0" w:space="0" w:color="auto"/>
      </w:divBdr>
      <w:divsChild>
        <w:div w:id="1154445927">
          <w:marLeft w:val="0"/>
          <w:marRight w:val="0"/>
          <w:marTop w:val="0"/>
          <w:marBottom w:val="0"/>
          <w:divBdr>
            <w:top w:val="none" w:sz="0" w:space="0" w:color="auto"/>
            <w:left w:val="none" w:sz="0" w:space="0" w:color="auto"/>
            <w:bottom w:val="none" w:sz="0" w:space="0" w:color="auto"/>
            <w:right w:val="none" w:sz="0" w:space="0" w:color="auto"/>
          </w:divBdr>
          <w:divsChild>
            <w:div w:id="72341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808154">
      <w:bodyDiv w:val="1"/>
      <w:marLeft w:val="0"/>
      <w:marRight w:val="0"/>
      <w:marTop w:val="0"/>
      <w:marBottom w:val="0"/>
      <w:divBdr>
        <w:top w:val="none" w:sz="0" w:space="0" w:color="auto"/>
        <w:left w:val="none" w:sz="0" w:space="0" w:color="auto"/>
        <w:bottom w:val="none" w:sz="0" w:space="0" w:color="auto"/>
        <w:right w:val="none" w:sz="0" w:space="0" w:color="auto"/>
      </w:divBdr>
    </w:div>
    <w:div w:id="412970242">
      <w:bodyDiv w:val="1"/>
      <w:marLeft w:val="0"/>
      <w:marRight w:val="0"/>
      <w:marTop w:val="0"/>
      <w:marBottom w:val="0"/>
      <w:divBdr>
        <w:top w:val="none" w:sz="0" w:space="0" w:color="auto"/>
        <w:left w:val="none" w:sz="0" w:space="0" w:color="auto"/>
        <w:bottom w:val="none" w:sz="0" w:space="0" w:color="auto"/>
        <w:right w:val="none" w:sz="0" w:space="0" w:color="auto"/>
      </w:divBdr>
    </w:div>
    <w:div w:id="415517085">
      <w:bodyDiv w:val="1"/>
      <w:marLeft w:val="0"/>
      <w:marRight w:val="0"/>
      <w:marTop w:val="0"/>
      <w:marBottom w:val="0"/>
      <w:divBdr>
        <w:top w:val="none" w:sz="0" w:space="0" w:color="auto"/>
        <w:left w:val="none" w:sz="0" w:space="0" w:color="auto"/>
        <w:bottom w:val="none" w:sz="0" w:space="0" w:color="auto"/>
        <w:right w:val="none" w:sz="0" w:space="0" w:color="auto"/>
      </w:divBdr>
    </w:div>
    <w:div w:id="438306291">
      <w:bodyDiv w:val="1"/>
      <w:marLeft w:val="0"/>
      <w:marRight w:val="0"/>
      <w:marTop w:val="0"/>
      <w:marBottom w:val="0"/>
      <w:divBdr>
        <w:top w:val="none" w:sz="0" w:space="0" w:color="auto"/>
        <w:left w:val="none" w:sz="0" w:space="0" w:color="auto"/>
        <w:bottom w:val="none" w:sz="0" w:space="0" w:color="auto"/>
        <w:right w:val="none" w:sz="0" w:space="0" w:color="auto"/>
      </w:divBdr>
    </w:div>
    <w:div w:id="440489636">
      <w:bodyDiv w:val="1"/>
      <w:marLeft w:val="0"/>
      <w:marRight w:val="0"/>
      <w:marTop w:val="0"/>
      <w:marBottom w:val="0"/>
      <w:divBdr>
        <w:top w:val="none" w:sz="0" w:space="0" w:color="auto"/>
        <w:left w:val="none" w:sz="0" w:space="0" w:color="auto"/>
        <w:bottom w:val="none" w:sz="0" w:space="0" w:color="auto"/>
        <w:right w:val="none" w:sz="0" w:space="0" w:color="auto"/>
      </w:divBdr>
    </w:div>
    <w:div w:id="457182019">
      <w:bodyDiv w:val="1"/>
      <w:marLeft w:val="0"/>
      <w:marRight w:val="0"/>
      <w:marTop w:val="0"/>
      <w:marBottom w:val="0"/>
      <w:divBdr>
        <w:top w:val="none" w:sz="0" w:space="0" w:color="auto"/>
        <w:left w:val="none" w:sz="0" w:space="0" w:color="auto"/>
        <w:bottom w:val="none" w:sz="0" w:space="0" w:color="auto"/>
        <w:right w:val="none" w:sz="0" w:space="0" w:color="auto"/>
      </w:divBdr>
    </w:div>
    <w:div w:id="457842495">
      <w:bodyDiv w:val="1"/>
      <w:marLeft w:val="0"/>
      <w:marRight w:val="0"/>
      <w:marTop w:val="0"/>
      <w:marBottom w:val="0"/>
      <w:divBdr>
        <w:top w:val="none" w:sz="0" w:space="0" w:color="auto"/>
        <w:left w:val="none" w:sz="0" w:space="0" w:color="auto"/>
        <w:bottom w:val="none" w:sz="0" w:space="0" w:color="auto"/>
        <w:right w:val="none" w:sz="0" w:space="0" w:color="auto"/>
      </w:divBdr>
    </w:div>
    <w:div w:id="459153006">
      <w:bodyDiv w:val="1"/>
      <w:marLeft w:val="0"/>
      <w:marRight w:val="0"/>
      <w:marTop w:val="0"/>
      <w:marBottom w:val="0"/>
      <w:divBdr>
        <w:top w:val="none" w:sz="0" w:space="0" w:color="auto"/>
        <w:left w:val="none" w:sz="0" w:space="0" w:color="auto"/>
        <w:bottom w:val="none" w:sz="0" w:space="0" w:color="auto"/>
        <w:right w:val="none" w:sz="0" w:space="0" w:color="auto"/>
      </w:divBdr>
    </w:div>
    <w:div w:id="467358426">
      <w:bodyDiv w:val="1"/>
      <w:marLeft w:val="0"/>
      <w:marRight w:val="0"/>
      <w:marTop w:val="0"/>
      <w:marBottom w:val="0"/>
      <w:divBdr>
        <w:top w:val="none" w:sz="0" w:space="0" w:color="auto"/>
        <w:left w:val="none" w:sz="0" w:space="0" w:color="auto"/>
        <w:bottom w:val="none" w:sz="0" w:space="0" w:color="auto"/>
        <w:right w:val="none" w:sz="0" w:space="0" w:color="auto"/>
      </w:divBdr>
    </w:div>
    <w:div w:id="470295756">
      <w:bodyDiv w:val="1"/>
      <w:marLeft w:val="0"/>
      <w:marRight w:val="0"/>
      <w:marTop w:val="0"/>
      <w:marBottom w:val="0"/>
      <w:divBdr>
        <w:top w:val="none" w:sz="0" w:space="0" w:color="auto"/>
        <w:left w:val="none" w:sz="0" w:space="0" w:color="auto"/>
        <w:bottom w:val="none" w:sz="0" w:space="0" w:color="auto"/>
        <w:right w:val="none" w:sz="0" w:space="0" w:color="auto"/>
      </w:divBdr>
    </w:div>
    <w:div w:id="475294180">
      <w:bodyDiv w:val="1"/>
      <w:marLeft w:val="0"/>
      <w:marRight w:val="0"/>
      <w:marTop w:val="0"/>
      <w:marBottom w:val="0"/>
      <w:divBdr>
        <w:top w:val="none" w:sz="0" w:space="0" w:color="auto"/>
        <w:left w:val="none" w:sz="0" w:space="0" w:color="auto"/>
        <w:bottom w:val="none" w:sz="0" w:space="0" w:color="auto"/>
        <w:right w:val="none" w:sz="0" w:space="0" w:color="auto"/>
      </w:divBdr>
      <w:divsChild>
        <w:div w:id="1984577206">
          <w:marLeft w:val="0"/>
          <w:marRight w:val="0"/>
          <w:marTop w:val="0"/>
          <w:marBottom w:val="0"/>
          <w:divBdr>
            <w:top w:val="none" w:sz="0" w:space="0" w:color="auto"/>
            <w:left w:val="none" w:sz="0" w:space="0" w:color="auto"/>
            <w:bottom w:val="none" w:sz="0" w:space="0" w:color="auto"/>
            <w:right w:val="none" w:sz="0" w:space="0" w:color="auto"/>
          </w:divBdr>
          <w:divsChild>
            <w:div w:id="20366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367039">
      <w:bodyDiv w:val="1"/>
      <w:marLeft w:val="0"/>
      <w:marRight w:val="0"/>
      <w:marTop w:val="0"/>
      <w:marBottom w:val="0"/>
      <w:divBdr>
        <w:top w:val="none" w:sz="0" w:space="0" w:color="auto"/>
        <w:left w:val="none" w:sz="0" w:space="0" w:color="auto"/>
        <w:bottom w:val="none" w:sz="0" w:space="0" w:color="auto"/>
        <w:right w:val="none" w:sz="0" w:space="0" w:color="auto"/>
      </w:divBdr>
    </w:div>
    <w:div w:id="532688532">
      <w:bodyDiv w:val="1"/>
      <w:marLeft w:val="0"/>
      <w:marRight w:val="0"/>
      <w:marTop w:val="0"/>
      <w:marBottom w:val="0"/>
      <w:divBdr>
        <w:top w:val="none" w:sz="0" w:space="0" w:color="auto"/>
        <w:left w:val="none" w:sz="0" w:space="0" w:color="auto"/>
        <w:bottom w:val="none" w:sz="0" w:space="0" w:color="auto"/>
        <w:right w:val="none" w:sz="0" w:space="0" w:color="auto"/>
      </w:divBdr>
      <w:divsChild>
        <w:div w:id="1375734721">
          <w:marLeft w:val="0"/>
          <w:marRight w:val="0"/>
          <w:marTop w:val="0"/>
          <w:marBottom w:val="0"/>
          <w:divBdr>
            <w:top w:val="none" w:sz="0" w:space="0" w:color="auto"/>
            <w:left w:val="none" w:sz="0" w:space="0" w:color="auto"/>
            <w:bottom w:val="none" w:sz="0" w:space="0" w:color="auto"/>
            <w:right w:val="none" w:sz="0" w:space="0" w:color="auto"/>
          </w:divBdr>
          <w:divsChild>
            <w:div w:id="5532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433795">
      <w:bodyDiv w:val="1"/>
      <w:marLeft w:val="0"/>
      <w:marRight w:val="0"/>
      <w:marTop w:val="0"/>
      <w:marBottom w:val="0"/>
      <w:divBdr>
        <w:top w:val="none" w:sz="0" w:space="0" w:color="auto"/>
        <w:left w:val="none" w:sz="0" w:space="0" w:color="auto"/>
        <w:bottom w:val="none" w:sz="0" w:space="0" w:color="auto"/>
        <w:right w:val="none" w:sz="0" w:space="0" w:color="auto"/>
      </w:divBdr>
    </w:div>
    <w:div w:id="544412330">
      <w:bodyDiv w:val="1"/>
      <w:marLeft w:val="0"/>
      <w:marRight w:val="0"/>
      <w:marTop w:val="0"/>
      <w:marBottom w:val="0"/>
      <w:divBdr>
        <w:top w:val="none" w:sz="0" w:space="0" w:color="auto"/>
        <w:left w:val="none" w:sz="0" w:space="0" w:color="auto"/>
        <w:bottom w:val="none" w:sz="0" w:space="0" w:color="auto"/>
        <w:right w:val="none" w:sz="0" w:space="0" w:color="auto"/>
      </w:divBdr>
    </w:div>
    <w:div w:id="569273513">
      <w:bodyDiv w:val="1"/>
      <w:marLeft w:val="0"/>
      <w:marRight w:val="0"/>
      <w:marTop w:val="0"/>
      <w:marBottom w:val="0"/>
      <w:divBdr>
        <w:top w:val="none" w:sz="0" w:space="0" w:color="auto"/>
        <w:left w:val="none" w:sz="0" w:space="0" w:color="auto"/>
        <w:bottom w:val="none" w:sz="0" w:space="0" w:color="auto"/>
        <w:right w:val="none" w:sz="0" w:space="0" w:color="auto"/>
      </w:divBdr>
    </w:div>
    <w:div w:id="577785333">
      <w:bodyDiv w:val="1"/>
      <w:marLeft w:val="0"/>
      <w:marRight w:val="0"/>
      <w:marTop w:val="0"/>
      <w:marBottom w:val="0"/>
      <w:divBdr>
        <w:top w:val="none" w:sz="0" w:space="0" w:color="auto"/>
        <w:left w:val="none" w:sz="0" w:space="0" w:color="auto"/>
        <w:bottom w:val="none" w:sz="0" w:space="0" w:color="auto"/>
        <w:right w:val="none" w:sz="0" w:space="0" w:color="auto"/>
      </w:divBdr>
      <w:divsChild>
        <w:div w:id="1179000045">
          <w:marLeft w:val="0"/>
          <w:marRight w:val="0"/>
          <w:marTop w:val="0"/>
          <w:marBottom w:val="0"/>
          <w:divBdr>
            <w:top w:val="none" w:sz="0" w:space="0" w:color="auto"/>
            <w:left w:val="none" w:sz="0" w:space="0" w:color="auto"/>
            <w:bottom w:val="none" w:sz="0" w:space="0" w:color="auto"/>
            <w:right w:val="none" w:sz="0" w:space="0" w:color="auto"/>
          </w:divBdr>
          <w:divsChild>
            <w:div w:id="38144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04782">
      <w:bodyDiv w:val="1"/>
      <w:marLeft w:val="0"/>
      <w:marRight w:val="0"/>
      <w:marTop w:val="0"/>
      <w:marBottom w:val="0"/>
      <w:divBdr>
        <w:top w:val="none" w:sz="0" w:space="0" w:color="auto"/>
        <w:left w:val="none" w:sz="0" w:space="0" w:color="auto"/>
        <w:bottom w:val="none" w:sz="0" w:space="0" w:color="auto"/>
        <w:right w:val="none" w:sz="0" w:space="0" w:color="auto"/>
      </w:divBdr>
    </w:div>
    <w:div w:id="662467139">
      <w:bodyDiv w:val="1"/>
      <w:marLeft w:val="0"/>
      <w:marRight w:val="0"/>
      <w:marTop w:val="0"/>
      <w:marBottom w:val="0"/>
      <w:divBdr>
        <w:top w:val="none" w:sz="0" w:space="0" w:color="auto"/>
        <w:left w:val="none" w:sz="0" w:space="0" w:color="auto"/>
        <w:bottom w:val="none" w:sz="0" w:space="0" w:color="auto"/>
        <w:right w:val="none" w:sz="0" w:space="0" w:color="auto"/>
      </w:divBdr>
    </w:div>
    <w:div w:id="683632854">
      <w:bodyDiv w:val="1"/>
      <w:marLeft w:val="0"/>
      <w:marRight w:val="0"/>
      <w:marTop w:val="0"/>
      <w:marBottom w:val="0"/>
      <w:divBdr>
        <w:top w:val="none" w:sz="0" w:space="0" w:color="auto"/>
        <w:left w:val="none" w:sz="0" w:space="0" w:color="auto"/>
        <w:bottom w:val="none" w:sz="0" w:space="0" w:color="auto"/>
        <w:right w:val="none" w:sz="0" w:space="0" w:color="auto"/>
      </w:divBdr>
      <w:divsChild>
        <w:div w:id="1997873249">
          <w:marLeft w:val="0"/>
          <w:marRight w:val="0"/>
          <w:marTop w:val="0"/>
          <w:marBottom w:val="0"/>
          <w:divBdr>
            <w:top w:val="none" w:sz="0" w:space="0" w:color="auto"/>
            <w:left w:val="none" w:sz="0" w:space="0" w:color="auto"/>
            <w:bottom w:val="none" w:sz="0" w:space="0" w:color="auto"/>
            <w:right w:val="none" w:sz="0" w:space="0" w:color="auto"/>
          </w:divBdr>
          <w:divsChild>
            <w:div w:id="1476337536">
              <w:marLeft w:val="0"/>
              <w:marRight w:val="0"/>
              <w:marTop w:val="0"/>
              <w:marBottom w:val="0"/>
              <w:divBdr>
                <w:top w:val="none" w:sz="0" w:space="0" w:color="auto"/>
                <w:left w:val="none" w:sz="0" w:space="0" w:color="auto"/>
                <w:bottom w:val="none" w:sz="0" w:space="0" w:color="auto"/>
                <w:right w:val="none" w:sz="0" w:space="0" w:color="auto"/>
              </w:divBdr>
              <w:divsChild>
                <w:div w:id="193003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836894">
      <w:bodyDiv w:val="1"/>
      <w:marLeft w:val="0"/>
      <w:marRight w:val="0"/>
      <w:marTop w:val="0"/>
      <w:marBottom w:val="0"/>
      <w:divBdr>
        <w:top w:val="none" w:sz="0" w:space="0" w:color="auto"/>
        <w:left w:val="none" w:sz="0" w:space="0" w:color="auto"/>
        <w:bottom w:val="none" w:sz="0" w:space="0" w:color="auto"/>
        <w:right w:val="none" w:sz="0" w:space="0" w:color="auto"/>
      </w:divBdr>
      <w:divsChild>
        <w:div w:id="1565724931">
          <w:marLeft w:val="0"/>
          <w:marRight w:val="0"/>
          <w:marTop w:val="0"/>
          <w:marBottom w:val="0"/>
          <w:divBdr>
            <w:top w:val="none" w:sz="0" w:space="0" w:color="auto"/>
            <w:left w:val="none" w:sz="0" w:space="0" w:color="auto"/>
            <w:bottom w:val="none" w:sz="0" w:space="0" w:color="auto"/>
            <w:right w:val="none" w:sz="0" w:space="0" w:color="auto"/>
          </w:divBdr>
          <w:divsChild>
            <w:div w:id="1963343498">
              <w:marLeft w:val="0"/>
              <w:marRight w:val="0"/>
              <w:marTop w:val="0"/>
              <w:marBottom w:val="0"/>
              <w:divBdr>
                <w:top w:val="none" w:sz="0" w:space="0" w:color="auto"/>
                <w:left w:val="none" w:sz="0" w:space="0" w:color="auto"/>
                <w:bottom w:val="none" w:sz="0" w:space="0" w:color="auto"/>
                <w:right w:val="none" w:sz="0" w:space="0" w:color="auto"/>
              </w:divBdr>
              <w:divsChild>
                <w:div w:id="15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402300">
      <w:bodyDiv w:val="1"/>
      <w:marLeft w:val="0"/>
      <w:marRight w:val="0"/>
      <w:marTop w:val="0"/>
      <w:marBottom w:val="0"/>
      <w:divBdr>
        <w:top w:val="none" w:sz="0" w:space="0" w:color="auto"/>
        <w:left w:val="none" w:sz="0" w:space="0" w:color="auto"/>
        <w:bottom w:val="none" w:sz="0" w:space="0" w:color="auto"/>
        <w:right w:val="none" w:sz="0" w:space="0" w:color="auto"/>
      </w:divBdr>
    </w:div>
    <w:div w:id="762720750">
      <w:bodyDiv w:val="1"/>
      <w:marLeft w:val="0"/>
      <w:marRight w:val="0"/>
      <w:marTop w:val="0"/>
      <w:marBottom w:val="0"/>
      <w:divBdr>
        <w:top w:val="none" w:sz="0" w:space="0" w:color="auto"/>
        <w:left w:val="none" w:sz="0" w:space="0" w:color="auto"/>
        <w:bottom w:val="none" w:sz="0" w:space="0" w:color="auto"/>
        <w:right w:val="none" w:sz="0" w:space="0" w:color="auto"/>
      </w:divBdr>
    </w:div>
    <w:div w:id="774832567">
      <w:bodyDiv w:val="1"/>
      <w:marLeft w:val="0"/>
      <w:marRight w:val="0"/>
      <w:marTop w:val="0"/>
      <w:marBottom w:val="0"/>
      <w:divBdr>
        <w:top w:val="none" w:sz="0" w:space="0" w:color="auto"/>
        <w:left w:val="none" w:sz="0" w:space="0" w:color="auto"/>
        <w:bottom w:val="none" w:sz="0" w:space="0" w:color="auto"/>
        <w:right w:val="none" w:sz="0" w:space="0" w:color="auto"/>
      </w:divBdr>
    </w:div>
    <w:div w:id="784617017">
      <w:bodyDiv w:val="1"/>
      <w:marLeft w:val="0"/>
      <w:marRight w:val="0"/>
      <w:marTop w:val="0"/>
      <w:marBottom w:val="0"/>
      <w:divBdr>
        <w:top w:val="none" w:sz="0" w:space="0" w:color="auto"/>
        <w:left w:val="none" w:sz="0" w:space="0" w:color="auto"/>
        <w:bottom w:val="none" w:sz="0" w:space="0" w:color="auto"/>
        <w:right w:val="none" w:sz="0" w:space="0" w:color="auto"/>
      </w:divBdr>
    </w:div>
    <w:div w:id="809788004">
      <w:bodyDiv w:val="1"/>
      <w:marLeft w:val="0"/>
      <w:marRight w:val="0"/>
      <w:marTop w:val="0"/>
      <w:marBottom w:val="0"/>
      <w:divBdr>
        <w:top w:val="none" w:sz="0" w:space="0" w:color="auto"/>
        <w:left w:val="none" w:sz="0" w:space="0" w:color="auto"/>
        <w:bottom w:val="none" w:sz="0" w:space="0" w:color="auto"/>
        <w:right w:val="none" w:sz="0" w:space="0" w:color="auto"/>
      </w:divBdr>
    </w:div>
    <w:div w:id="815268893">
      <w:bodyDiv w:val="1"/>
      <w:marLeft w:val="0"/>
      <w:marRight w:val="0"/>
      <w:marTop w:val="0"/>
      <w:marBottom w:val="0"/>
      <w:divBdr>
        <w:top w:val="none" w:sz="0" w:space="0" w:color="auto"/>
        <w:left w:val="none" w:sz="0" w:space="0" w:color="auto"/>
        <w:bottom w:val="none" w:sz="0" w:space="0" w:color="auto"/>
        <w:right w:val="none" w:sz="0" w:space="0" w:color="auto"/>
      </w:divBdr>
    </w:div>
    <w:div w:id="829366054">
      <w:bodyDiv w:val="1"/>
      <w:marLeft w:val="0"/>
      <w:marRight w:val="0"/>
      <w:marTop w:val="0"/>
      <w:marBottom w:val="0"/>
      <w:divBdr>
        <w:top w:val="none" w:sz="0" w:space="0" w:color="auto"/>
        <w:left w:val="none" w:sz="0" w:space="0" w:color="auto"/>
        <w:bottom w:val="none" w:sz="0" w:space="0" w:color="auto"/>
        <w:right w:val="none" w:sz="0" w:space="0" w:color="auto"/>
      </w:divBdr>
      <w:divsChild>
        <w:div w:id="207298283">
          <w:marLeft w:val="0"/>
          <w:marRight w:val="0"/>
          <w:marTop w:val="0"/>
          <w:marBottom w:val="0"/>
          <w:divBdr>
            <w:top w:val="none" w:sz="0" w:space="0" w:color="auto"/>
            <w:left w:val="none" w:sz="0" w:space="0" w:color="auto"/>
            <w:bottom w:val="none" w:sz="0" w:space="0" w:color="auto"/>
            <w:right w:val="none" w:sz="0" w:space="0" w:color="auto"/>
          </w:divBdr>
          <w:divsChild>
            <w:div w:id="95552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095194">
      <w:bodyDiv w:val="1"/>
      <w:marLeft w:val="0"/>
      <w:marRight w:val="0"/>
      <w:marTop w:val="0"/>
      <w:marBottom w:val="0"/>
      <w:divBdr>
        <w:top w:val="none" w:sz="0" w:space="0" w:color="auto"/>
        <w:left w:val="none" w:sz="0" w:space="0" w:color="auto"/>
        <w:bottom w:val="none" w:sz="0" w:space="0" w:color="auto"/>
        <w:right w:val="none" w:sz="0" w:space="0" w:color="auto"/>
      </w:divBdr>
      <w:divsChild>
        <w:div w:id="1937327628">
          <w:marLeft w:val="0"/>
          <w:marRight w:val="0"/>
          <w:marTop w:val="0"/>
          <w:marBottom w:val="0"/>
          <w:divBdr>
            <w:top w:val="none" w:sz="0" w:space="0" w:color="auto"/>
            <w:left w:val="none" w:sz="0" w:space="0" w:color="auto"/>
            <w:bottom w:val="none" w:sz="0" w:space="0" w:color="auto"/>
            <w:right w:val="none" w:sz="0" w:space="0" w:color="auto"/>
          </w:divBdr>
          <w:divsChild>
            <w:div w:id="10415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171897">
      <w:bodyDiv w:val="1"/>
      <w:marLeft w:val="0"/>
      <w:marRight w:val="0"/>
      <w:marTop w:val="0"/>
      <w:marBottom w:val="0"/>
      <w:divBdr>
        <w:top w:val="none" w:sz="0" w:space="0" w:color="auto"/>
        <w:left w:val="none" w:sz="0" w:space="0" w:color="auto"/>
        <w:bottom w:val="none" w:sz="0" w:space="0" w:color="auto"/>
        <w:right w:val="none" w:sz="0" w:space="0" w:color="auto"/>
      </w:divBdr>
    </w:div>
    <w:div w:id="864291667">
      <w:bodyDiv w:val="1"/>
      <w:marLeft w:val="0"/>
      <w:marRight w:val="0"/>
      <w:marTop w:val="0"/>
      <w:marBottom w:val="0"/>
      <w:divBdr>
        <w:top w:val="none" w:sz="0" w:space="0" w:color="auto"/>
        <w:left w:val="none" w:sz="0" w:space="0" w:color="auto"/>
        <w:bottom w:val="none" w:sz="0" w:space="0" w:color="auto"/>
        <w:right w:val="none" w:sz="0" w:space="0" w:color="auto"/>
      </w:divBdr>
    </w:div>
    <w:div w:id="914097116">
      <w:bodyDiv w:val="1"/>
      <w:marLeft w:val="0"/>
      <w:marRight w:val="0"/>
      <w:marTop w:val="0"/>
      <w:marBottom w:val="0"/>
      <w:divBdr>
        <w:top w:val="none" w:sz="0" w:space="0" w:color="auto"/>
        <w:left w:val="none" w:sz="0" w:space="0" w:color="auto"/>
        <w:bottom w:val="none" w:sz="0" w:space="0" w:color="auto"/>
        <w:right w:val="none" w:sz="0" w:space="0" w:color="auto"/>
      </w:divBdr>
    </w:div>
    <w:div w:id="916288543">
      <w:bodyDiv w:val="1"/>
      <w:marLeft w:val="0"/>
      <w:marRight w:val="0"/>
      <w:marTop w:val="0"/>
      <w:marBottom w:val="0"/>
      <w:divBdr>
        <w:top w:val="none" w:sz="0" w:space="0" w:color="auto"/>
        <w:left w:val="none" w:sz="0" w:space="0" w:color="auto"/>
        <w:bottom w:val="none" w:sz="0" w:space="0" w:color="auto"/>
        <w:right w:val="none" w:sz="0" w:space="0" w:color="auto"/>
      </w:divBdr>
    </w:div>
    <w:div w:id="920678246">
      <w:bodyDiv w:val="1"/>
      <w:marLeft w:val="0"/>
      <w:marRight w:val="0"/>
      <w:marTop w:val="0"/>
      <w:marBottom w:val="0"/>
      <w:divBdr>
        <w:top w:val="none" w:sz="0" w:space="0" w:color="auto"/>
        <w:left w:val="none" w:sz="0" w:space="0" w:color="auto"/>
        <w:bottom w:val="none" w:sz="0" w:space="0" w:color="auto"/>
        <w:right w:val="none" w:sz="0" w:space="0" w:color="auto"/>
      </w:divBdr>
    </w:div>
    <w:div w:id="946502550">
      <w:bodyDiv w:val="1"/>
      <w:marLeft w:val="0"/>
      <w:marRight w:val="0"/>
      <w:marTop w:val="0"/>
      <w:marBottom w:val="0"/>
      <w:divBdr>
        <w:top w:val="none" w:sz="0" w:space="0" w:color="auto"/>
        <w:left w:val="none" w:sz="0" w:space="0" w:color="auto"/>
        <w:bottom w:val="none" w:sz="0" w:space="0" w:color="auto"/>
        <w:right w:val="none" w:sz="0" w:space="0" w:color="auto"/>
      </w:divBdr>
    </w:div>
    <w:div w:id="948199397">
      <w:bodyDiv w:val="1"/>
      <w:marLeft w:val="0"/>
      <w:marRight w:val="0"/>
      <w:marTop w:val="0"/>
      <w:marBottom w:val="0"/>
      <w:divBdr>
        <w:top w:val="none" w:sz="0" w:space="0" w:color="auto"/>
        <w:left w:val="none" w:sz="0" w:space="0" w:color="auto"/>
        <w:bottom w:val="none" w:sz="0" w:space="0" w:color="auto"/>
        <w:right w:val="none" w:sz="0" w:space="0" w:color="auto"/>
      </w:divBdr>
    </w:div>
    <w:div w:id="963121731">
      <w:bodyDiv w:val="1"/>
      <w:marLeft w:val="0"/>
      <w:marRight w:val="0"/>
      <w:marTop w:val="0"/>
      <w:marBottom w:val="0"/>
      <w:divBdr>
        <w:top w:val="none" w:sz="0" w:space="0" w:color="auto"/>
        <w:left w:val="none" w:sz="0" w:space="0" w:color="auto"/>
        <w:bottom w:val="none" w:sz="0" w:space="0" w:color="auto"/>
        <w:right w:val="none" w:sz="0" w:space="0" w:color="auto"/>
      </w:divBdr>
    </w:div>
    <w:div w:id="965045062">
      <w:bodyDiv w:val="1"/>
      <w:marLeft w:val="0"/>
      <w:marRight w:val="0"/>
      <w:marTop w:val="0"/>
      <w:marBottom w:val="0"/>
      <w:divBdr>
        <w:top w:val="none" w:sz="0" w:space="0" w:color="auto"/>
        <w:left w:val="none" w:sz="0" w:space="0" w:color="auto"/>
        <w:bottom w:val="none" w:sz="0" w:space="0" w:color="auto"/>
        <w:right w:val="none" w:sz="0" w:space="0" w:color="auto"/>
      </w:divBdr>
      <w:divsChild>
        <w:div w:id="949581624">
          <w:marLeft w:val="0"/>
          <w:marRight w:val="0"/>
          <w:marTop w:val="0"/>
          <w:marBottom w:val="0"/>
          <w:divBdr>
            <w:top w:val="none" w:sz="0" w:space="0" w:color="auto"/>
            <w:left w:val="none" w:sz="0" w:space="0" w:color="auto"/>
            <w:bottom w:val="none" w:sz="0" w:space="0" w:color="auto"/>
            <w:right w:val="none" w:sz="0" w:space="0" w:color="auto"/>
          </w:divBdr>
          <w:divsChild>
            <w:div w:id="134790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077962">
      <w:bodyDiv w:val="1"/>
      <w:marLeft w:val="0"/>
      <w:marRight w:val="0"/>
      <w:marTop w:val="0"/>
      <w:marBottom w:val="0"/>
      <w:divBdr>
        <w:top w:val="none" w:sz="0" w:space="0" w:color="auto"/>
        <w:left w:val="none" w:sz="0" w:space="0" w:color="auto"/>
        <w:bottom w:val="none" w:sz="0" w:space="0" w:color="auto"/>
        <w:right w:val="none" w:sz="0" w:space="0" w:color="auto"/>
      </w:divBdr>
    </w:div>
    <w:div w:id="991181615">
      <w:bodyDiv w:val="1"/>
      <w:marLeft w:val="0"/>
      <w:marRight w:val="0"/>
      <w:marTop w:val="0"/>
      <w:marBottom w:val="0"/>
      <w:divBdr>
        <w:top w:val="none" w:sz="0" w:space="0" w:color="auto"/>
        <w:left w:val="none" w:sz="0" w:space="0" w:color="auto"/>
        <w:bottom w:val="none" w:sz="0" w:space="0" w:color="auto"/>
        <w:right w:val="none" w:sz="0" w:space="0" w:color="auto"/>
      </w:divBdr>
      <w:divsChild>
        <w:div w:id="509564729">
          <w:marLeft w:val="0"/>
          <w:marRight w:val="0"/>
          <w:marTop w:val="0"/>
          <w:marBottom w:val="0"/>
          <w:divBdr>
            <w:top w:val="none" w:sz="0" w:space="0" w:color="auto"/>
            <w:left w:val="none" w:sz="0" w:space="0" w:color="auto"/>
            <w:bottom w:val="none" w:sz="0" w:space="0" w:color="auto"/>
            <w:right w:val="none" w:sz="0" w:space="0" w:color="auto"/>
          </w:divBdr>
          <w:divsChild>
            <w:div w:id="174479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40593">
      <w:bodyDiv w:val="1"/>
      <w:marLeft w:val="0"/>
      <w:marRight w:val="0"/>
      <w:marTop w:val="0"/>
      <w:marBottom w:val="0"/>
      <w:divBdr>
        <w:top w:val="none" w:sz="0" w:space="0" w:color="auto"/>
        <w:left w:val="none" w:sz="0" w:space="0" w:color="auto"/>
        <w:bottom w:val="none" w:sz="0" w:space="0" w:color="auto"/>
        <w:right w:val="none" w:sz="0" w:space="0" w:color="auto"/>
      </w:divBdr>
    </w:div>
    <w:div w:id="1036660512">
      <w:bodyDiv w:val="1"/>
      <w:marLeft w:val="0"/>
      <w:marRight w:val="0"/>
      <w:marTop w:val="0"/>
      <w:marBottom w:val="0"/>
      <w:divBdr>
        <w:top w:val="none" w:sz="0" w:space="0" w:color="auto"/>
        <w:left w:val="none" w:sz="0" w:space="0" w:color="auto"/>
        <w:bottom w:val="none" w:sz="0" w:space="0" w:color="auto"/>
        <w:right w:val="none" w:sz="0" w:space="0" w:color="auto"/>
      </w:divBdr>
    </w:div>
    <w:div w:id="1075593084">
      <w:bodyDiv w:val="1"/>
      <w:marLeft w:val="0"/>
      <w:marRight w:val="0"/>
      <w:marTop w:val="0"/>
      <w:marBottom w:val="0"/>
      <w:divBdr>
        <w:top w:val="none" w:sz="0" w:space="0" w:color="auto"/>
        <w:left w:val="none" w:sz="0" w:space="0" w:color="auto"/>
        <w:bottom w:val="none" w:sz="0" w:space="0" w:color="auto"/>
        <w:right w:val="none" w:sz="0" w:space="0" w:color="auto"/>
      </w:divBdr>
      <w:divsChild>
        <w:div w:id="2065135400">
          <w:marLeft w:val="0"/>
          <w:marRight w:val="0"/>
          <w:marTop w:val="0"/>
          <w:marBottom w:val="0"/>
          <w:divBdr>
            <w:top w:val="none" w:sz="0" w:space="0" w:color="auto"/>
            <w:left w:val="none" w:sz="0" w:space="0" w:color="auto"/>
            <w:bottom w:val="none" w:sz="0" w:space="0" w:color="auto"/>
            <w:right w:val="none" w:sz="0" w:space="0" w:color="auto"/>
          </w:divBdr>
          <w:divsChild>
            <w:div w:id="37705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691946">
      <w:bodyDiv w:val="1"/>
      <w:marLeft w:val="0"/>
      <w:marRight w:val="0"/>
      <w:marTop w:val="0"/>
      <w:marBottom w:val="0"/>
      <w:divBdr>
        <w:top w:val="none" w:sz="0" w:space="0" w:color="auto"/>
        <w:left w:val="none" w:sz="0" w:space="0" w:color="auto"/>
        <w:bottom w:val="none" w:sz="0" w:space="0" w:color="auto"/>
        <w:right w:val="none" w:sz="0" w:space="0" w:color="auto"/>
      </w:divBdr>
    </w:div>
    <w:div w:id="1134641500">
      <w:bodyDiv w:val="1"/>
      <w:marLeft w:val="0"/>
      <w:marRight w:val="0"/>
      <w:marTop w:val="0"/>
      <w:marBottom w:val="0"/>
      <w:divBdr>
        <w:top w:val="none" w:sz="0" w:space="0" w:color="auto"/>
        <w:left w:val="none" w:sz="0" w:space="0" w:color="auto"/>
        <w:bottom w:val="none" w:sz="0" w:space="0" w:color="auto"/>
        <w:right w:val="none" w:sz="0" w:space="0" w:color="auto"/>
      </w:divBdr>
    </w:div>
    <w:div w:id="1145003795">
      <w:bodyDiv w:val="1"/>
      <w:marLeft w:val="0"/>
      <w:marRight w:val="0"/>
      <w:marTop w:val="0"/>
      <w:marBottom w:val="0"/>
      <w:divBdr>
        <w:top w:val="none" w:sz="0" w:space="0" w:color="auto"/>
        <w:left w:val="none" w:sz="0" w:space="0" w:color="auto"/>
        <w:bottom w:val="none" w:sz="0" w:space="0" w:color="auto"/>
        <w:right w:val="none" w:sz="0" w:space="0" w:color="auto"/>
      </w:divBdr>
      <w:divsChild>
        <w:div w:id="461926009">
          <w:marLeft w:val="0"/>
          <w:marRight w:val="0"/>
          <w:marTop w:val="0"/>
          <w:marBottom w:val="0"/>
          <w:divBdr>
            <w:top w:val="none" w:sz="0" w:space="0" w:color="auto"/>
            <w:left w:val="none" w:sz="0" w:space="0" w:color="auto"/>
            <w:bottom w:val="none" w:sz="0" w:space="0" w:color="auto"/>
            <w:right w:val="none" w:sz="0" w:space="0" w:color="auto"/>
          </w:divBdr>
          <w:divsChild>
            <w:div w:id="46978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324878">
      <w:bodyDiv w:val="1"/>
      <w:marLeft w:val="0"/>
      <w:marRight w:val="0"/>
      <w:marTop w:val="0"/>
      <w:marBottom w:val="0"/>
      <w:divBdr>
        <w:top w:val="none" w:sz="0" w:space="0" w:color="auto"/>
        <w:left w:val="none" w:sz="0" w:space="0" w:color="auto"/>
        <w:bottom w:val="none" w:sz="0" w:space="0" w:color="auto"/>
        <w:right w:val="none" w:sz="0" w:space="0" w:color="auto"/>
      </w:divBdr>
    </w:div>
    <w:div w:id="1189445395">
      <w:bodyDiv w:val="1"/>
      <w:marLeft w:val="0"/>
      <w:marRight w:val="0"/>
      <w:marTop w:val="0"/>
      <w:marBottom w:val="0"/>
      <w:divBdr>
        <w:top w:val="none" w:sz="0" w:space="0" w:color="auto"/>
        <w:left w:val="none" w:sz="0" w:space="0" w:color="auto"/>
        <w:bottom w:val="none" w:sz="0" w:space="0" w:color="auto"/>
        <w:right w:val="none" w:sz="0" w:space="0" w:color="auto"/>
      </w:divBdr>
    </w:div>
    <w:div w:id="1206986077">
      <w:bodyDiv w:val="1"/>
      <w:marLeft w:val="0"/>
      <w:marRight w:val="0"/>
      <w:marTop w:val="0"/>
      <w:marBottom w:val="0"/>
      <w:divBdr>
        <w:top w:val="none" w:sz="0" w:space="0" w:color="auto"/>
        <w:left w:val="none" w:sz="0" w:space="0" w:color="auto"/>
        <w:bottom w:val="none" w:sz="0" w:space="0" w:color="auto"/>
        <w:right w:val="none" w:sz="0" w:space="0" w:color="auto"/>
      </w:divBdr>
    </w:div>
    <w:div w:id="1209345000">
      <w:bodyDiv w:val="1"/>
      <w:marLeft w:val="0"/>
      <w:marRight w:val="0"/>
      <w:marTop w:val="0"/>
      <w:marBottom w:val="0"/>
      <w:divBdr>
        <w:top w:val="none" w:sz="0" w:space="0" w:color="auto"/>
        <w:left w:val="none" w:sz="0" w:space="0" w:color="auto"/>
        <w:bottom w:val="none" w:sz="0" w:space="0" w:color="auto"/>
        <w:right w:val="none" w:sz="0" w:space="0" w:color="auto"/>
      </w:divBdr>
    </w:div>
    <w:div w:id="1228300032">
      <w:bodyDiv w:val="1"/>
      <w:marLeft w:val="0"/>
      <w:marRight w:val="0"/>
      <w:marTop w:val="0"/>
      <w:marBottom w:val="0"/>
      <w:divBdr>
        <w:top w:val="none" w:sz="0" w:space="0" w:color="auto"/>
        <w:left w:val="none" w:sz="0" w:space="0" w:color="auto"/>
        <w:bottom w:val="none" w:sz="0" w:space="0" w:color="auto"/>
        <w:right w:val="none" w:sz="0" w:space="0" w:color="auto"/>
      </w:divBdr>
    </w:div>
    <w:div w:id="1246498623">
      <w:bodyDiv w:val="1"/>
      <w:marLeft w:val="0"/>
      <w:marRight w:val="0"/>
      <w:marTop w:val="0"/>
      <w:marBottom w:val="0"/>
      <w:divBdr>
        <w:top w:val="none" w:sz="0" w:space="0" w:color="auto"/>
        <w:left w:val="none" w:sz="0" w:space="0" w:color="auto"/>
        <w:bottom w:val="none" w:sz="0" w:space="0" w:color="auto"/>
        <w:right w:val="none" w:sz="0" w:space="0" w:color="auto"/>
      </w:divBdr>
    </w:div>
    <w:div w:id="1266424388">
      <w:bodyDiv w:val="1"/>
      <w:marLeft w:val="0"/>
      <w:marRight w:val="0"/>
      <w:marTop w:val="0"/>
      <w:marBottom w:val="0"/>
      <w:divBdr>
        <w:top w:val="none" w:sz="0" w:space="0" w:color="auto"/>
        <w:left w:val="none" w:sz="0" w:space="0" w:color="auto"/>
        <w:bottom w:val="none" w:sz="0" w:space="0" w:color="auto"/>
        <w:right w:val="none" w:sz="0" w:space="0" w:color="auto"/>
      </w:divBdr>
    </w:div>
    <w:div w:id="1280989162">
      <w:bodyDiv w:val="1"/>
      <w:marLeft w:val="0"/>
      <w:marRight w:val="0"/>
      <w:marTop w:val="0"/>
      <w:marBottom w:val="0"/>
      <w:divBdr>
        <w:top w:val="none" w:sz="0" w:space="0" w:color="auto"/>
        <w:left w:val="none" w:sz="0" w:space="0" w:color="auto"/>
        <w:bottom w:val="none" w:sz="0" w:space="0" w:color="auto"/>
        <w:right w:val="none" w:sz="0" w:space="0" w:color="auto"/>
      </w:divBdr>
    </w:div>
    <w:div w:id="1294099585">
      <w:bodyDiv w:val="1"/>
      <w:marLeft w:val="0"/>
      <w:marRight w:val="0"/>
      <w:marTop w:val="0"/>
      <w:marBottom w:val="0"/>
      <w:divBdr>
        <w:top w:val="none" w:sz="0" w:space="0" w:color="auto"/>
        <w:left w:val="none" w:sz="0" w:space="0" w:color="auto"/>
        <w:bottom w:val="none" w:sz="0" w:space="0" w:color="auto"/>
        <w:right w:val="none" w:sz="0" w:space="0" w:color="auto"/>
      </w:divBdr>
      <w:divsChild>
        <w:div w:id="1880359752">
          <w:marLeft w:val="0"/>
          <w:marRight w:val="0"/>
          <w:marTop w:val="0"/>
          <w:marBottom w:val="0"/>
          <w:divBdr>
            <w:top w:val="none" w:sz="0" w:space="0" w:color="auto"/>
            <w:left w:val="none" w:sz="0" w:space="0" w:color="auto"/>
            <w:bottom w:val="none" w:sz="0" w:space="0" w:color="auto"/>
            <w:right w:val="none" w:sz="0" w:space="0" w:color="auto"/>
          </w:divBdr>
          <w:divsChild>
            <w:div w:id="9155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48943">
      <w:bodyDiv w:val="1"/>
      <w:marLeft w:val="0"/>
      <w:marRight w:val="0"/>
      <w:marTop w:val="0"/>
      <w:marBottom w:val="0"/>
      <w:divBdr>
        <w:top w:val="none" w:sz="0" w:space="0" w:color="auto"/>
        <w:left w:val="none" w:sz="0" w:space="0" w:color="auto"/>
        <w:bottom w:val="none" w:sz="0" w:space="0" w:color="auto"/>
        <w:right w:val="none" w:sz="0" w:space="0" w:color="auto"/>
      </w:divBdr>
      <w:divsChild>
        <w:div w:id="893589781">
          <w:marLeft w:val="0"/>
          <w:marRight w:val="0"/>
          <w:marTop w:val="0"/>
          <w:marBottom w:val="0"/>
          <w:divBdr>
            <w:top w:val="none" w:sz="0" w:space="0" w:color="auto"/>
            <w:left w:val="none" w:sz="0" w:space="0" w:color="auto"/>
            <w:bottom w:val="none" w:sz="0" w:space="0" w:color="auto"/>
            <w:right w:val="none" w:sz="0" w:space="0" w:color="auto"/>
          </w:divBdr>
          <w:divsChild>
            <w:div w:id="33411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8488">
      <w:bodyDiv w:val="1"/>
      <w:marLeft w:val="0"/>
      <w:marRight w:val="0"/>
      <w:marTop w:val="0"/>
      <w:marBottom w:val="0"/>
      <w:divBdr>
        <w:top w:val="none" w:sz="0" w:space="0" w:color="auto"/>
        <w:left w:val="none" w:sz="0" w:space="0" w:color="auto"/>
        <w:bottom w:val="none" w:sz="0" w:space="0" w:color="auto"/>
        <w:right w:val="none" w:sz="0" w:space="0" w:color="auto"/>
      </w:divBdr>
      <w:divsChild>
        <w:div w:id="1506743953">
          <w:marLeft w:val="0"/>
          <w:marRight w:val="0"/>
          <w:marTop w:val="0"/>
          <w:marBottom w:val="0"/>
          <w:divBdr>
            <w:top w:val="none" w:sz="0" w:space="0" w:color="auto"/>
            <w:left w:val="none" w:sz="0" w:space="0" w:color="auto"/>
            <w:bottom w:val="none" w:sz="0" w:space="0" w:color="auto"/>
            <w:right w:val="none" w:sz="0" w:space="0" w:color="auto"/>
          </w:divBdr>
          <w:divsChild>
            <w:div w:id="142156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934349">
      <w:bodyDiv w:val="1"/>
      <w:marLeft w:val="0"/>
      <w:marRight w:val="0"/>
      <w:marTop w:val="0"/>
      <w:marBottom w:val="0"/>
      <w:divBdr>
        <w:top w:val="none" w:sz="0" w:space="0" w:color="auto"/>
        <w:left w:val="none" w:sz="0" w:space="0" w:color="auto"/>
        <w:bottom w:val="none" w:sz="0" w:space="0" w:color="auto"/>
        <w:right w:val="none" w:sz="0" w:space="0" w:color="auto"/>
      </w:divBdr>
      <w:divsChild>
        <w:div w:id="1770537944">
          <w:marLeft w:val="0"/>
          <w:marRight w:val="0"/>
          <w:marTop w:val="0"/>
          <w:marBottom w:val="0"/>
          <w:divBdr>
            <w:top w:val="none" w:sz="0" w:space="0" w:color="auto"/>
            <w:left w:val="none" w:sz="0" w:space="0" w:color="auto"/>
            <w:bottom w:val="none" w:sz="0" w:space="0" w:color="auto"/>
            <w:right w:val="none" w:sz="0" w:space="0" w:color="auto"/>
          </w:divBdr>
          <w:divsChild>
            <w:div w:id="953754983">
              <w:marLeft w:val="0"/>
              <w:marRight w:val="0"/>
              <w:marTop w:val="0"/>
              <w:marBottom w:val="0"/>
              <w:divBdr>
                <w:top w:val="none" w:sz="0" w:space="0" w:color="auto"/>
                <w:left w:val="none" w:sz="0" w:space="0" w:color="auto"/>
                <w:bottom w:val="none" w:sz="0" w:space="0" w:color="auto"/>
                <w:right w:val="none" w:sz="0" w:space="0" w:color="auto"/>
              </w:divBdr>
              <w:divsChild>
                <w:div w:id="86424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797443">
      <w:bodyDiv w:val="1"/>
      <w:marLeft w:val="0"/>
      <w:marRight w:val="0"/>
      <w:marTop w:val="0"/>
      <w:marBottom w:val="0"/>
      <w:divBdr>
        <w:top w:val="none" w:sz="0" w:space="0" w:color="auto"/>
        <w:left w:val="none" w:sz="0" w:space="0" w:color="auto"/>
        <w:bottom w:val="none" w:sz="0" w:space="0" w:color="auto"/>
        <w:right w:val="none" w:sz="0" w:space="0" w:color="auto"/>
      </w:divBdr>
      <w:divsChild>
        <w:div w:id="510605607">
          <w:marLeft w:val="0"/>
          <w:marRight w:val="0"/>
          <w:marTop w:val="0"/>
          <w:marBottom w:val="0"/>
          <w:divBdr>
            <w:top w:val="none" w:sz="0" w:space="0" w:color="auto"/>
            <w:left w:val="none" w:sz="0" w:space="0" w:color="auto"/>
            <w:bottom w:val="none" w:sz="0" w:space="0" w:color="auto"/>
            <w:right w:val="none" w:sz="0" w:space="0" w:color="auto"/>
          </w:divBdr>
          <w:divsChild>
            <w:div w:id="193681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60630">
      <w:bodyDiv w:val="1"/>
      <w:marLeft w:val="0"/>
      <w:marRight w:val="0"/>
      <w:marTop w:val="0"/>
      <w:marBottom w:val="0"/>
      <w:divBdr>
        <w:top w:val="none" w:sz="0" w:space="0" w:color="auto"/>
        <w:left w:val="none" w:sz="0" w:space="0" w:color="auto"/>
        <w:bottom w:val="none" w:sz="0" w:space="0" w:color="auto"/>
        <w:right w:val="none" w:sz="0" w:space="0" w:color="auto"/>
      </w:divBdr>
    </w:div>
    <w:div w:id="1371228980">
      <w:bodyDiv w:val="1"/>
      <w:marLeft w:val="0"/>
      <w:marRight w:val="0"/>
      <w:marTop w:val="0"/>
      <w:marBottom w:val="0"/>
      <w:divBdr>
        <w:top w:val="none" w:sz="0" w:space="0" w:color="auto"/>
        <w:left w:val="none" w:sz="0" w:space="0" w:color="auto"/>
        <w:bottom w:val="none" w:sz="0" w:space="0" w:color="auto"/>
        <w:right w:val="none" w:sz="0" w:space="0" w:color="auto"/>
      </w:divBdr>
    </w:div>
    <w:div w:id="1394814158">
      <w:bodyDiv w:val="1"/>
      <w:marLeft w:val="0"/>
      <w:marRight w:val="0"/>
      <w:marTop w:val="0"/>
      <w:marBottom w:val="0"/>
      <w:divBdr>
        <w:top w:val="none" w:sz="0" w:space="0" w:color="auto"/>
        <w:left w:val="none" w:sz="0" w:space="0" w:color="auto"/>
        <w:bottom w:val="none" w:sz="0" w:space="0" w:color="auto"/>
        <w:right w:val="none" w:sz="0" w:space="0" w:color="auto"/>
      </w:divBdr>
    </w:div>
    <w:div w:id="1398824003">
      <w:bodyDiv w:val="1"/>
      <w:marLeft w:val="0"/>
      <w:marRight w:val="0"/>
      <w:marTop w:val="0"/>
      <w:marBottom w:val="0"/>
      <w:divBdr>
        <w:top w:val="none" w:sz="0" w:space="0" w:color="auto"/>
        <w:left w:val="none" w:sz="0" w:space="0" w:color="auto"/>
        <w:bottom w:val="none" w:sz="0" w:space="0" w:color="auto"/>
        <w:right w:val="none" w:sz="0" w:space="0" w:color="auto"/>
      </w:divBdr>
    </w:div>
    <w:div w:id="1403990828">
      <w:bodyDiv w:val="1"/>
      <w:marLeft w:val="0"/>
      <w:marRight w:val="0"/>
      <w:marTop w:val="0"/>
      <w:marBottom w:val="0"/>
      <w:divBdr>
        <w:top w:val="none" w:sz="0" w:space="0" w:color="auto"/>
        <w:left w:val="none" w:sz="0" w:space="0" w:color="auto"/>
        <w:bottom w:val="none" w:sz="0" w:space="0" w:color="auto"/>
        <w:right w:val="none" w:sz="0" w:space="0" w:color="auto"/>
      </w:divBdr>
      <w:divsChild>
        <w:div w:id="969284875">
          <w:marLeft w:val="0"/>
          <w:marRight w:val="0"/>
          <w:marTop w:val="0"/>
          <w:marBottom w:val="0"/>
          <w:divBdr>
            <w:top w:val="none" w:sz="0" w:space="0" w:color="auto"/>
            <w:left w:val="none" w:sz="0" w:space="0" w:color="auto"/>
            <w:bottom w:val="none" w:sz="0" w:space="0" w:color="auto"/>
            <w:right w:val="none" w:sz="0" w:space="0" w:color="auto"/>
          </w:divBdr>
          <w:divsChild>
            <w:div w:id="120344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326718">
      <w:bodyDiv w:val="1"/>
      <w:marLeft w:val="0"/>
      <w:marRight w:val="0"/>
      <w:marTop w:val="0"/>
      <w:marBottom w:val="0"/>
      <w:divBdr>
        <w:top w:val="none" w:sz="0" w:space="0" w:color="auto"/>
        <w:left w:val="none" w:sz="0" w:space="0" w:color="auto"/>
        <w:bottom w:val="none" w:sz="0" w:space="0" w:color="auto"/>
        <w:right w:val="none" w:sz="0" w:space="0" w:color="auto"/>
      </w:divBdr>
      <w:divsChild>
        <w:div w:id="1590768907">
          <w:marLeft w:val="0"/>
          <w:marRight w:val="0"/>
          <w:marTop w:val="0"/>
          <w:marBottom w:val="0"/>
          <w:divBdr>
            <w:top w:val="none" w:sz="0" w:space="0" w:color="auto"/>
            <w:left w:val="none" w:sz="0" w:space="0" w:color="auto"/>
            <w:bottom w:val="none" w:sz="0" w:space="0" w:color="auto"/>
            <w:right w:val="none" w:sz="0" w:space="0" w:color="auto"/>
          </w:divBdr>
          <w:divsChild>
            <w:div w:id="137377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37734">
      <w:bodyDiv w:val="1"/>
      <w:marLeft w:val="0"/>
      <w:marRight w:val="0"/>
      <w:marTop w:val="0"/>
      <w:marBottom w:val="0"/>
      <w:divBdr>
        <w:top w:val="none" w:sz="0" w:space="0" w:color="auto"/>
        <w:left w:val="none" w:sz="0" w:space="0" w:color="auto"/>
        <w:bottom w:val="none" w:sz="0" w:space="0" w:color="auto"/>
        <w:right w:val="none" w:sz="0" w:space="0" w:color="auto"/>
      </w:divBdr>
      <w:divsChild>
        <w:div w:id="437212502">
          <w:marLeft w:val="0"/>
          <w:marRight w:val="0"/>
          <w:marTop w:val="0"/>
          <w:marBottom w:val="0"/>
          <w:divBdr>
            <w:top w:val="none" w:sz="0" w:space="0" w:color="auto"/>
            <w:left w:val="none" w:sz="0" w:space="0" w:color="auto"/>
            <w:bottom w:val="none" w:sz="0" w:space="0" w:color="auto"/>
            <w:right w:val="none" w:sz="0" w:space="0" w:color="auto"/>
          </w:divBdr>
          <w:divsChild>
            <w:div w:id="456871642">
              <w:marLeft w:val="0"/>
              <w:marRight w:val="0"/>
              <w:marTop w:val="0"/>
              <w:marBottom w:val="0"/>
              <w:divBdr>
                <w:top w:val="none" w:sz="0" w:space="0" w:color="auto"/>
                <w:left w:val="none" w:sz="0" w:space="0" w:color="auto"/>
                <w:bottom w:val="none" w:sz="0" w:space="0" w:color="auto"/>
                <w:right w:val="none" w:sz="0" w:space="0" w:color="auto"/>
              </w:divBdr>
              <w:divsChild>
                <w:div w:id="133530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084572">
      <w:bodyDiv w:val="1"/>
      <w:marLeft w:val="0"/>
      <w:marRight w:val="0"/>
      <w:marTop w:val="0"/>
      <w:marBottom w:val="0"/>
      <w:divBdr>
        <w:top w:val="none" w:sz="0" w:space="0" w:color="auto"/>
        <w:left w:val="none" w:sz="0" w:space="0" w:color="auto"/>
        <w:bottom w:val="none" w:sz="0" w:space="0" w:color="auto"/>
        <w:right w:val="none" w:sz="0" w:space="0" w:color="auto"/>
      </w:divBdr>
    </w:div>
    <w:div w:id="1571454230">
      <w:bodyDiv w:val="1"/>
      <w:marLeft w:val="0"/>
      <w:marRight w:val="0"/>
      <w:marTop w:val="0"/>
      <w:marBottom w:val="0"/>
      <w:divBdr>
        <w:top w:val="none" w:sz="0" w:space="0" w:color="auto"/>
        <w:left w:val="none" w:sz="0" w:space="0" w:color="auto"/>
        <w:bottom w:val="none" w:sz="0" w:space="0" w:color="auto"/>
        <w:right w:val="none" w:sz="0" w:space="0" w:color="auto"/>
      </w:divBdr>
    </w:div>
    <w:div w:id="1578635353">
      <w:bodyDiv w:val="1"/>
      <w:marLeft w:val="0"/>
      <w:marRight w:val="0"/>
      <w:marTop w:val="0"/>
      <w:marBottom w:val="0"/>
      <w:divBdr>
        <w:top w:val="none" w:sz="0" w:space="0" w:color="auto"/>
        <w:left w:val="none" w:sz="0" w:space="0" w:color="auto"/>
        <w:bottom w:val="none" w:sz="0" w:space="0" w:color="auto"/>
        <w:right w:val="none" w:sz="0" w:space="0" w:color="auto"/>
      </w:divBdr>
      <w:divsChild>
        <w:div w:id="2140342279">
          <w:marLeft w:val="0"/>
          <w:marRight w:val="0"/>
          <w:marTop w:val="0"/>
          <w:marBottom w:val="0"/>
          <w:divBdr>
            <w:top w:val="none" w:sz="0" w:space="0" w:color="auto"/>
            <w:left w:val="none" w:sz="0" w:space="0" w:color="auto"/>
            <w:bottom w:val="none" w:sz="0" w:space="0" w:color="auto"/>
            <w:right w:val="none" w:sz="0" w:space="0" w:color="auto"/>
          </w:divBdr>
          <w:divsChild>
            <w:div w:id="206806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25023">
      <w:bodyDiv w:val="1"/>
      <w:marLeft w:val="0"/>
      <w:marRight w:val="0"/>
      <w:marTop w:val="0"/>
      <w:marBottom w:val="0"/>
      <w:divBdr>
        <w:top w:val="none" w:sz="0" w:space="0" w:color="auto"/>
        <w:left w:val="none" w:sz="0" w:space="0" w:color="auto"/>
        <w:bottom w:val="none" w:sz="0" w:space="0" w:color="auto"/>
        <w:right w:val="none" w:sz="0" w:space="0" w:color="auto"/>
      </w:divBdr>
    </w:div>
    <w:div w:id="1609502779">
      <w:bodyDiv w:val="1"/>
      <w:marLeft w:val="0"/>
      <w:marRight w:val="0"/>
      <w:marTop w:val="0"/>
      <w:marBottom w:val="0"/>
      <w:divBdr>
        <w:top w:val="none" w:sz="0" w:space="0" w:color="auto"/>
        <w:left w:val="none" w:sz="0" w:space="0" w:color="auto"/>
        <w:bottom w:val="none" w:sz="0" w:space="0" w:color="auto"/>
        <w:right w:val="none" w:sz="0" w:space="0" w:color="auto"/>
      </w:divBdr>
      <w:divsChild>
        <w:div w:id="867986152">
          <w:marLeft w:val="0"/>
          <w:marRight w:val="0"/>
          <w:marTop w:val="0"/>
          <w:marBottom w:val="0"/>
          <w:divBdr>
            <w:top w:val="none" w:sz="0" w:space="0" w:color="auto"/>
            <w:left w:val="none" w:sz="0" w:space="0" w:color="auto"/>
            <w:bottom w:val="none" w:sz="0" w:space="0" w:color="auto"/>
            <w:right w:val="none" w:sz="0" w:space="0" w:color="auto"/>
          </w:divBdr>
          <w:divsChild>
            <w:div w:id="119754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973177">
      <w:bodyDiv w:val="1"/>
      <w:marLeft w:val="0"/>
      <w:marRight w:val="0"/>
      <w:marTop w:val="0"/>
      <w:marBottom w:val="0"/>
      <w:divBdr>
        <w:top w:val="none" w:sz="0" w:space="0" w:color="auto"/>
        <w:left w:val="none" w:sz="0" w:space="0" w:color="auto"/>
        <w:bottom w:val="none" w:sz="0" w:space="0" w:color="auto"/>
        <w:right w:val="none" w:sz="0" w:space="0" w:color="auto"/>
      </w:divBdr>
    </w:div>
    <w:div w:id="1666283201">
      <w:bodyDiv w:val="1"/>
      <w:marLeft w:val="0"/>
      <w:marRight w:val="0"/>
      <w:marTop w:val="0"/>
      <w:marBottom w:val="0"/>
      <w:divBdr>
        <w:top w:val="none" w:sz="0" w:space="0" w:color="auto"/>
        <w:left w:val="none" w:sz="0" w:space="0" w:color="auto"/>
        <w:bottom w:val="none" w:sz="0" w:space="0" w:color="auto"/>
        <w:right w:val="none" w:sz="0" w:space="0" w:color="auto"/>
      </w:divBdr>
    </w:div>
    <w:div w:id="1666930634">
      <w:bodyDiv w:val="1"/>
      <w:marLeft w:val="0"/>
      <w:marRight w:val="0"/>
      <w:marTop w:val="0"/>
      <w:marBottom w:val="0"/>
      <w:divBdr>
        <w:top w:val="none" w:sz="0" w:space="0" w:color="auto"/>
        <w:left w:val="none" w:sz="0" w:space="0" w:color="auto"/>
        <w:bottom w:val="none" w:sz="0" w:space="0" w:color="auto"/>
        <w:right w:val="none" w:sz="0" w:space="0" w:color="auto"/>
      </w:divBdr>
    </w:div>
    <w:div w:id="1676835900">
      <w:bodyDiv w:val="1"/>
      <w:marLeft w:val="0"/>
      <w:marRight w:val="0"/>
      <w:marTop w:val="0"/>
      <w:marBottom w:val="0"/>
      <w:divBdr>
        <w:top w:val="none" w:sz="0" w:space="0" w:color="auto"/>
        <w:left w:val="none" w:sz="0" w:space="0" w:color="auto"/>
        <w:bottom w:val="none" w:sz="0" w:space="0" w:color="auto"/>
        <w:right w:val="none" w:sz="0" w:space="0" w:color="auto"/>
      </w:divBdr>
    </w:div>
    <w:div w:id="1682052822">
      <w:bodyDiv w:val="1"/>
      <w:marLeft w:val="0"/>
      <w:marRight w:val="0"/>
      <w:marTop w:val="0"/>
      <w:marBottom w:val="0"/>
      <w:divBdr>
        <w:top w:val="none" w:sz="0" w:space="0" w:color="auto"/>
        <w:left w:val="none" w:sz="0" w:space="0" w:color="auto"/>
        <w:bottom w:val="none" w:sz="0" w:space="0" w:color="auto"/>
        <w:right w:val="none" w:sz="0" w:space="0" w:color="auto"/>
      </w:divBdr>
    </w:div>
    <w:div w:id="1700155488">
      <w:bodyDiv w:val="1"/>
      <w:marLeft w:val="0"/>
      <w:marRight w:val="0"/>
      <w:marTop w:val="0"/>
      <w:marBottom w:val="0"/>
      <w:divBdr>
        <w:top w:val="none" w:sz="0" w:space="0" w:color="auto"/>
        <w:left w:val="none" w:sz="0" w:space="0" w:color="auto"/>
        <w:bottom w:val="none" w:sz="0" w:space="0" w:color="auto"/>
        <w:right w:val="none" w:sz="0" w:space="0" w:color="auto"/>
      </w:divBdr>
      <w:divsChild>
        <w:div w:id="1586260441">
          <w:marLeft w:val="0"/>
          <w:marRight w:val="0"/>
          <w:marTop w:val="0"/>
          <w:marBottom w:val="0"/>
          <w:divBdr>
            <w:top w:val="none" w:sz="0" w:space="0" w:color="auto"/>
            <w:left w:val="none" w:sz="0" w:space="0" w:color="auto"/>
            <w:bottom w:val="none" w:sz="0" w:space="0" w:color="auto"/>
            <w:right w:val="none" w:sz="0" w:space="0" w:color="auto"/>
          </w:divBdr>
          <w:divsChild>
            <w:div w:id="5436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002497">
      <w:bodyDiv w:val="1"/>
      <w:marLeft w:val="0"/>
      <w:marRight w:val="0"/>
      <w:marTop w:val="0"/>
      <w:marBottom w:val="0"/>
      <w:divBdr>
        <w:top w:val="none" w:sz="0" w:space="0" w:color="auto"/>
        <w:left w:val="none" w:sz="0" w:space="0" w:color="auto"/>
        <w:bottom w:val="none" w:sz="0" w:space="0" w:color="auto"/>
        <w:right w:val="none" w:sz="0" w:space="0" w:color="auto"/>
      </w:divBdr>
    </w:div>
    <w:div w:id="1789619837">
      <w:bodyDiv w:val="1"/>
      <w:marLeft w:val="0"/>
      <w:marRight w:val="0"/>
      <w:marTop w:val="0"/>
      <w:marBottom w:val="0"/>
      <w:divBdr>
        <w:top w:val="none" w:sz="0" w:space="0" w:color="auto"/>
        <w:left w:val="none" w:sz="0" w:space="0" w:color="auto"/>
        <w:bottom w:val="none" w:sz="0" w:space="0" w:color="auto"/>
        <w:right w:val="none" w:sz="0" w:space="0" w:color="auto"/>
      </w:divBdr>
    </w:div>
    <w:div w:id="1789739706">
      <w:bodyDiv w:val="1"/>
      <w:marLeft w:val="0"/>
      <w:marRight w:val="0"/>
      <w:marTop w:val="0"/>
      <w:marBottom w:val="0"/>
      <w:divBdr>
        <w:top w:val="none" w:sz="0" w:space="0" w:color="auto"/>
        <w:left w:val="none" w:sz="0" w:space="0" w:color="auto"/>
        <w:bottom w:val="none" w:sz="0" w:space="0" w:color="auto"/>
        <w:right w:val="none" w:sz="0" w:space="0" w:color="auto"/>
      </w:divBdr>
    </w:div>
    <w:div w:id="1796869570">
      <w:bodyDiv w:val="1"/>
      <w:marLeft w:val="0"/>
      <w:marRight w:val="0"/>
      <w:marTop w:val="0"/>
      <w:marBottom w:val="0"/>
      <w:divBdr>
        <w:top w:val="none" w:sz="0" w:space="0" w:color="auto"/>
        <w:left w:val="none" w:sz="0" w:space="0" w:color="auto"/>
        <w:bottom w:val="none" w:sz="0" w:space="0" w:color="auto"/>
        <w:right w:val="none" w:sz="0" w:space="0" w:color="auto"/>
      </w:divBdr>
    </w:div>
    <w:div w:id="1825779163">
      <w:bodyDiv w:val="1"/>
      <w:marLeft w:val="0"/>
      <w:marRight w:val="0"/>
      <w:marTop w:val="0"/>
      <w:marBottom w:val="0"/>
      <w:divBdr>
        <w:top w:val="none" w:sz="0" w:space="0" w:color="auto"/>
        <w:left w:val="none" w:sz="0" w:space="0" w:color="auto"/>
        <w:bottom w:val="none" w:sz="0" w:space="0" w:color="auto"/>
        <w:right w:val="none" w:sz="0" w:space="0" w:color="auto"/>
      </w:divBdr>
    </w:div>
    <w:div w:id="1858542986">
      <w:bodyDiv w:val="1"/>
      <w:marLeft w:val="0"/>
      <w:marRight w:val="0"/>
      <w:marTop w:val="0"/>
      <w:marBottom w:val="0"/>
      <w:divBdr>
        <w:top w:val="none" w:sz="0" w:space="0" w:color="auto"/>
        <w:left w:val="none" w:sz="0" w:space="0" w:color="auto"/>
        <w:bottom w:val="none" w:sz="0" w:space="0" w:color="auto"/>
        <w:right w:val="none" w:sz="0" w:space="0" w:color="auto"/>
      </w:divBdr>
      <w:divsChild>
        <w:div w:id="454065357">
          <w:marLeft w:val="0"/>
          <w:marRight w:val="0"/>
          <w:marTop w:val="0"/>
          <w:marBottom w:val="0"/>
          <w:divBdr>
            <w:top w:val="none" w:sz="0" w:space="0" w:color="auto"/>
            <w:left w:val="none" w:sz="0" w:space="0" w:color="auto"/>
            <w:bottom w:val="none" w:sz="0" w:space="0" w:color="auto"/>
            <w:right w:val="none" w:sz="0" w:space="0" w:color="auto"/>
          </w:divBdr>
          <w:divsChild>
            <w:div w:id="157334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254162">
      <w:bodyDiv w:val="1"/>
      <w:marLeft w:val="0"/>
      <w:marRight w:val="0"/>
      <w:marTop w:val="0"/>
      <w:marBottom w:val="0"/>
      <w:divBdr>
        <w:top w:val="none" w:sz="0" w:space="0" w:color="auto"/>
        <w:left w:val="none" w:sz="0" w:space="0" w:color="auto"/>
        <w:bottom w:val="none" w:sz="0" w:space="0" w:color="auto"/>
        <w:right w:val="none" w:sz="0" w:space="0" w:color="auto"/>
      </w:divBdr>
      <w:divsChild>
        <w:div w:id="134765745">
          <w:marLeft w:val="0"/>
          <w:marRight w:val="0"/>
          <w:marTop w:val="0"/>
          <w:marBottom w:val="0"/>
          <w:divBdr>
            <w:top w:val="none" w:sz="0" w:space="0" w:color="auto"/>
            <w:left w:val="none" w:sz="0" w:space="0" w:color="auto"/>
            <w:bottom w:val="none" w:sz="0" w:space="0" w:color="auto"/>
            <w:right w:val="none" w:sz="0" w:space="0" w:color="auto"/>
          </w:divBdr>
          <w:divsChild>
            <w:div w:id="53932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31870">
      <w:bodyDiv w:val="1"/>
      <w:marLeft w:val="0"/>
      <w:marRight w:val="0"/>
      <w:marTop w:val="0"/>
      <w:marBottom w:val="0"/>
      <w:divBdr>
        <w:top w:val="none" w:sz="0" w:space="0" w:color="auto"/>
        <w:left w:val="none" w:sz="0" w:space="0" w:color="auto"/>
        <w:bottom w:val="none" w:sz="0" w:space="0" w:color="auto"/>
        <w:right w:val="none" w:sz="0" w:space="0" w:color="auto"/>
      </w:divBdr>
    </w:div>
    <w:div w:id="1929071670">
      <w:bodyDiv w:val="1"/>
      <w:marLeft w:val="0"/>
      <w:marRight w:val="0"/>
      <w:marTop w:val="0"/>
      <w:marBottom w:val="0"/>
      <w:divBdr>
        <w:top w:val="none" w:sz="0" w:space="0" w:color="auto"/>
        <w:left w:val="none" w:sz="0" w:space="0" w:color="auto"/>
        <w:bottom w:val="none" w:sz="0" w:space="0" w:color="auto"/>
        <w:right w:val="none" w:sz="0" w:space="0" w:color="auto"/>
      </w:divBdr>
      <w:divsChild>
        <w:div w:id="2027713707">
          <w:marLeft w:val="0"/>
          <w:marRight w:val="0"/>
          <w:marTop w:val="0"/>
          <w:marBottom w:val="0"/>
          <w:divBdr>
            <w:top w:val="none" w:sz="0" w:space="0" w:color="auto"/>
            <w:left w:val="none" w:sz="0" w:space="0" w:color="auto"/>
            <w:bottom w:val="none" w:sz="0" w:space="0" w:color="auto"/>
            <w:right w:val="none" w:sz="0" w:space="0" w:color="auto"/>
          </w:divBdr>
          <w:divsChild>
            <w:div w:id="538200863">
              <w:marLeft w:val="0"/>
              <w:marRight w:val="0"/>
              <w:marTop w:val="0"/>
              <w:marBottom w:val="0"/>
              <w:divBdr>
                <w:top w:val="none" w:sz="0" w:space="0" w:color="auto"/>
                <w:left w:val="none" w:sz="0" w:space="0" w:color="auto"/>
                <w:bottom w:val="none" w:sz="0" w:space="0" w:color="auto"/>
                <w:right w:val="none" w:sz="0" w:space="0" w:color="auto"/>
              </w:divBdr>
              <w:divsChild>
                <w:div w:id="101229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548878">
      <w:bodyDiv w:val="1"/>
      <w:marLeft w:val="0"/>
      <w:marRight w:val="0"/>
      <w:marTop w:val="0"/>
      <w:marBottom w:val="0"/>
      <w:divBdr>
        <w:top w:val="none" w:sz="0" w:space="0" w:color="auto"/>
        <w:left w:val="none" w:sz="0" w:space="0" w:color="auto"/>
        <w:bottom w:val="none" w:sz="0" w:space="0" w:color="auto"/>
        <w:right w:val="none" w:sz="0" w:space="0" w:color="auto"/>
      </w:divBdr>
    </w:div>
    <w:div w:id="1998218892">
      <w:bodyDiv w:val="1"/>
      <w:marLeft w:val="0"/>
      <w:marRight w:val="0"/>
      <w:marTop w:val="0"/>
      <w:marBottom w:val="0"/>
      <w:divBdr>
        <w:top w:val="none" w:sz="0" w:space="0" w:color="auto"/>
        <w:left w:val="none" w:sz="0" w:space="0" w:color="auto"/>
        <w:bottom w:val="none" w:sz="0" w:space="0" w:color="auto"/>
        <w:right w:val="none" w:sz="0" w:space="0" w:color="auto"/>
      </w:divBdr>
    </w:div>
    <w:div w:id="2006320477">
      <w:bodyDiv w:val="1"/>
      <w:marLeft w:val="0"/>
      <w:marRight w:val="0"/>
      <w:marTop w:val="0"/>
      <w:marBottom w:val="0"/>
      <w:divBdr>
        <w:top w:val="none" w:sz="0" w:space="0" w:color="auto"/>
        <w:left w:val="none" w:sz="0" w:space="0" w:color="auto"/>
        <w:bottom w:val="none" w:sz="0" w:space="0" w:color="auto"/>
        <w:right w:val="none" w:sz="0" w:space="0" w:color="auto"/>
      </w:divBdr>
    </w:div>
    <w:div w:id="2041709917">
      <w:bodyDiv w:val="1"/>
      <w:marLeft w:val="0"/>
      <w:marRight w:val="0"/>
      <w:marTop w:val="0"/>
      <w:marBottom w:val="0"/>
      <w:divBdr>
        <w:top w:val="none" w:sz="0" w:space="0" w:color="auto"/>
        <w:left w:val="none" w:sz="0" w:space="0" w:color="auto"/>
        <w:bottom w:val="none" w:sz="0" w:space="0" w:color="auto"/>
        <w:right w:val="none" w:sz="0" w:space="0" w:color="auto"/>
      </w:divBdr>
    </w:div>
    <w:div w:id="2045445401">
      <w:bodyDiv w:val="1"/>
      <w:marLeft w:val="0"/>
      <w:marRight w:val="0"/>
      <w:marTop w:val="0"/>
      <w:marBottom w:val="0"/>
      <w:divBdr>
        <w:top w:val="none" w:sz="0" w:space="0" w:color="auto"/>
        <w:left w:val="none" w:sz="0" w:space="0" w:color="auto"/>
        <w:bottom w:val="none" w:sz="0" w:space="0" w:color="auto"/>
        <w:right w:val="none" w:sz="0" w:space="0" w:color="auto"/>
      </w:divBdr>
    </w:div>
    <w:div w:id="2061785137">
      <w:bodyDiv w:val="1"/>
      <w:marLeft w:val="0"/>
      <w:marRight w:val="0"/>
      <w:marTop w:val="0"/>
      <w:marBottom w:val="0"/>
      <w:divBdr>
        <w:top w:val="none" w:sz="0" w:space="0" w:color="auto"/>
        <w:left w:val="none" w:sz="0" w:space="0" w:color="auto"/>
        <w:bottom w:val="none" w:sz="0" w:space="0" w:color="auto"/>
        <w:right w:val="none" w:sz="0" w:space="0" w:color="auto"/>
      </w:divBdr>
    </w:div>
    <w:div w:id="2072997419">
      <w:bodyDiv w:val="1"/>
      <w:marLeft w:val="0"/>
      <w:marRight w:val="0"/>
      <w:marTop w:val="0"/>
      <w:marBottom w:val="0"/>
      <w:divBdr>
        <w:top w:val="none" w:sz="0" w:space="0" w:color="auto"/>
        <w:left w:val="none" w:sz="0" w:space="0" w:color="auto"/>
        <w:bottom w:val="none" w:sz="0" w:space="0" w:color="auto"/>
        <w:right w:val="none" w:sz="0" w:space="0" w:color="auto"/>
      </w:divBdr>
    </w:div>
    <w:div w:id="2079093075">
      <w:bodyDiv w:val="1"/>
      <w:marLeft w:val="0"/>
      <w:marRight w:val="0"/>
      <w:marTop w:val="0"/>
      <w:marBottom w:val="0"/>
      <w:divBdr>
        <w:top w:val="none" w:sz="0" w:space="0" w:color="auto"/>
        <w:left w:val="none" w:sz="0" w:space="0" w:color="auto"/>
        <w:bottom w:val="none" w:sz="0" w:space="0" w:color="auto"/>
        <w:right w:val="none" w:sz="0" w:space="0" w:color="auto"/>
      </w:divBdr>
      <w:divsChild>
        <w:div w:id="1596553110">
          <w:marLeft w:val="0"/>
          <w:marRight w:val="0"/>
          <w:marTop w:val="0"/>
          <w:marBottom w:val="0"/>
          <w:divBdr>
            <w:top w:val="none" w:sz="0" w:space="0" w:color="auto"/>
            <w:left w:val="none" w:sz="0" w:space="0" w:color="auto"/>
            <w:bottom w:val="none" w:sz="0" w:space="0" w:color="auto"/>
            <w:right w:val="none" w:sz="0" w:space="0" w:color="auto"/>
          </w:divBdr>
          <w:divsChild>
            <w:div w:id="154128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742109">
      <w:bodyDiv w:val="1"/>
      <w:marLeft w:val="0"/>
      <w:marRight w:val="0"/>
      <w:marTop w:val="0"/>
      <w:marBottom w:val="0"/>
      <w:divBdr>
        <w:top w:val="none" w:sz="0" w:space="0" w:color="auto"/>
        <w:left w:val="none" w:sz="0" w:space="0" w:color="auto"/>
        <w:bottom w:val="none" w:sz="0" w:space="0" w:color="auto"/>
        <w:right w:val="none" w:sz="0" w:space="0" w:color="auto"/>
      </w:divBdr>
      <w:divsChild>
        <w:div w:id="1081025143">
          <w:marLeft w:val="0"/>
          <w:marRight w:val="0"/>
          <w:marTop w:val="0"/>
          <w:marBottom w:val="0"/>
          <w:divBdr>
            <w:top w:val="none" w:sz="0" w:space="0" w:color="auto"/>
            <w:left w:val="none" w:sz="0" w:space="0" w:color="auto"/>
            <w:bottom w:val="none" w:sz="0" w:space="0" w:color="auto"/>
            <w:right w:val="none" w:sz="0" w:space="0" w:color="auto"/>
          </w:divBdr>
          <w:divsChild>
            <w:div w:id="200477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837743">
      <w:bodyDiv w:val="1"/>
      <w:marLeft w:val="0"/>
      <w:marRight w:val="0"/>
      <w:marTop w:val="0"/>
      <w:marBottom w:val="0"/>
      <w:divBdr>
        <w:top w:val="none" w:sz="0" w:space="0" w:color="auto"/>
        <w:left w:val="none" w:sz="0" w:space="0" w:color="auto"/>
        <w:bottom w:val="none" w:sz="0" w:space="0" w:color="auto"/>
        <w:right w:val="none" w:sz="0" w:space="0" w:color="auto"/>
      </w:divBdr>
    </w:div>
    <w:div w:id="214434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teidh.or.cr/sitios/libros/todos/docs/privados9.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rteidh.or.cr/sitios/libros/todos/docs/privados9.pdf" TargetMode="External"/><Relationship Id="rId5" Type="http://schemas.openxmlformats.org/officeDocument/2006/relationships/webSettings" Target="webSettings.xml"/><Relationship Id="rId10" Type="http://schemas.openxmlformats.org/officeDocument/2006/relationships/hyperlink" Target="http://www.corteidh.or.cr/sitios/libros/todos/docs/privados9.pdf" TargetMode="External"/><Relationship Id="rId4" Type="http://schemas.openxmlformats.org/officeDocument/2006/relationships/settings" Target="settings.xml"/><Relationship Id="rId9" Type="http://schemas.openxmlformats.org/officeDocument/2006/relationships/hyperlink" Target="http://www.corteidh.or.cr/sitios/libros/todos/docs/desaparicionforzada7.pdf"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163F91-A4FC-2C47-B6DA-EFC946BFB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1169</TotalTime>
  <Pages>179</Pages>
  <Words>93195</Words>
  <Characters>512577</Characters>
  <Application>Microsoft Office Word</Application>
  <DocSecurity>0</DocSecurity>
  <Lines>4271</Lines>
  <Paragraphs>1209</Paragraphs>
  <ScaleCrop>false</ScaleCrop>
  <HeadingPairs>
    <vt:vector size="2" baseType="variant">
      <vt:variant>
        <vt:lpstr>Título</vt:lpstr>
      </vt:variant>
      <vt:variant>
        <vt:i4>1</vt:i4>
      </vt:variant>
    </vt:vector>
  </HeadingPairs>
  <TitlesOfParts>
    <vt:vector size="1" baseType="lpstr">
      <vt:lpstr/>
    </vt:vector>
  </TitlesOfParts>
  <Company>Universidad de Chile</Company>
  <LinksUpToDate>false</LinksUpToDate>
  <CharactersWithSpaces>604563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cdh</dc:creator>
  <cp:lastModifiedBy>Claudio Nash</cp:lastModifiedBy>
  <cp:revision>166</cp:revision>
  <cp:lastPrinted>2016-04-18T16:32:00Z</cp:lastPrinted>
  <dcterms:created xsi:type="dcterms:W3CDTF">2021-11-09T14:06:00Z</dcterms:created>
  <dcterms:modified xsi:type="dcterms:W3CDTF">2021-11-28T21:02:00Z</dcterms:modified>
</cp:coreProperties>
</file>