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AB81A" w14:textId="59D392DA" w:rsidR="00D31006" w:rsidRPr="00D86945" w:rsidRDefault="00D31006" w:rsidP="004F4FE7">
      <w:pPr>
        <w:spacing w:line="240" w:lineRule="auto"/>
        <w:jc w:val="center"/>
        <w:rPr>
          <w:rFonts w:ascii="Verdana" w:hAnsi="Verdana" w:cstheme="minorHAnsi"/>
          <w:b/>
          <w:sz w:val="20"/>
          <w:szCs w:val="20"/>
        </w:rPr>
      </w:pPr>
    </w:p>
    <w:p w14:paraId="07D17CE4" w14:textId="77777777" w:rsidR="00FD4EAA" w:rsidRPr="00D86945" w:rsidRDefault="00D31006" w:rsidP="004F4FE7">
      <w:pPr>
        <w:spacing w:line="240" w:lineRule="auto"/>
        <w:contextualSpacing/>
        <w:rPr>
          <w:rFonts w:ascii="Verdana" w:eastAsia="Calibri" w:hAnsi="Verdana" w:cstheme="majorHAnsi"/>
          <w:b/>
          <w:sz w:val="20"/>
          <w:szCs w:val="20"/>
        </w:rPr>
      </w:pPr>
      <w:r w:rsidRPr="00D86945">
        <w:rPr>
          <w:rFonts w:ascii="Verdana" w:eastAsia="Calibri" w:hAnsi="Verdana" w:cstheme="majorHAnsi"/>
          <w:sz w:val="20"/>
          <w:szCs w:val="20"/>
        </w:rPr>
        <w:t>CUADERNILLO DE JURISPRUDENCIA DE LA CORTE INTERAME</w:t>
      </w:r>
      <w:r w:rsidR="00E33D1C" w:rsidRPr="00D86945">
        <w:rPr>
          <w:rFonts w:ascii="Verdana" w:eastAsia="Calibri" w:hAnsi="Verdana" w:cstheme="majorHAnsi"/>
          <w:sz w:val="20"/>
          <w:szCs w:val="20"/>
        </w:rPr>
        <w:t>RICANA DE DERECHOS HUMANOS Nº 16</w:t>
      </w:r>
      <w:r w:rsidRPr="00D86945">
        <w:rPr>
          <w:rFonts w:ascii="Verdana" w:eastAsia="Calibri" w:hAnsi="Verdana" w:cstheme="majorHAnsi"/>
          <w:sz w:val="20"/>
          <w:szCs w:val="20"/>
        </w:rPr>
        <w:t>:</w:t>
      </w:r>
      <w:r w:rsidRPr="00D86945">
        <w:rPr>
          <w:rFonts w:ascii="Verdana" w:eastAsia="Calibri" w:hAnsi="Verdana" w:cstheme="majorHAnsi"/>
          <w:b/>
          <w:sz w:val="20"/>
          <w:szCs w:val="20"/>
        </w:rPr>
        <w:t xml:space="preserve"> </w:t>
      </w:r>
    </w:p>
    <w:p w14:paraId="7BE11E5C" w14:textId="3DF7C95A" w:rsidR="00D31006" w:rsidRPr="00D86945" w:rsidRDefault="00D31006" w:rsidP="004F4FE7">
      <w:pPr>
        <w:spacing w:line="240" w:lineRule="auto"/>
        <w:contextualSpacing/>
        <w:rPr>
          <w:rFonts w:ascii="Verdana" w:eastAsia="Calibri" w:hAnsi="Verdana" w:cstheme="majorHAnsi"/>
          <w:b/>
          <w:sz w:val="20"/>
          <w:szCs w:val="20"/>
        </w:rPr>
      </w:pPr>
      <w:r w:rsidRPr="00D86945">
        <w:rPr>
          <w:rFonts w:ascii="Verdana" w:eastAsia="Calibri" w:hAnsi="Verdana" w:cstheme="majorHAnsi"/>
          <w:b/>
          <w:sz w:val="20"/>
          <w:szCs w:val="20"/>
        </w:rPr>
        <w:t xml:space="preserve">LIBERTAD DE </w:t>
      </w:r>
      <w:r w:rsidR="007E5A9B" w:rsidRPr="00D86945">
        <w:rPr>
          <w:rFonts w:ascii="Verdana" w:eastAsia="Calibri" w:hAnsi="Verdana" w:cstheme="majorHAnsi"/>
          <w:b/>
          <w:sz w:val="20"/>
          <w:szCs w:val="20"/>
        </w:rPr>
        <w:t xml:space="preserve">PENSAMIENTO Y DE </w:t>
      </w:r>
      <w:r w:rsidRPr="00D86945">
        <w:rPr>
          <w:rFonts w:ascii="Verdana" w:eastAsia="Calibri" w:hAnsi="Verdana" w:cstheme="majorHAnsi"/>
          <w:b/>
          <w:sz w:val="20"/>
          <w:szCs w:val="20"/>
        </w:rPr>
        <w:t>EXPRESIÓN</w:t>
      </w:r>
    </w:p>
    <w:p w14:paraId="0656A61D" w14:textId="66708497" w:rsidR="00215583" w:rsidRDefault="00215583" w:rsidP="004F4FE7">
      <w:pPr>
        <w:spacing w:line="240" w:lineRule="auto"/>
        <w:jc w:val="center"/>
        <w:rPr>
          <w:rFonts w:ascii="Verdana" w:hAnsi="Verdana" w:cstheme="minorHAnsi"/>
          <w:b/>
          <w:sz w:val="20"/>
          <w:szCs w:val="20"/>
        </w:rPr>
      </w:pPr>
      <w:r>
        <w:rPr>
          <w:rFonts w:ascii="Verdana" w:hAnsi="Verdana" w:cstheme="minorHAnsi"/>
          <w:b/>
          <w:sz w:val="20"/>
          <w:szCs w:val="20"/>
        </w:rPr>
        <w:br w:type="page"/>
      </w:r>
    </w:p>
    <w:p w14:paraId="059B9284" w14:textId="77777777" w:rsidR="00D31006" w:rsidRPr="00D86945" w:rsidRDefault="00D31006" w:rsidP="004F4FE7">
      <w:pPr>
        <w:spacing w:line="240" w:lineRule="auto"/>
        <w:jc w:val="center"/>
        <w:rPr>
          <w:rFonts w:ascii="Verdana" w:hAnsi="Verdana" w:cstheme="minorHAnsi"/>
          <w:b/>
          <w:sz w:val="20"/>
          <w:szCs w:val="20"/>
        </w:rPr>
      </w:pPr>
    </w:p>
    <w:p w14:paraId="452F4F39" w14:textId="3DA212F5" w:rsidR="00D31006" w:rsidRPr="00D86945" w:rsidRDefault="00D31006" w:rsidP="004F4FE7">
      <w:pPr>
        <w:spacing w:line="240" w:lineRule="auto"/>
        <w:ind w:firstLine="567"/>
        <w:contextualSpacing/>
        <w:jc w:val="both"/>
        <w:rPr>
          <w:rFonts w:ascii="Verdana" w:eastAsia="Calibri" w:hAnsi="Verdana" w:cstheme="minorHAnsi"/>
          <w:sz w:val="20"/>
          <w:szCs w:val="20"/>
        </w:rPr>
      </w:pPr>
      <w:r w:rsidRPr="00D86945">
        <w:rPr>
          <w:rFonts w:ascii="Verdana" w:eastAsia="Calibri" w:hAnsi="Verdana" w:cstheme="minorHAnsi"/>
          <w:sz w:val="20"/>
          <w:szCs w:val="20"/>
        </w:rPr>
        <w:t xml:space="preserve">El presente cuadernillo de jurisprudencia es el décimo </w:t>
      </w:r>
      <w:r w:rsidR="00E33D1C" w:rsidRPr="00D86945">
        <w:rPr>
          <w:rFonts w:ascii="Verdana" w:eastAsia="Calibri" w:hAnsi="Verdana" w:cstheme="minorHAnsi"/>
          <w:sz w:val="20"/>
          <w:szCs w:val="20"/>
        </w:rPr>
        <w:t>sexto</w:t>
      </w:r>
      <w:r w:rsidRPr="00D86945">
        <w:rPr>
          <w:rFonts w:ascii="Verdana" w:eastAsia="Calibri" w:hAnsi="Verdana" w:cstheme="minorHAnsi"/>
          <w:sz w:val="20"/>
          <w:szCs w:val="20"/>
        </w:rPr>
        <w:t xml:space="preserve"> número de una serie de publicaciones que la Corte Interamericana de Derechos Humanos (Corte IDH) realiza con el objeto de dar a conocer las principales líneas jurisprudenciales de la Corte en diversos temas de relevancia e interés regional. Este décimo </w:t>
      </w:r>
      <w:r w:rsidR="00ED2186" w:rsidRPr="00D86945">
        <w:rPr>
          <w:rFonts w:ascii="Verdana" w:eastAsia="Calibri" w:hAnsi="Verdana" w:cstheme="minorHAnsi"/>
          <w:sz w:val="20"/>
          <w:szCs w:val="20"/>
        </w:rPr>
        <w:t>sexto</w:t>
      </w:r>
      <w:r w:rsidRPr="00D86945">
        <w:rPr>
          <w:rFonts w:ascii="Verdana" w:eastAsia="Calibri" w:hAnsi="Verdana" w:cstheme="minorHAnsi"/>
          <w:sz w:val="20"/>
          <w:szCs w:val="20"/>
        </w:rPr>
        <w:t xml:space="preserve"> número está dedicado a abordar el tema de la Libertad de</w:t>
      </w:r>
      <w:r w:rsidR="007E5A9B" w:rsidRPr="00D86945">
        <w:rPr>
          <w:rFonts w:ascii="Verdana" w:eastAsia="Calibri" w:hAnsi="Verdana" w:cstheme="minorHAnsi"/>
          <w:sz w:val="20"/>
          <w:szCs w:val="20"/>
        </w:rPr>
        <w:t xml:space="preserve"> Pensamiento y de</w:t>
      </w:r>
      <w:r w:rsidRPr="00D86945">
        <w:rPr>
          <w:rFonts w:ascii="Verdana" w:eastAsia="Calibri" w:hAnsi="Verdana" w:cstheme="minorHAnsi"/>
          <w:sz w:val="20"/>
          <w:szCs w:val="20"/>
        </w:rPr>
        <w:t xml:space="preserve"> Expresión</w:t>
      </w:r>
      <w:r w:rsidR="00ED2186" w:rsidRPr="00D86945">
        <w:rPr>
          <w:rFonts w:ascii="Verdana" w:eastAsia="Calibri" w:hAnsi="Verdana" w:cstheme="minorHAnsi"/>
          <w:sz w:val="20"/>
          <w:szCs w:val="20"/>
        </w:rPr>
        <w:t xml:space="preserve"> incorporando las sentencias, opiniones consultivas y otras resoluciones de esta Corte hasta </w:t>
      </w:r>
      <w:r w:rsidR="002A5747">
        <w:rPr>
          <w:rFonts w:ascii="Verdana" w:eastAsia="Calibri" w:hAnsi="Verdana" w:cstheme="minorHAnsi"/>
          <w:sz w:val="20"/>
          <w:szCs w:val="20"/>
        </w:rPr>
        <w:t>diciembre</w:t>
      </w:r>
      <w:r w:rsidR="00215583">
        <w:rPr>
          <w:rFonts w:ascii="Verdana" w:eastAsia="Calibri" w:hAnsi="Verdana" w:cstheme="minorHAnsi"/>
          <w:sz w:val="20"/>
          <w:szCs w:val="20"/>
        </w:rPr>
        <w:t xml:space="preserve"> de 2021</w:t>
      </w:r>
      <w:r w:rsidRPr="00D86945">
        <w:rPr>
          <w:rFonts w:ascii="Verdana" w:eastAsia="Calibri" w:hAnsi="Verdana" w:cstheme="minorHAnsi"/>
          <w:sz w:val="20"/>
          <w:szCs w:val="20"/>
        </w:rPr>
        <w:t>.</w:t>
      </w:r>
    </w:p>
    <w:p w14:paraId="42FF0962" w14:textId="77777777" w:rsidR="00D31006" w:rsidRPr="00D86945" w:rsidRDefault="00D31006" w:rsidP="004F4FE7">
      <w:pPr>
        <w:spacing w:line="240" w:lineRule="auto"/>
        <w:contextualSpacing/>
        <w:jc w:val="both"/>
        <w:rPr>
          <w:rFonts w:ascii="Verdana" w:eastAsia="Calibri" w:hAnsi="Verdana" w:cstheme="minorHAnsi"/>
          <w:sz w:val="20"/>
          <w:szCs w:val="20"/>
        </w:rPr>
      </w:pPr>
    </w:p>
    <w:p w14:paraId="4D17DFF9" w14:textId="3760630E" w:rsidR="00D31006" w:rsidRPr="00D86945" w:rsidRDefault="00D31006" w:rsidP="004F4FE7">
      <w:pPr>
        <w:spacing w:line="240" w:lineRule="auto"/>
        <w:ind w:firstLine="567"/>
        <w:contextualSpacing/>
        <w:jc w:val="both"/>
        <w:rPr>
          <w:rFonts w:ascii="Verdana" w:eastAsia="Calibri" w:hAnsi="Verdana" w:cstheme="minorHAnsi"/>
          <w:sz w:val="20"/>
          <w:szCs w:val="20"/>
        </w:rPr>
      </w:pPr>
      <w:r w:rsidRPr="00D86945">
        <w:rPr>
          <w:rFonts w:ascii="Verdana" w:eastAsia="Calibri" w:hAnsi="Verdana" w:cstheme="minorHAnsi"/>
          <w:sz w:val="20"/>
          <w:szCs w:val="20"/>
        </w:rPr>
        <w:t>Para abordar este tema, se han extractado los párrafos más relevantes de los casos contenciosos en que la Corte ha tratado esta temática. La recopilación y sistematización se ha centrado en los diversos aspectos tratados por la jurisprudencia de la Corte relativo a los diferentes numerales del art. 13 de la Convención Americana sobre Derechos Humanos. Además, se tratan algunos temas conexos, como la relación de la libertad de expresión con el sistema democrático, el rol de los medios de comunicación y de los periodistas; su rol en el control de la actividad pública, la función pública y la libertad de expresión; el principio de igualdad y no discriminación y este derecho, entre otros. Asimismo, se concluye el estudio con algunos ejemplos de medidas de reparación dictadas en casos sobre la materia.</w:t>
      </w:r>
    </w:p>
    <w:p w14:paraId="27F83876" w14:textId="77777777" w:rsidR="00D31006" w:rsidRPr="00D86945" w:rsidRDefault="00D31006" w:rsidP="004F4FE7">
      <w:pPr>
        <w:spacing w:line="240" w:lineRule="auto"/>
        <w:ind w:firstLine="567"/>
        <w:contextualSpacing/>
        <w:jc w:val="both"/>
        <w:rPr>
          <w:rFonts w:ascii="Verdana" w:eastAsia="Calibri" w:hAnsi="Verdana" w:cstheme="minorHAnsi"/>
          <w:sz w:val="20"/>
          <w:szCs w:val="20"/>
        </w:rPr>
      </w:pPr>
    </w:p>
    <w:p w14:paraId="789ADB02" w14:textId="20178759" w:rsidR="00D31006" w:rsidRPr="00D86945" w:rsidRDefault="00D31006" w:rsidP="004F4FE7">
      <w:pPr>
        <w:spacing w:line="240" w:lineRule="auto"/>
        <w:ind w:firstLine="567"/>
        <w:contextualSpacing/>
        <w:jc w:val="both"/>
        <w:rPr>
          <w:rFonts w:ascii="Verdana" w:eastAsia="Calibri" w:hAnsi="Verdana" w:cstheme="minorHAnsi"/>
          <w:sz w:val="20"/>
          <w:szCs w:val="20"/>
        </w:rPr>
      </w:pPr>
      <w:r w:rsidRPr="00D86945">
        <w:rPr>
          <w:rFonts w:ascii="Verdana" w:eastAsia="Calibri" w:hAnsi="Verdana" w:cstheme="minorHAnsi"/>
          <w:sz w:val="20"/>
          <w:szCs w:val="20"/>
        </w:rPr>
        <w:t>Se han seleccionado los principales párrafos que ilustran la opinión de la Corte relativa a los temas en que se ha dividido este cuadernillo. Se han destacado en los diversos párrafos algunas cuestiones que la Corte va desarrollando jurisprudencialmente a partir de los hechos particulares de cada caso, en vistas a facilitar la lectura y comprensión de la forma en que se ha ido construyendo jurisprudencialmente sobre este importante derecho convencional. Los títulos buscan facilitar la lectura y no necesariamente corresponde a los usados en las sentencias u opiniones consultivas. Sólo se han dejado en el texto algunas notas a pie de página cuando la Corte hace una cita textual.</w:t>
      </w:r>
    </w:p>
    <w:p w14:paraId="67D0DB41" w14:textId="77777777" w:rsidR="00D31006" w:rsidRPr="00D86945" w:rsidRDefault="00D31006" w:rsidP="004F4FE7">
      <w:pPr>
        <w:spacing w:line="240" w:lineRule="auto"/>
        <w:ind w:firstLine="567"/>
        <w:contextualSpacing/>
        <w:jc w:val="both"/>
        <w:rPr>
          <w:rFonts w:ascii="Verdana" w:eastAsia="Calibri" w:hAnsi="Verdana" w:cstheme="minorHAnsi"/>
          <w:sz w:val="20"/>
          <w:szCs w:val="20"/>
        </w:rPr>
      </w:pPr>
    </w:p>
    <w:p w14:paraId="52782C72" w14:textId="77777777" w:rsidR="00D31006" w:rsidRPr="00D86945" w:rsidRDefault="00D31006" w:rsidP="004F4FE7">
      <w:pPr>
        <w:spacing w:line="240" w:lineRule="auto"/>
        <w:ind w:firstLine="567"/>
        <w:contextualSpacing/>
        <w:jc w:val="both"/>
        <w:rPr>
          <w:rFonts w:ascii="Verdana" w:eastAsia="Calibri" w:hAnsi="Verdana" w:cstheme="minorHAnsi"/>
          <w:sz w:val="20"/>
          <w:szCs w:val="20"/>
        </w:rPr>
      </w:pPr>
      <w:r w:rsidRPr="00D86945">
        <w:rPr>
          <w:rFonts w:ascii="Verdana" w:eastAsia="Calibri" w:hAnsi="Verdana" w:cstheme="minorHAnsi"/>
          <w:sz w:val="20"/>
          <w:szCs w:val="20"/>
        </w:rPr>
        <w:t>La Corte agradece al Dr. Claudio Nash, en su calidad de director la Fundación Diálogo Jurisprudencial Iberoamericano, por su colaboración como editor de esta Serie de Cuadernillos de Jurisprudencia de la Corte Interamericana de Derechos Humanos.</w:t>
      </w:r>
    </w:p>
    <w:p w14:paraId="674DF777" w14:textId="77777777" w:rsidR="00D31006" w:rsidRPr="00D86945" w:rsidRDefault="00D31006" w:rsidP="004F4FE7">
      <w:pPr>
        <w:spacing w:line="240" w:lineRule="auto"/>
        <w:ind w:firstLine="567"/>
        <w:contextualSpacing/>
        <w:jc w:val="both"/>
        <w:rPr>
          <w:rFonts w:ascii="Verdana" w:eastAsia="Calibri" w:hAnsi="Verdana" w:cstheme="minorHAnsi"/>
          <w:sz w:val="20"/>
          <w:szCs w:val="20"/>
        </w:rPr>
      </w:pPr>
    </w:p>
    <w:p w14:paraId="351B7935" w14:textId="77777777" w:rsidR="00D31006" w:rsidRPr="00D86945" w:rsidRDefault="00D31006" w:rsidP="004F4FE7">
      <w:pPr>
        <w:spacing w:line="240" w:lineRule="auto"/>
        <w:ind w:firstLine="567"/>
        <w:contextualSpacing/>
        <w:jc w:val="both"/>
        <w:rPr>
          <w:rFonts w:ascii="Verdana" w:eastAsia="Calibri" w:hAnsi="Verdana" w:cstheme="minorHAnsi"/>
          <w:sz w:val="20"/>
          <w:szCs w:val="20"/>
        </w:rPr>
      </w:pPr>
      <w:r w:rsidRPr="00D86945">
        <w:rPr>
          <w:rFonts w:ascii="Verdana" w:eastAsia="Calibri" w:hAnsi="Verdana" w:cstheme="minorHAnsi"/>
          <w:sz w:val="20"/>
          <w:szCs w:val="20"/>
        </w:rPr>
        <w:t>Esperamos que este cuarto Cuadernillo de Jurisprudencia sirva a la difusión de la jurisprudencia de la Corte en toda la región.</w:t>
      </w:r>
    </w:p>
    <w:p w14:paraId="62D594A9" w14:textId="65F458D6" w:rsidR="00D31006" w:rsidRPr="00D86945" w:rsidRDefault="00D31006" w:rsidP="004F4FE7">
      <w:pPr>
        <w:tabs>
          <w:tab w:val="left" w:pos="1320"/>
          <w:tab w:val="center" w:pos="4889"/>
        </w:tabs>
        <w:spacing w:line="240" w:lineRule="auto"/>
        <w:jc w:val="center"/>
        <w:rPr>
          <w:rFonts w:ascii="Verdana" w:eastAsia="Arial" w:hAnsi="Verdana"/>
          <w:b/>
          <w:sz w:val="20"/>
          <w:szCs w:val="20"/>
        </w:rPr>
      </w:pPr>
    </w:p>
    <w:p w14:paraId="6A00ED18" w14:textId="4094AC60" w:rsidR="00207E81" w:rsidRPr="00D86945" w:rsidRDefault="00207E81" w:rsidP="004F4FE7">
      <w:pPr>
        <w:tabs>
          <w:tab w:val="left" w:pos="1320"/>
          <w:tab w:val="center" w:pos="4889"/>
        </w:tabs>
        <w:spacing w:line="240" w:lineRule="auto"/>
        <w:jc w:val="center"/>
        <w:rPr>
          <w:rFonts w:ascii="Verdana" w:eastAsia="Arial" w:hAnsi="Verdana"/>
          <w:b/>
          <w:sz w:val="20"/>
          <w:szCs w:val="20"/>
        </w:rPr>
      </w:pPr>
    </w:p>
    <w:p w14:paraId="22A5C5FA" w14:textId="77777777" w:rsidR="00207E81" w:rsidRPr="00D86945" w:rsidRDefault="00207E81" w:rsidP="004F4FE7">
      <w:pPr>
        <w:tabs>
          <w:tab w:val="left" w:pos="1320"/>
          <w:tab w:val="center" w:pos="4889"/>
        </w:tabs>
        <w:spacing w:line="240" w:lineRule="auto"/>
        <w:jc w:val="center"/>
        <w:rPr>
          <w:rFonts w:ascii="Verdana" w:eastAsia="Arial" w:hAnsi="Verdana"/>
          <w:b/>
          <w:sz w:val="20"/>
          <w:szCs w:val="20"/>
        </w:rPr>
      </w:pPr>
    </w:p>
    <w:p w14:paraId="36B4F368" w14:textId="667B27F9" w:rsidR="00D31006" w:rsidRPr="00D86945" w:rsidRDefault="00215583" w:rsidP="004F4FE7">
      <w:pPr>
        <w:tabs>
          <w:tab w:val="left" w:pos="1320"/>
          <w:tab w:val="center" w:pos="4889"/>
        </w:tabs>
        <w:spacing w:line="240" w:lineRule="auto"/>
        <w:jc w:val="center"/>
        <w:rPr>
          <w:rFonts w:ascii="Verdana" w:eastAsia="Arial" w:hAnsi="Verdana"/>
          <w:b/>
          <w:sz w:val="20"/>
          <w:szCs w:val="20"/>
        </w:rPr>
      </w:pPr>
      <w:r>
        <w:rPr>
          <w:rFonts w:ascii="Verdana" w:eastAsia="Arial" w:hAnsi="Verdana"/>
          <w:b/>
          <w:sz w:val="20"/>
          <w:szCs w:val="20"/>
        </w:rPr>
        <w:t>Elizabeth Odio Benito</w:t>
      </w:r>
    </w:p>
    <w:p w14:paraId="4A64EDD7" w14:textId="6B6E863E" w:rsidR="00D31006" w:rsidRPr="00D86945" w:rsidRDefault="00D31006" w:rsidP="004F4FE7">
      <w:pPr>
        <w:spacing w:line="240" w:lineRule="auto"/>
        <w:jc w:val="center"/>
        <w:rPr>
          <w:rFonts w:ascii="Verdana" w:eastAsia="Arial" w:hAnsi="Verdana"/>
          <w:sz w:val="20"/>
          <w:szCs w:val="20"/>
        </w:rPr>
      </w:pPr>
      <w:r w:rsidRPr="00D86945">
        <w:rPr>
          <w:rFonts w:ascii="Verdana" w:eastAsia="Arial" w:hAnsi="Verdana"/>
          <w:sz w:val="20"/>
          <w:szCs w:val="20"/>
        </w:rPr>
        <w:t>President</w:t>
      </w:r>
      <w:r w:rsidR="00215583">
        <w:rPr>
          <w:rFonts w:ascii="Verdana" w:eastAsia="Arial" w:hAnsi="Verdana"/>
          <w:sz w:val="20"/>
          <w:szCs w:val="20"/>
        </w:rPr>
        <w:t>a</w:t>
      </w:r>
    </w:p>
    <w:p w14:paraId="1D051B96" w14:textId="77777777" w:rsidR="00D31006" w:rsidRPr="00D86945" w:rsidRDefault="00D31006" w:rsidP="004F4FE7">
      <w:pPr>
        <w:spacing w:line="240" w:lineRule="auto"/>
        <w:jc w:val="center"/>
        <w:rPr>
          <w:rFonts w:ascii="Verdana" w:eastAsia="Arial" w:hAnsi="Verdana"/>
          <w:sz w:val="20"/>
          <w:szCs w:val="20"/>
        </w:rPr>
      </w:pPr>
    </w:p>
    <w:p w14:paraId="639008DD" w14:textId="57E5E09D" w:rsidR="00011742" w:rsidRDefault="006E554C" w:rsidP="004F4FE7">
      <w:pPr>
        <w:spacing w:line="240" w:lineRule="auto"/>
        <w:ind w:right="-7"/>
        <w:jc w:val="both"/>
        <w:rPr>
          <w:rFonts w:ascii="Verdana" w:hAnsi="Verdana" w:cs="Times New Roman"/>
          <w:b/>
          <w:sz w:val="20"/>
          <w:szCs w:val="20"/>
          <w:lang w:val="es-ES"/>
        </w:rPr>
      </w:pPr>
      <w:r w:rsidRPr="00D86945">
        <w:rPr>
          <w:rFonts w:ascii="Verdana" w:hAnsi="Verdana" w:cs="Times New Roman"/>
          <w:b/>
          <w:sz w:val="20"/>
          <w:szCs w:val="20"/>
          <w:lang w:val="es-ES"/>
        </w:rPr>
        <w:t xml:space="preserve">                                          </w:t>
      </w:r>
      <w:r w:rsidR="00011742">
        <w:rPr>
          <w:rFonts w:ascii="Verdana" w:hAnsi="Verdana" w:cs="Times New Roman"/>
          <w:b/>
          <w:sz w:val="20"/>
          <w:szCs w:val="20"/>
          <w:lang w:val="es-ES"/>
        </w:rPr>
        <w:br w:type="page"/>
      </w:r>
    </w:p>
    <w:sdt>
      <w:sdtPr>
        <w:rPr>
          <w:rFonts w:asciiTheme="majorHAnsi" w:eastAsiaTheme="minorHAnsi" w:hAnsiTheme="majorHAnsi" w:cstheme="majorBidi"/>
          <w:b w:val="0"/>
          <w:bCs w:val="0"/>
          <w:caps w:val="0"/>
          <w:spacing w:val="0"/>
          <w:sz w:val="18"/>
          <w:szCs w:val="18"/>
          <w:u w:val="none"/>
          <w:lang w:val="es-ES_tradnl"/>
        </w:rPr>
        <w:id w:val="157117672"/>
        <w:docPartObj>
          <w:docPartGallery w:val="Table of Contents"/>
          <w:docPartUnique/>
        </w:docPartObj>
      </w:sdtPr>
      <w:sdtEndPr>
        <w:rPr>
          <w:rFonts w:eastAsiaTheme="majorEastAsia"/>
          <w:noProof/>
          <w:sz w:val="15"/>
          <w:szCs w:val="15"/>
        </w:rPr>
      </w:sdtEndPr>
      <w:sdtContent>
        <w:p w14:paraId="45E2A6FB" w14:textId="3062A5AA" w:rsidR="00161C07" w:rsidRPr="00215583" w:rsidRDefault="00416D95" w:rsidP="00215583">
          <w:pPr>
            <w:pStyle w:val="TtuloTDC"/>
            <w:rPr>
              <w:sz w:val="20"/>
              <w:szCs w:val="18"/>
            </w:rPr>
          </w:pPr>
          <w:r w:rsidRPr="00215583">
            <w:rPr>
              <w:rFonts w:eastAsiaTheme="minorHAnsi"/>
              <w:sz w:val="20"/>
              <w:szCs w:val="18"/>
            </w:rPr>
            <w:tab/>
          </w:r>
        </w:p>
        <w:p w14:paraId="4B0E255F" w14:textId="640FC62A" w:rsidR="002A5747" w:rsidRDefault="00161C07">
          <w:pPr>
            <w:pStyle w:val="TDC1"/>
            <w:tabs>
              <w:tab w:val="left" w:pos="480"/>
              <w:tab w:val="right" w:leader="dot" w:pos="8488"/>
            </w:tabs>
            <w:rPr>
              <w:rFonts w:asciiTheme="minorHAnsi" w:eastAsiaTheme="minorEastAsia" w:hAnsiTheme="minorHAnsi" w:cstheme="minorBidi"/>
              <w:b w:val="0"/>
              <w:noProof/>
              <w:sz w:val="24"/>
              <w:szCs w:val="24"/>
              <w:lang w:val="es-CL" w:eastAsia="es-MX"/>
            </w:rPr>
          </w:pPr>
          <w:r w:rsidRPr="00215583">
            <w:rPr>
              <w:rFonts w:ascii="Verdana" w:hAnsi="Verdana" w:cs="Calibri Light"/>
              <w:b w:val="0"/>
              <w:sz w:val="15"/>
              <w:szCs w:val="15"/>
            </w:rPr>
            <w:fldChar w:fldCharType="begin"/>
          </w:r>
          <w:r w:rsidRPr="00215583">
            <w:rPr>
              <w:rFonts w:ascii="Verdana" w:hAnsi="Verdana" w:cs="Calibri Light"/>
              <w:b w:val="0"/>
              <w:sz w:val="15"/>
              <w:szCs w:val="15"/>
            </w:rPr>
            <w:instrText>TOC \o "1-3" \h \z \u</w:instrText>
          </w:r>
          <w:r w:rsidRPr="00215583">
            <w:rPr>
              <w:rFonts w:ascii="Verdana" w:hAnsi="Verdana" w:cs="Calibri Light"/>
              <w:b w:val="0"/>
              <w:sz w:val="15"/>
              <w:szCs w:val="15"/>
            </w:rPr>
            <w:fldChar w:fldCharType="separate"/>
          </w:r>
          <w:hyperlink w:anchor="_Toc89691452" w:history="1">
            <w:r w:rsidR="002A5747" w:rsidRPr="00D957F5">
              <w:rPr>
                <w:rStyle w:val="Hipervnculo"/>
                <w:noProof/>
              </w:rPr>
              <w:t>1.</w:t>
            </w:r>
            <w:r w:rsidR="002A5747">
              <w:rPr>
                <w:rFonts w:asciiTheme="minorHAnsi" w:eastAsiaTheme="minorEastAsia" w:hAnsiTheme="minorHAnsi" w:cstheme="minorBidi"/>
                <w:b w:val="0"/>
                <w:noProof/>
                <w:sz w:val="24"/>
                <w:szCs w:val="24"/>
                <w:lang w:val="es-CL" w:eastAsia="es-MX"/>
              </w:rPr>
              <w:tab/>
            </w:r>
            <w:r w:rsidR="002A5747" w:rsidRPr="00D957F5">
              <w:rPr>
                <w:rStyle w:val="Hipervnculo"/>
                <w:noProof/>
              </w:rPr>
              <w:t>Aspectos Generales</w:t>
            </w:r>
            <w:r w:rsidR="002A5747">
              <w:rPr>
                <w:noProof/>
                <w:webHidden/>
              </w:rPr>
              <w:tab/>
            </w:r>
            <w:r w:rsidR="002A5747">
              <w:rPr>
                <w:noProof/>
                <w:webHidden/>
              </w:rPr>
              <w:fldChar w:fldCharType="begin"/>
            </w:r>
            <w:r w:rsidR="002A5747">
              <w:rPr>
                <w:noProof/>
                <w:webHidden/>
              </w:rPr>
              <w:instrText xml:space="preserve"> PAGEREF _Toc89691452 \h </w:instrText>
            </w:r>
            <w:r w:rsidR="002A5747">
              <w:rPr>
                <w:noProof/>
                <w:webHidden/>
              </w:rPr>
            </w:r>
            <w:r w:rsidR="002A5747">
              <w:rPr>
                <w:noProof/>
                <w:webHidden/>
              </w:rPr>
              <w:fldChar w:fldCharType="separate"/>
            </w:r>
            <w:r w:rsidR="002A5747">
              <w:rPr>
                <w:noProof/>
                <w:webHidden/>
              </w:rPr>
              <w:t>5</w:t>
            </w:r>
            <w:r w:rsidR="002A5747">
              <w:rPr>
                <w:noProof/>
                <w:webHidden/>
              </w:rPr>
              <w:fldChar w:fldCharType="end"/>
            </w:r>
          </w:hyperlink>
        </w:p>
        <w:p w14:paraId="78BC8DF1" w14:textId="19B570BB"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53" w:history="1">
            <w:r w:rsidRPr="00D957F5">
              <w:rPr>
                <w:rStyle w:val="Hipervnculo"/>
                <w:noProof/>
              </w:rPr>
              <w:t>La libertad de expresión como piedra angular de una sociedad democrática</w:t>
            </w:r>
            <w:r>
              <w:rPr>
                <w:noProof/>
                <w:webHidden/>
              </w:rPr>
              <w:tab/>
            </w:r>
            <w:r>
              <w:rPr>
                <w:noProof/>
                <w:webHidden/>
              </w:rPr>
              <w:fldChar w:fldCharType="begin"/>
            </w:r>
            <w:r>
              <w:rPr>
                <w:noProof/>
                <w:webHidden/>
              </w:rPr>
              <w:instrText xml:space="preserve"> PAGEREF _Toc89691453 \h </w:instrText>
            </w:r>
            <w:r>
              <w:rPr>
                <w:noProof/>
                <w:webHidden/>
              </w:rPr>
            </w:r>
            <w:r>
              <w:rPr>
                <w:noProof/>
                <w:webHidden/>
              </w:rPr>
              <w:fldChar w:fldCharType="separate"/>
            </w:r>
            <w:r>
              <w:rPr>
                <w:noProof/>
                <w:webHidden/>
              </w:rPr>
              <w:t>5</w:t>
            </w:r>
            <w:r>
              <w:rPr>
                <w:noProof/>
                <w:webHidden/>
              </w:rPr>
              <w:fldChar w:fldCharType="end"/>
            </w:r>
          </w:hyperlink>
        </w:p>
        <w:p w14:paraId="749E4DFC" w14:textId="21C60578"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54" w:history="1">
            <w:r w:rsidRPr="00D957F5">
              <w:rPr>
                <w:rStyle w:val="Hipervnculo"/>
                <w:noProof/>
              </w:rPr>
              <w:t>Rol de los medios de comunicación y del periodismo en relación con la libertad de pensamiento y de expresión</w:t>
            </w:r>
            <w:r>
              <w:rPr>
                <w:noProof/>
                <w:webHidden/>
              </w:rPr>
              <w:tab/>
            </w:r>
            <w:r>
              <w:rPr>
                <w:noProof/>
                <w:webHidden/>
              </w:rPr>
              <w:fldChar w:fldCharType="begin"/>
            </w:r>
            <w:r>
              <w:rPr>
                <w:noProof/>
                <w:webHidden/>
              </w:rPr>
              <w:instrText xml:space="preserve"> PAGEREF _Toc89691454 \h </w:instrText>
            </w:r>
            <w:r>
              <w:rPr>
                <w:noProof/>
                <w:webHidden/>
              </w:rPr>
            </w:r>
            <w:r>
              <w:rPr>
                <w:noProof/>
                <w:webHidden/>
              </w:rPr>
              <w:fldChar w:fldCharType="separate"/>
            </w:r>
            <w:r>
              <w:rPr>
                <w:noProof/>
                <w:webHidden/>
              </w:rPr>
              <w:t>9</w:t>
            </w:r>
            <w:r>
              <w:rPr>
                <w:noProof/>
                <w:webHidden/>
              </w:rPr>
              <w:fldChar w:fldCharType="end"/>
            </w:r>
          </w:hyperlink>
        </w:p>
        <w:p w14:paraId="7822AB10" w14:textId="5598494E"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55" w:history="1">
            <w:r w:rsidRPr="00D957F5">
              <w:rPr>
                <w:rStyle w:val="Hipervnculo"/>
                <w:noProof/>
              </w:rPr>
              <w:t>Titularidad</w:t>
            </w:r>
            <w:r>
              <w:rPr>
                <w:noProof/>
                <w:webHidden/>
              </w:rPr>
              <w:tab/>
            </w:r>
            <w:r>
              <w:rPr>
                <w:noProof/>
                <w:webHidden/>
              </w:rPr>
              <w:fldChar w:fldCharType="begin"/>
            </w:r>
            <w:r>
              <w:rPr>
                <w:noProof/>
                <w:webHidden/>
              </w:rPr>
              <w:instrText xml:space="preserve"> PAGEREF _Toc89691455 \h </w:instrText>
            </w:r>
            <w:r>
              <w:rPr>
                <w:noProof/>
                <w:webHidden/>
              </w:rPr>
            </w:r>
            <w:r>
              <w:rPr>
                <w:noProof/>
                <w:webHidden/>
              </w:rPr>
              <w:fldChar w:fldCharType="separate"/>
            </w:r>
            <w:r>
              <w:rPr>
                <w:noProof/>
                <w:webHidden/>
              </w:rPr>
              <w:t>13</w:t>
            </w:r>
            <w:r>
              <w:rPr>
                <w:noProof/>
                <w:webHidden/>
              </w:rPr>
              <w:fldChar w:fldCharType="end"/>
            </w:r>
          </w:hyperlink>
        </w:p>
        <w:p w14:paraId="65098204" w14:textId="1BE78166" w:rsidR="002A5747" w:rsidRDefault="002A5747">
          <w:pPr>
            <w:pStyle w:val="TDC1"/>
            <w:tabs>
              <w:tab w:val="left" w:pos="480"/>
              <w:tab w:val="right" w:leader="dot" w:pos="8488"/>
            </w:tabs>
            <w:rPr>
              <w:rFonts w:asciiTheme="minorHAnsi" w:eastAsiaTheme="minorEastAsia" w:hAnsiTheme="minorHAnsi" w:cstheme="minorBidi"/>
              <w:b w:val="0"/>
              <w:noProof/>
              <w:sz w:val="24"/>
              <w:szCs w:val="24"/>
              <w:lang w:val="es-CL" w:eastAsia="es-MX"/>
            </w:rPr>
          </w:pPr>
          <w:hyperlink w:anchor="_Toc89691456" w:history="1">
            <w:r w:rsidRPr="00D957F5">
              <w:rPr>
                <w:rStyle w:val="Hipervnculo"/>
                <w:noProof/>
              </w:rPr>
              <w:t>2.</w:t>
            </w:r>
            <w:r>
              <w:rPr>
                <w:rFonts w:asciiTheme="minorHAnsi" w:eastAsiaTheme="minorEastAsia" w:hAnsiTheme="minorHAnsi" w:cstheme="minorBidi"/>
                <w:b w:val="0"/>
                <w:noProof/>
                <w:sz w:val="24"/>
                <w:szCs w:val="24"/>
                <w:lang w:val="es-CL" w:eastAsia="es-MX"/>
              </w:rPr>
              <w:tab/>
            </w:r>
            <w:r w:rsidRPr="00D957F5">
              <w:rPr>
                <w:rStyle w:val="Hipervnculo"/>
                <w:noProof/>
              </w:rPr>
              <w:t>Artículo 13.1 y sus Dimensiones</w:t>
            </w:r>
            <w:r>
              <w:rPr>
                <w:noProof/>
                <w:webHidden/>
              </w:rPr>
              <w:tab/>
            </w:r>
            <w:r>
              <w:rPr>
                <w:noProof/>
                <w:webHidden/>
              </w:rPr>
              <w:fldChar w:fldCharType="begin"/>
            </w:r>
            <w:r>
              <w:rPr>
                <w:noProof/>
                <w:webHidden/>
              </w:rPr>
              <w:instrText xml:space="preserve"> PAGEREF _Toc89691456 \h </w:instrText>
            </w:r>
            <w:r>
              <w:rPr>
                <w:noProof/>
                <w:webHidden/>
              </w:rPr>
            </w:r>
            <w:r>
              <w:rPr>
                <w:noProof/>
                <w:webHidden/>
              </w:rPr>
              <w:fldChar w:fldCharType="separate"/>
            </w:r>
            <w:r>
              <w:rPr>
                <w:noProof/>
                <w:webHidden/>
              </w:rPr>
              <w:t>17</w:t>
            </w:r>
            <w:r>
              <w:rPr>
                <w:noProof/>
                <w:webHidden/>
              </w:rPr>
              <w:fldChar w:fldCharType="end"/>
            </w:r>
          </w:hyperlink>
        </w:p>
        <w:p w14:paraId="38CDC160" w14:textId="50707B52"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57" w:history="1">
            <w:r w:rsidRPr="00D957F5">
              <w:rPr>
                <w:rStyle w:val="Hipervnculo"/>
                <w:noProof/>
              </w:rPr>
              <w:t>Doble dimensión de la libertad de expresión</w:t>
            </w:r>
            <w:r>
              <w:rPr>
                <w:noProof/>
                <w:webHidden/>
              </w:rPr>
              <w:tab/>
            </w:r>
            <w:r>
              <w:rPr>
                <w:noProof/>
                <w:webHidden/>
              </w:rPr>
              <w:fldChar w:fldCharType="begin"/>
            </w:r>
            <w:r>
              <w:rPr>
                <w:noProof/>
                <w:webHidden/>
              </w:rPr>
              <w:instrText xml:space="preserve"> PAGEREF _Toc89691457 \h </w:instrText>
            </w:r>
            <w:r>
              <w:rPr>
                <w:noProof/>
                <w:webHidden/>
              </w:rPr>
            </w:r>
            <w:r>
              <w:rPr>
                <w:noProof/>
                <w:webHidden/>
              </w:rPr>
              <w:fldChar w:fldCharType="separate"/>
            </w:r>
            <w:r>
              <w:rPr>
                <w:noProof/>
                <w:webHidden/>
              </w:rPr>
              <w:t>17</w:t>
            </w:r>
            <w:r>
              <w:rPr>
                <w:noProof/>
                <w:webHidden/>
              </w:rPr>
              <w:fldChar w:fldCharType="end"/>
            </w:r>
          </w:hyperlink>
        </w:p>
        <w:p w14:paraId="48804542" w14:textId="73F88547"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58" w:history="1">
            <w:r w:rsidRPr="00D957F5">
              <w:rPr>
                <w:rStyle w:val="Hipervnculo"/>
                <w:noProof/>
              </w:rPr>
              <w:t>Contenido del derecho</w:t>
            </w:r>
            <w:r>
              <w:rPr>
                <w:noProof/>
                <w:webHidden/>
              </w:rPr>
              <w:tab/>
            </w:r>
            <w:r>
              <w:rPr>
                <w:noProof/>
                <w:webHidden/>
              </w:rPr>
              <w:fldChar w:fldCharType="begin"/>
            </w:r>
            <w:r>
              <w:rPr>
                <w:noProof/>
                <w:webHidden/>
              </w:rPr>
              <w:instrText xml:space="preserve"> PAGEREF _Toc89691458 \h </w:instrText>
            </w:r>
            <w:r>
              <w:rPr>
                <w:noProof/>
                <w:webHidden/>
              </w:rPr>
            </w:r>
            <w:r>
              <w:rPr>
                <w:noProof/>
                <w:webHidden/>
              </w:rPr>
              <w:fldChar w:fldCharType="separate"/>
            </w:r>
            <w:r>
              <w:rPr>
                <w:noProof/>
                <w:webHidden/>
              </w:rPr>
              <w:t>22</w:t>
            </w:r>
            <w:r>
              <w:rPr>
                <w:noProof/>
                <w:webHidden/>
              </w:rPr>
              <w:fldChar w:fldCharType="end"/>
            </w:r>
          </w:hyperlink>
        </w:p>
        <w:p w14:paraId="7BEDD674" w14:textId="2C8BD963" w:rsidR="002A5747" w:rsidRDefault="002A5747">
          <w:pPr>
            <w:pStyle w:val="TDC3"/>
            <w:tabs>
              <w:tab w:val="right" w:leader="dot" w:pos="8488"/>
            </w:tabs>
            <w:rPr>
              <w:rFonts w:asciiTheme="minorHAnsi" w:eastAsiaTheme="minorEastAsia" w:hAnsiTheme="minorHAnsi" w:cstheme="minorBidi"/>
              <w:noProof/>
              <w:sz w:val="24"/>
              <w:szCs w:val="24"/>
              <w:lang w:val="es-CL" w:eastAsia="es-MX"/>
            </w:rPr>
          </w:pPr>
          <w:hyperlink w:anchor="_Toc89691459" w:history="1">
            <w:r w:rsidRPr="00D957F5">
              <w:rPr>
                <w:rStyle w:val="Hipervnculo"/>
                <w:noProof/>
              </w:rPr>
              <w:t>A) Expresar y difundir</w:t>
            </w:r>
            <w:r>
              <w:rPr>
                <w:noProof/>
                <w:webHidden/>
              </w:rPr>
              <w:tab/>
            </w:r>
            <w:r>
              <w:rPr>
                <w:noProof/>
                <w:webHidden/>
              </w:rPr>
              <w:fldChar w:fldCharType="begin"/>
            </w:r>
            <w:r>
              <w:rPr>
                <w:noProof/>
                <w:webHidden/>
              </w:rPr>
              <w:instrText xml:space="preserve"> PAGEREF _Toc89691459 \h </w:instrText>
            </w:r>
            <w:r>
              <w:rPr>
                <w:noProof/>
                <w:webHidden/>
              </w:rPr>
            </w:r>
            <w:r>
              <w:rPr>
                <w:noProof/>
                <w:webHidden/>
              </w:rPr>
              <w:fldChar w:fldCharType="separate"/>
            </w:r>
            <w:r>
              <w:rPr>
                <w:noProof/>
                <w:webHidden/>
              </w:rPr>
              <w:t>22</w:t>
            </w:r>
            <w:r>
              <w:rPr>
                <w:noProof/>
                <w:webHidden/>
              </w:rPr>
              <w:fldChar w:fldCharType="end"/>
            </w:r>
          </w:hyperlink>
        </w:p>
        <w:p w14:paraId="6E492C67" w14:textId="4634A45D" w:rsidR="002A5747" w:rsidRDefault="002A5747">
          <w:pPr>
            <w:pStyle w:val="TDC3"/>
            <w:tabs>
              <w:tab w:val="right" w:leader="dot" w:pos="8488"/>
            </w:tabs>
            <w:rPr>
              <w:rFonts w:asciiTheme="minorHAnsi" w:eastAsiaTheme="minorEastAsia" w:hAnsiTheme="minorHAnsi" w:cstheme="minorBidi"/>
              <w:noProof/>
              <w:sz w:val="24"/>
              <w:szCs w:val="24"/>
              <w:lang w:val="es-CL" w:eastAsia="es-MX"/>
            </w:rPr>
          </w:pPr>
          <w:hyperlink w:anchor="_Toc89691460" w:history="1">
            <w:r w:rsidRPr="00D957F5">
              <w:rPr>
                <w:rStyle w:val="Hipervnculo"/>
                <w:noProof/>
              </w:rPr>
              <w:t>B) Buscar y recibir: acceso a la información</w:t>
            </w:r>
            <w:r>
              <w:rPr>
                <w:noProof/>
                <w:webHidden/>
              </w:rPr>
              <w:tab/>
            </w:r>
            <w:r>
              <w:rPr>
                <w:noProof/>
                <w:webHidden/>
              </w:rPr>
              <w:fldChar w:fldCharType="begin"/>
            </w:r>
            <w:r>
              <w:rPr>
                <w:noProof/>
                <w:webHidden/>
              </w:rPr>
              <w:instrText xml:space="preserve"> PAGEREF _Toc89691460 \h </w:instrText>
            </w:r>
            <w:r>
              <w:rPr>
                <w:noProof/>
                <w:webHidden/>
              </w:rPr>
            </w:r>
            <w:r>
              <w:rPr>
                <w:noProof/>
                <w:webHidden/>
              </w:rPr>
              <w:fldChar w:fldCharType="separate"/>
            </w:r>
            <w:r>
              <w:rPr>
                <w:noProof/>
                <w:webHidden/>
              </w:rPr>
              <w:t>24</w:t>
            </w:r>
            <w:r>
              <w:rPr>
                <w:noProof/>
                <w:webHidden/>
              </w:rPr>
              <w:fldChar w:fldCharType="end"/>
            </w:r>
          </w:hyperlink>
        </w:p>
        <w:p w14:paraId="08396CD3" w14:textId="732DE92F"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61" w:history="1">
            <w:r w:rsidRPr="00D957F5">
              <w:rPr>
                <w:rStyle w:val="Hipervnculo"/>
                <w:noProof/>
              </w:rPr>
              <w:t>Libertad de Expresión en contextos laborales</w:t>
            </w:r>
            <w:r>
              <w:rPr>
                <w:noProof/>
                <w:webHidden/>
              </w:rPr>
              <w:tab/>
            </w:r>
            <w:r>
              <w:rPr>
                <w:noProof/>
                <w:webHidden/>
              </w:rPr>
              <w:fldChar w:fldCharType="begin"/>
            </w:r>
            <w:r>
              <w:rPr>
                <w:noProof/>
                <w:webHidden/>
              </w:rPr>
              <w:instrText xml:space="preserve"> PAGEREF _Toc89691461 \h </w:instrText>
            </w:r>
            <w:r>
              <w:rPr>
                <w:noProof/>
                <w:webHidden/>
              </w:rPr>
            </w:r>
            <w:r>
              <w:rPr>
                <w:noProof/>
                <w:webHidden/>
              </w:rPr>
              <w:fldChar w:fldCharType="separate"/>
            </w:r>
            <w:r>
              <w:rPr>
                <w:noProof/>
                <w:webHidden/>
              </w:rPr>
              <w:t>30</w:t>
            </w:r>
            <w:r>
              <w:rPr>
                <w:noProof/>
                <w:webHidden/>
              </w:rPr>
              <w:fldChar w:fldCharType="end"/>
            </w:r>
          </w:hyperlink>
        </w:p>
        <w:p w14:paraId="1E108271" w14:textId="08A5BA1A"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62" w:history="1">
            <w:r w:rsidRPr="00D957F5">
              <w:rPr>
                <w:rStyle w:val="Hipervnculo"/>
                <w:noProof/>
              </w:rPr>
              <w:t>Artículo 13.2: Los límites al derecho de la libertad de expresión</w:t>
            </w:r>
            <w:r>
              <w:rPr>
                <w:noProof/>
                <w:webHidden/>
              </w:rPr>
              <w:tab/>
            </w:r>
            <w:r>
              <w:rPr>
                <w:noProof/>
                <w:webHidden/>
              </w:rPr>
              <w:fldChar w:fldCharType="begin"/>
            </w:r>
            <w:r>
              <w:rPr>
                <w:noProof/>
                <w:webHidden/>
              </w:rPr>
              <w:instrText xml:space="preserve"> PAGEREF _Toc89691462 \h </w:instrText>
            </w:r>
            <w:r>
              <w:rPr>
                <w:noProof/>
                <w:webHidden/>
              </w:rPr>
            </w:r>
            <w:r>
              <w:rPr>
                <w:noProof/>
                <w:webHidden/>
              </w:rPr>
              <w:fldChar w:fldCharType="separate"/>
            </w:r>
            <w:r>
              <w:rPr>
                <w:noProof/>
                <w:webHidden/>
              </w:rPr>
              <w:t>32</w:t>
            </w:r>
            <w:r>
              <w:rPr>
                <w:noProof/>
                <w:webHidden/>
              </w:rPr>
              <w:fldChar w:fldCharType="end"/>
            </w:r>
          </w:hyperlink>
        </w:p>
        <w:p w14:paraId="7A68EDD5" w14:textId="0174283D" w:rsidR="002A5747" w:rsidRDefault="002A5747">
          <w:pPr>
            <w:pStyle w:val="TDC3"/>
            <w:tabs>
              <w:tab w:val="right" w:leader="dot" w:pos="8488"/>
            </w:tabs>
            <w:rPr>
              <w:rFonts w:asciiTheme="minorHAnsi" w:eastAsiaTheme="minorEastAsia" w:hAnsiTheme="minorHAnsi" w:cstheme="minorBidi"/>
              <w:noProof/>
              <w:sz w:val="24"/>
              <w:szCs w:val="24"/>
              <w:lang w:val="es-CL" w:eastAsia="es-MX"/>
            </w:rPr>
          </w:pPr>
          <w:hyperlink w:anchor="_Toc89691463" w:history="1">
            <w:r w:rsidRPr="00D957F5">
              <w:rPr>
                <w:rStyle w:val="Hipervnculo"/>
                <w:noProof/>
              </w:rPr>
              <w:t>A) Supresión de la libertad de expresión</w:t>
            </w:r>
            <w:r>
              <w:rPr>
                <w:noProof/>
                <w:webHidden/>
              </w:rPr>
              <w:tab/>
            </w:r>
            <w:r>
              <w:rPr>
                <w:noProof/>
                <w:webHidden/>
              </w:rPr>
              <w:fldChar w:fldCharType="begin"/>
            </w:r>
            <w:r>
              <w:rPr>
                <w:noProof/>
                <w:webHidden/>
              </w:rPr>
              <w:instrText xml:space="preserve"> PAGEREF _Toc89691463 \h </w:instrText>
            </w:r>
            <w:r>
              <w:rPr>
                <w:noProof/>
                <w:webHidden/>
              </w:rPr>
            </w:r>
            <w:r>
              <w:rPr>
                <w:noProof/>
                <w:webHidden/>
              </w:rPr>
              <w:fldChar w:fldCharType="separate"/>
            </w:r>
            <w:r>
              <w:rPr>
                <w:noProof/>
                <w:webHidden/>
              </w:rPr>
              <w:t>32</w:t>
            </w:r>
            <w:r>
              <w:rPr>
                <w:noProof/>
                <w:webHidden/>
              </w:rPr>
              <w:fldChar w:fldCharType="end"/>
            </w:r>
          </w:hyperlink>
        </w:p>
        <w:p w14:paraId="2678FAD8" w14:textId="17258E99" w:rsidR="002A5747" w:rsidRDefault="002A5747">
          <w:pPr>
            <w:pStyle w:val="TDC3"/>
            <w:tabs>
              <w:tab w:val="right" w:leader="dot" w:pos="8488"/>
            </w:tabs>
            <w:rPr>
              <w:rFonts w:asciiTheme="minorHAnsi" w:eastAsiaTheme="minorEastAsia" w:hAnsiTheme="minorHAnsi" w:cstheme="minorBidi"/>
              <w:noProof/>
              <w:sz w:val="24"/>
              <w:szCs w:val="24"/>
              <w:lang w:val="es-CL" w:eastAsia="es-MX"/>
            </w:rPr>
          </w:pPr>
          <w:hyperlink w:anchor="_Toc89691464" w:history="1">
            <w:r w:rsidRPr="00D957F5">
              <w:rPr>
                <w:rStyle w:val="Hipervnculo"/>
                <w:noProof/>
              </w:rPr>
              <w:t>B) Prohibición de censura previa</w:t>
            </w:r>
            <w:r>
              <w:rPr>
                <w:noProof/>
                <w:webHidden/>
              </w:rPr>
              <w:tab/>
            </w:r>
            <w:r>
              <w:rPr>
                <w:noProof/>
                <w:webHidden/>
              </w:rPr>
              <w:fldChar w:fldCharType="begin"/>
            </w:r>
            <w:r>
              <w:rPr>
                <w:noProof/>
                <w:webHidden/>
              </w:rPr>
              <w:instrText xml:space="preserve"> PAGEREF _Toc89691464 \h </w:instrText>
            </w:r>
            <w:r>
              <w:rPr>
                <w:noProof/>
                <w:webHidden/>
              </w:rPr>
            </w:r>
            <w:r>
              <w:rPr>
                <w:noProof/>
                <w:webHidden/>
              </w:rPr>
              <w:fldChar w:fldCharType="separate"/>
            </w:r>
            <w:r>
              <w:rPr>
                <w:noProof/>
                <w:webHidden/>
              </w:rPr>
              <w:t>35</w:t>
            </w:r>
            <w:r>
              <w:rPr>
                <w:noProof/>
                <w:webHidden/>
              </w:rPr>
              <w:fldChar w:fldCharType="end"/>
            </w:r>
          </w:hyperlink>
        </w:p>
        <w:p w14:paraId="0A3BEAB1" w14:textId="5867B860" w:rsidR="002A5747" w:rsidRDefault="002A5747">
          <w:pPr>
            <w:pStyle w:val="TDC3"/>
            <w:tabs>
              <w:tab w:val="right" w:leader="dot" w:pos="8488"/>
            </w:tabs>
            <w:rPr>
              <w:rFonts w:asciiTheme="minorHAnsi" w:eastAsiaTheme="minorEastAsia" w:hAnsiTheme="minorHAnsi" w:cstheme="minorBidi"/>
              <w:noProof/>
              <w:sz w:val="24"/>
              <w:szCs w:val="24"/>
              <w:lang w:val="es-CL" w:eastAsia="es-MX"/>
            </w:rPr>
          </w:pPr>
          <w:hyperlink w:anchor="_Toc89691465" w:history="1">
            <w:r w:rsidRPr="00D957F5">
              <w:rPr>
                <w:rStyle w:val="Hipervnculo"/>
                <w:noProof/>
              </w:rPr>
              <w:t>C) Responsabilidades ulteriores</w:t>
            </w:r>
            <w:r>
              <w:rPr>
                <w:noProof/>
                <w:webHidden/>
              </w:rPr>
              <w:tab/>
            </w:r>
            <w:r>
              <w:rPr>
                <w:noProof/>
                <w:webHidden/>
              </w:rPr>
              <w:fldChar w:fldCharType="begin"/>
            </w:r>
            <w:r>
              <w:rPr>
                <w:noProof/>
                <w:webHidden/>
              </w:rPr>
              <w:instrText xml:space="preserve"> PAGEREF _Toc89691465 \h </w:instrText>
            </w:r>
            <w:r>
              <w:rPr>
                <w:noProof/>
                <w:webHidden/>
              </w:rPr>
            </w:r>
            <w:r>
              <w:rPr>
                <w:noProof/>
                <w:webHidden/>
              </w:rPr>
              <w:fldChar w:fldCharType="separate"/>
            </w:r>
            <w:r>
              <w:rPr>
                <w:noProof/>
                <w:webHidden/>
              </w:rPr>
              <w:t>37</w:t>
            </w:r>
            <w:r>
              <w:rPr>
                <w:noProof/>
                <w:webHidden/>
              </w:rPr>
              <w:fldChar w:fldCharType="end"/>
            </w:r>
          </w:hyperlink>
        </w:p>
        <w:p w14:paraId="37A740F3" w14:textId="090A7425"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66" w:history="1">
            <w:r w:rsidRPr="00D957F5">
              <w:rPr>
                <w:rStyle w:val="Hipervnculo"/>
                <w:noProof/>
              </w:rPr>
              <w:t>Deber de confidencialidad</w:t>
            </w:r>
            <w:r>
              <w:rPr>
                <w:noProof/>
                <w:webHidden/>
              </w:rPr>
              <w:tab/>
            </w:r>
            <w:r>
              <w:rPr>
                <w:noProof/>
                <w:webHidden/>
              </w:rPr>
              <w:fldChar w:fldCharType="begin"/>
            </w:r>
            <w:r>
              <w:rPr>
                <w:noProof/>
                <w:webHidden/>
              </w:rPr>
              <w:instrText xml:space="preserve"> PAGEREF _Toc89691466 \h </w:instrText>
            </w:r>
            <w:r>
              <w:rPr>
                <w:noProof/>
                <w:webHidden/>
              </w:rPr>
            </w:r>
            <w:r>
              <w:rPr>
                <w:noProof/>
                <w:webHidden/>
              </w:rPr>
              <w:fldChar w:fldCharType="separate"/>
            </w:r>
            <w:r>
              <w:rPr>
                <w:noProof/>
                <w:webHidden/>
              </w:rPr>
              <w:t>76</w:t>
            </w:r>
            <w:r>
              <w:rPr>
                <w:noProof/>
                <w:webHidden/>
              </w:rPr>
              <w:fldChar w:fldCharType="end"/>
            </w:r>
          </w:hyperlink>
        </w:p>
        <w:p w14:paraId="26736A0B" w14:textId="486D5B7D"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67" w:history="1">
            <w:r w:rsidRPr="00D957F5">
              <w:rPr>
                <w:rStyle w:val="Hipervnculo"/>
                <w:noProof/>
              </w:rPr>
              <w:t>Margen reducido de restricción del debate público o político</w:t>
            </w:r>
            <w:r>
              <w:rPr>
                <w:noProof/>
                <w:webHidden/>
              </w:rPr>
              <w:tab/>
            </w:r>
            <w:r>
              <w:rPr>
                <w:noProof/>
                <w:webHidden/>
              </w:rPr>
              <w:fldChar w:fldCharType="begin"/>
            </w:r>
            <w:r>
              <w:rPr>
                <w:noProof/>
                <w:webHidden/>
              </w:rPr>
              <w:instrText xml:space="preserve"> PAGEREF _Toc89691467 \h </w:instrText>
            </w:r>
            <w:r>
              <w:rPr>
                <w:noProof/>
                <w:webHidden/>
              </w:rPr>
            </w:r>
            <w:r>
              <w:rPr>
                <w:noProof/>
                <w:webHidden/>
              </w:rPr>
              <w:fldChar w:fldCharType="separate"/>
            </w:r>
            <w:r>
              <w:rPr>
                <w:noProof/>
                <w:webHidden/>
              </w:rPr>
              <w:t>76</w:t>
            </w:r>
            <w:r>
              <w:rPr>
                <w:noProof/>
                <w:webHidden/>
              </w:rPr>
              <w:fldChar w:fldCharType="end"/>
            </w:r>
          </w:hyperlink>
        </w:p>
        <w:p w14:paraId="34B7F194" w14:textId="787E97A4"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68" w:history="1">
            <w:r w:rsidRPr="00D957F5">
              <w:rPr>
                <w:rStyle w:val="Hipervnculo"/>
                <w:noProof/>
              </w:rPr>
              <w:t>Relación con los derechos laborales</w:t>
            </w:r>
            <w:r>
              <w:rPr>
                <w:noProof/>
                <w:webHidden/>
              </w:rPr>
              <w:tab/>
            </w:r>
            <w:r>
              <w:rPr>
                <w:noProof/>
                <w:webHidden/>
              </w:rPr>
              <w:fldChar w:fldCharType="begin"/>
            </w:r>
            <w:r>
              <w:rPr>
                <w:noProof/>
                <w:webHidden/>
              </w:rPr>
              <w:instrText xml:space="preserve"> PAGEREF _Toc89691468 \h </w:instrText>
            </w:r>
            <w:r>
              <w:rPr>
                <w:noProof/>
                <w:webHidden/>
              </w:rPr>
            </w:r>
            <w:r>
              <w:rPr>
                <w:noProof/>
                <w:webHidden/>
              </w:rPr>
              <w:fldChar w:fldCharType="separate"/>
            </w:r>
            <w:r>
              <w:rPr>
                <w:noProof/>
                <w:webHidden/>
              </w:rPr>
              <w:t>83</w:t>
            </w:r>
            <w:r>
              <w:rPr>
                <w:noProof/>
                <w:webHidden/>
              </w:rPr>
              <w:fldChar w:fldCharType="end"/>
            </w:r>
          </w:hyperlink>
        </w:p>
        <w:p w14:paraId="0FBB7C7B" w14:textId="79D2CD3A" w:rsidR="002A5747" w:rsidRDefault="002A5747">
          <w:pPr>
            <w:pStyle w:val="TDC1"/>
            <w:tabs>
              <w:tab w:val="left" w:pos="480"/>
              <w:tab w:val="right" w:leader="dot" w:pos="8488"/>
            </w:tabs>
            <w:rPr>
              <w:rFonts w:asciiTheme="minorHAnsi" w:eastAsiaTheme="minorEastAsia" w:hAnsiTheme="minorHAnsi" w:cstheme="minorBidi"/>
              <w:b w:val="0"/>
              <w:noProof/>
              <w:sz w:val="24"/>
              <w:szCs w:val="24"/>
              <w:lang w:val="es-CL" w:eastAsia="es-MX"/>
            </w:rPr>
          </w:pPr>
          <w:hyperlink w:anchor="_Toc89691469" w:history="1">
            <w:r w:rsidRPr="00D957F5">
              <w:rPr>
                <w:rStyle w:val="Hipervnculo"/>
                <w:noProof/>
              </w:rPr>
              <w:t>3.</w:t>
            </w:r>
            <w:r>
              <w:rPr>
                <w:rFonts w:asciiTheme="minorHAnsi" w:eastAsiaTheme="minorEastAsia" w:hAnsiTheme="minorHAnsi" w:cstheme="minorBidi"/>
                <w:b w:val="0"/>
                <w:noProof/>
                <w:sz w:val="24"/>
                <w:szCs w:val="24"/>
                <w:lang w:val="es-CL" w:eastAsia="es-MX"/>
              </w:rPr>
              <w:tab/>
            </w:r>
            <w:r w:rsidRPr="00D957F5">
              <w:rPr>
                <w:rStyle w:val="Hipervnculo"/>
                <w:noProof/>
              </w:rPr>
              <w:t>Artículo 13.3 Restricciones Indirectas</w:t>
            </w:r>
            <w:r>
              <w:rPr>
                <w:noProof/>
                <w:webHidden/>
              </w:rPr>
              <w:tab/>
            </w:r>
            <w:r>
              <w:rPr>
                <w:noProof/>
                <w:webHidden/>
              </w:rPr>
              <w:fldChar w:fldCharType="begin"/>
            </w:r>
            <w:r>
              <w:rPr>
                <w:noProof/>
                <w:webHidden/>
              </w:rPr>
              <w:instrText xml:space="preserve"> PAGEREF _Toc89691469 \h </w:instrText>
            </w:r>
            <w:r>
              <w:rPr>
                <w:noProof/>
                <w:webHidden/>
              </w:rPr>
            </w:r>
            <w:r>
              <w:rPr>
                <w:noProof/>
                <w:webHidden/>
              </w:rPr>
              <w:fldChar w:fldCharType="separate"/>
            </w:r>
            <w:r>
              <w:rPr>
                <w:noProof/>
                <w:webHidden/>
              </w:rPr>
              <w:t>87</w:t>
            </w:r>
            <w:r>
              <w:rPr>
                <w:noProof/>
                <w:webHidden/>
              </w:rPr>
              <w:fldChar w:fldCharType="end"/>
            </w:r>
          </w:hyperlink>
        </w:p>
        <w:p w14:paraId="26A339A0" w14:textId="30D9FE88"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70" w:history="1">
            <w:r w:rsidRPr="00D957F5">
              <w:rPr>
                <w:rStyle w:val="Hipervnculo"/>
                <w:noProof/>
              </w:rPr>
              <w:t>Aspectos generales</w:t>
            </w:r>
            <w:r>
              <w:rPr>
                <w:noProof/>
                <w:webHidden/>
              </w:rPr>
              <w:tab/>
            </w:r>
            <w:r>
              <w:rPr>
                <w:noProof/>
                <w:webHidden/>
              </w:rPr>
              <w:fldChar w:fldCharType="begin"/>
            </w:r>
            <w:r>
              <w:rPr>
                <w:noProof/>
                <w:webHidden/>
              </w:rPr>
              <w:instrText xml:space="preserve"> PAGEREF _Toc89691470 \h </w:instrText>
            </w:r>
            <w:r>
              <w:rPr>
                <w:noProof/>
                <w:webHidden/>
              </w:rPr>
            </w:r>
            <w:r>
              <w:rPr>
                <w:noProof/>
                <w:webHidden/>
              </w:rPr>
              <w:fldChar w:fldCharType="separate"/>
            </w:r>
            <w:r>
              <w:rPr>
                <w:noProof/>
                <w:webHidden/>
              </w:rPr>
              <w:t>87</w:t>
            </w:r>
            <w:r>
              <w:rPr>
                <w:noProof/>
                <w:webHidden/>
              </w:rPr>
              <w:fldChar w:fldCharType="end"/>
            </w:r>
          </w:hyperlink>
        </w:p>
        <w:p w14:paraId="5EE678C7" w14:textId="20526ACD"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71" w:history="1">
            <w:r w:rsidRPr="00D957F5">
              <w:rPr>
                <w:rStyle w:val="Hipervnculo"/>
                <w:noProof/>
              </w:rPr>
              <w:t>Prohibición de controles oficiales o particulares</w:t>
            </w:r>
            <w:r>
              <w:rPr>
                <w:noProof/>
                <w:webHidden/>
              </w:rPr>
              <w:tab/>
            </w:r>
            <w:r>
              <w:rPr>
                <w:noProof/>
                <w:webHidden/>
              </w:rPr>
              <w:fldChar w:fldCharType="begin"/>
            </w:r>
            <w:r>
              <w:rPr>
                <w:noProof/>
                <w:webHidden/>
              </w:rPr>
              <w:instrText xml:space="preserve"> PAGEREF _Toc89691471 \h </w:instrText>
            </w:r>
            <w:r>
              <w:rPr>
                <w:noProof/>
                <w:webHidden/>
              </w:rPr>
            </w:r>
            <w:r>
              <w:rPr>
                <w:noProof/>
                <w:webHidden/>
              </w:rPr>
              <w:fldChar w:fldCharType="separate"/>
            </w:r>
            <w:r>
              <w:rPr>
                <w:noProof/>
                <w:webHidden/>
              </w:rPr>
              <w:t>87</w:t>
            </w:r>
            <w:r>
              <w:rPr>
                <w:noProof/>
                <w:webHidden/>
              </w:rPr>
              <w:fldChar w:fldCharType="end"/>
            </w:r>
          </w:hyperlink>
        </w:p>
        <w:p w14:paraId="4AB45956" w14:textId="693BB630"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72" w:history="1">
            <w:r w:rsidRPr="00D957F5">
              <w:rPr>
                <w:rStyle w:val="Hipervnculo"/>
                <w:noProof/>
              </w:rPr>
              <w:t>Medios indirectos de control</w:t>
            </w:r>
            <w:r>
              <w:rPr>
                <w:noProof/>
                <w:webHidden/>
              </w:rPr>
              <w:tab/>
            </w:r>
            <w:r>
              <w:rPr>
                <w:noProof/>
                <w:webHidden/>
              </w:rPr>
              <w:fldChar w:fldCharType="begin"/>
            </w:r>
            <w:r>
              <w:rPr>
                <w:noProof/>
                <w:webHidden/>
              </w:rPr>
              <w:instrText xml:space="preserve"> PAGEREF _Toc89691472 \h </w:instrText>
            </w:r>
            <w:r>
              <w:rPr>
                <w:noProof/>
                <w:webHidden/>
              </w:rPr>
            </w:r>
            <w:r>
              <w:rPr>
                <w:noProof/>
                <w:webHidden/>
              </w:rPr>
              <w:fldChar w:fldCharType="separate"/>
            </w:r>
            <w:r>
              <w:rPr>
                <w:noProof/>
                <w:webHidden/>
              </w:rPr>
              <w:t>88</w:t>
            </w:r>
            <w:r>
              <w:rPr>
                <w:noProof/>
                <w:webHidden/>
              </w:rPr>
              <w:fldChar w:fldCharType="end"/>
            </w:r>
          </w:hyperlink>
        </w:p>
        <w:p w14:paraId="03D4196E" w14:textId="6E4E6FBF" w:rsidR="002A5747" w:rsidRDefault="002A5747">
          <w:pPr>
            <w:pStyle w:val="TDC1"/>
            <w:tabs>
              <w:tab w:val="left" w:pos="480"/>
              <w:tab w:val="right" w:leader="dot" w:pos="8488"/>
            </w:tabs>
            <w:rPr>
              <w:rFonts w:asciiTheme="minorHAnsi" w:eastAsiaTheme="minorEastAsia" w:hAnsiTheme="minorHAnsi" w:cstheme="minorBidi"/>
              <w:b w:val="0"/>
              <w:noProof/>
              <w:sz w:val="24"/>
              <w:szCs w:val="24"/>
              <w:lang w:val="es-CL" w:eastAsia="es-MX"/>
            </w:rPr>
          </w:pPr>
          <w:hyperlink w:anchor="_Toc89691473" w:history="1">
            <w:r w:rsidRPr="00D957F5">
              <w:rPr>
                <w:rStyle w:val="Hipervnculo"/>
                <w:noProof/>
              </w:rPr>
              <w:t>4.</w:t>
            </w:r>
            <w:r>
              <w:rPr>
                <w:rFonts w:asciiTheme="minorHAnsi" w:eastAsiaTheme="minorEastAsia" w:hAnsiTheme="minorHAnsi" w:cstheme="minorBidi"/>
                <w:b w:val="0"/>
                <w:noProof/>
                <w:sz w:val="24"/>
                <w:szCs w:val="24"/>
                <w:lang w:val="es-CL" w:eastAsia="es-MX"/>
              </w:rPr>
              <w:tab/>
            </w:r>
            <w:r w:rsidRPr="00D957F5">
              <w:rPr>
                <w:rStyle w:val="Hipervnculo"/>
                <w:noProof/>
              </w:rPr>
              <w:t>No discriminación y libertad de expresión</w:t>
            </w:r>
            <w:r>
              <w:rPr>
                <w:noProof/>
                <w:webHidden/>
              </w:rPr>
              <w:tab/>
            </w:r>
            <w:r>
              <w:rPr>
                <w:noProof/>
                <w:webHidden/>
              </w:rPr>
              <w:fldChar w:fldCharType="begin"/>
            </w:r>
            <w:r>
              <w:rPr>
                <w:noProof/>
                <w:webHidden/>
              </w:rPr>
              <w:instrText xml:space="preserve"> PAGEREF _Toc89691473 \h </w:instrText>
            </w:r>
            <w:r>
              <w:rPr>
                <w:noProof/>
                <w:webHidden/>
              </w:rPr>
            </w:r>
            <w:r>
              <w:rPr>
                <w:noProof/>
                <w:webHidden/>
              </w:rPr>
              <w:fldChar w:fldCharType="separate"/>
            </w:r>
            <w:r>
              <w:rPr>
                <w:noProof/>
                <w:webHidden/>
              </w:rPr>
              <w:t>93</w:t>
            </w:r>
            <w:r>
              <w:rPr>
                <w:noProof/>
                <w:webHidden/>
              </w:rPr>
              <w:fldChar w:fldCharType="end"/>
            </w:r>
          </w:hyperlink>
        </w:p>
        <w:p w14:paraId="7AE034A0" w14:textId="38A1D1A5" w:rsidR="002A5747" w:rsidRDefault="002A5747">
          <w:pPr>
            <w:pStyle w:val="TDC1"/>
            <w:tabs>
              <w:tab w:val="left" w:pos="480"/>
              <w:tab w:val="right" w:leader="dot" w:pos="8488"/>
            </w:tabs>
            <w:rPr>
              <w:rFonts w:asciiTheme="minorHAnsi" w:eastAsiaTheme="minorEastAsia" w:hAnsiTheme="minorHAnsi" w:cstheme="minorBidi"/>
              <w:b w:val="0"/>
              <w:noProof/>
              <w:sz w:val="24"/>
              <w:szCs w:val="24"/>
              <w:lang w:val="es-CL" w:eastAsia="es-MX"/>
            </w:rPr>
          </w:pPr>
          <w:hyperlink w:anchor="_Toc89691474" w:history="1">
            <w:r w:rsidRPr="00D957F5">
              <w:rPr>
                <w:rStyle w:val="Hipervnculo"/>
                <w:noProof/>
              </w:rPr>
              <w:t>5.</w:t>
            </w:r>
            <w:r>
              <w:rPr>
                <w:rFonts w:asciiTheme="minorHAnsi" w:eastAsiaTheme="minorEastAsia" w:hAnsiTheme="minorHAnsi" w:cstheme="minorBidi"/>
                <w:b w:val="0"/>
                <w:noProof/>
                <w:sz w:val="24"/>
                <w:szCs w:val="24"/>
                <w:lang w:val="es-CL" w:eastAsia="es-MX"/>
              </w:rPr>
              <w:tab/>
            </w:r>
            <w:r w:rsidRPr="00D957F5">
              <w:rPr>
                <w:rStyle w:val="Hipervnculo"/>
                <w:noProof/>
              </w:rPr>
              <w:t>Obligaciones del Estado para Garantizar la Libertad de Expresión</w:t>
            </w:r>
            <w:r>
              <w:rPr>
                <w:noProof/>
                <w:webHidden/>
              </w:rPr>
              <w:tab/>
            </w:r>
            <w:r>
              <w:rPr>
                <w:noProof/>
                <w:webHidden/>
              </w:rPr>
              <w:fldChar w:fldCharType="begin"/>
            </w:r>
            <w:r>
              <w:rPr>
                <w:noProof/>
                <w:webHidden/>
              </w:rPr>
              <w:instrText xml:space="preserve"> PAGEREF _Toc89691474 \h </w:instrText>
            </w:r>
            <w:r>
              <w:rPr>
                <w:noProof/>
                <w:webHidden/>
              </w:rPr>
            </w:r>
            <w:r>
              <w:rPr>
                <w:noProof/>
                <w:webHidden/>
              </w:rPr>
              <w:fldChar w:fldCharType="separate"/>
            </w:r>
            <w:r>
              <w:rPr>
                <w:noProof/>
                <w:webHidden/>
              </w:rPr>
              <w:t>95</w:t>
            </w:r>
            <w:r>
              <w:rPr>
                <w:noProof/>
                <w:webHidden/>
              </w:rPr>
              <w:fldChar w:fldCharType="end"/>
            </w:r>
          </w:hyperlink>
        </w:p>
        <w:p w14:paraId="064FC9A7" w14:textId="7646E63C"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75" w:history="1">
            <w:r w:rsidRPr="00D957F5">
              <w:rPr>
                <w:rStyle w:val="Hipervnculo"/>
                <w:noProof/>
              </w:rPr>
              <w:t>Pluralismo</w:t>
            </w:r>
            <w:r>
              <w:rPr>
                <w:noProof/>
                <w:webHidden/>
              </w:rPr>
              <w:tab/>
            </w:r>
            <w:r>
              <w:rPr>
                <w:noProof/>
                <w:webHidden/>
              </w:rPr>
              <w:fldChar w:fldCharType="begin"/>
            </w:r>
            <w:r>
              <w:rPr>
                <w:noProof/>
                <w:webHidden/>
              </w:rPr>
              <w:instrText xml:space="preserve"> PAGEREF _Toc89691475 \h </w:instrText>
            </w:r>
            <w:r>
              <w:rPr>
                <w:noProof/>
                <w:webHidden/>
              </w:rPr>
            </w:r>
            <w:r>
              <w:rPr>
                <w:noProof/>
                <w:webHidden/>
              </w:rPr>
              <w:fldChar w:fldCharType="separate"/>
            </w:r>
            <w:r>
              <w:rPr>
                <w:noProof/>
                <w:webHidden/>
              </w:rPr>
              <w:t>95</w:t>
            </w:r>
            <w:r>
              <w:rPr>
                <w:noProof/>
                <w:webHidden/>
              </w:rPr>
              <w:fldChar w:fldCharType="end"/>
            </w:r>
          </w:hyperlink>
        </w:p>
        <w:p w14:paraId="3DF7B1F5" w14:textId="68E4B3E3"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76" w:history="1">
            <w:r w:rsidRPr="00D957F5">
              <w:rPr>
                <w:rStyle w:val="Hipervnculo"/>
                <w:noProof/>
              </w:rPr>
              <w:t>Protección de los periodistas</w:t>
            </w:r>
            <w:r>
              <w:rPr>
                <w:noProof/>
                <w:webHidden/>
              </w:rPr>
              <w:tab/>
            </w:r>
            <w:r>
              <w:rPr>
                <w:noProof/>
                <w:webHidden/>
              </w:rPr>
              <w:fldChar w:fldCharType="begin"/>
            </w:r>
            <w:r>
              <w:rPr>
                <w:noProof/>
                <w:webHidden/>
              </w:rPr>
              <w:instrText xml:space="preserve"> PAGEREF _Toc89691476 \h </w:instrText>
            </w:r>
            <w:r>
              <w:rPr>
                <w:noProof/>
                <w:webHidden/>
              </w:rPr>
            </w:r>
            <w:r>
              <w:rPr>
                <w:noProof/>
                <w:webHidden/>
              </w:rPr>
              <w:fldChar w:fldCharType="separate"/>
            </w:r>
            <w:r>
              <w:rPr>
                <w:noProof/>
                <w:webHidden/>
              </w:rPr>
              <w:t>98</w:t>
            </w:r>
            <w:r>
              <w:rPr>
                <w:noProof/>
                <w:webHidden/>
              </w:rPr>
              <w:fldChar w:fldCharType="end"/>
            </w:r>
          </w:hyperlink>
        </w:p>
        <w:p w14:paraId="6272D6DF" w14:textId="44B67711"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77" w:history="1">
            <w:r w:rsidRPr="00D957F5">
              <w:rPr>
                <w:rStyle w:val="Hipervnculo"/>
                <w:noProof/>
              </w:rPr>
              <w:t>Diligencia de las autoridades en los discursos públicos</w:t>
            </w:r>
            <w:r>
              <w:rPr>
                <w:noProof/>
                <w:webHidden/>
              </w:rPr>
              <w:tab/>
            </w:r>
            <w:r>
              <w:rPr>
                <w:noProof/>
                <w:webHidden/>
              </w:rPr>
              <w:fldChar w:fldCharType="begin"/>
            </w:r>
            <w:r>
              <w:rPr>
                <w:noProof/>
                <w:webHidden/>
              </w:rPr>
              <w:instrText xml:space="preserve"> PAGEREF _Toc89691477 \h </w:instrText>
            </w:r>
            <w:r>
              <w:rPr>
                <w:noProof/>
                <w:webHidden/>
              </w:rPr>
            </w:r>
            <w:r>
              <w:rPr>
                <w:noProof/>
                <w:webHidden/>
              </w:rPr>
              <w:fldChar w:fldCharType="separate"/>
            </w:r>
            <w:r>
              <w:rPr>
                <w:noProof/>
                <w:webHidden/>
              </w:rPr>
              <w:t>103</w:t>
            </w:r>
            <w:r>
              <w:rPr>
                <w:noProof/>
                <w:webHidden/>
              </w:rPr>
              <w:fldChar w:fldCharType="end"/>
            </w:r>
          </w:hyperlink>
        </w:p>
        <w:p w14:paraId="6AAA252A" w14:textId="0E719B8B"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78" w:history="1">
            <w:r w:rsidRPr="00D957F5">
              <w:rPr>
                <w:rStyle w:val="Hipervnculo"/>
                <w:noProof/>
              </w:rPr>
              <w:t>Adopción de disposiciones de derecho interno (artículo 2 CADH)</w:t>
            </w:r>
            <w:r>
              <w:rPr>
                <w:noProof/>
                <w:webHidden/>
              </w:rPr>
              <w:tab/>
            </w:r>
            <w:r>
              <w:rPr>
                <w:noProof/>
                <w:webHidden/>
              </w:rPr>
              <w:fldChar w:fldCharType="begin"/>
            </w:r>
            <w:r>
              <w:rPr>
                <w:noProof/>
                <w:webHidden/>
              </w:rPr>
              <w:instrText xml:space="preserve"> PAGEREF _Toc89691478 \h </w:instrText>
            </w:r>
            <w:r>
              <w:rPr>
                <w:noProof/>
                <w:webHidden/>
              </w:rPr>
            </w:r>
            <w:r>
              <w:rPr>
                <w:noProof/>
                <w:webHidden/>
              </w:rPr>
              <w:fldChar w:fldCharType="separate"/>
            </w:r>
            <w:r>
              <w:rPr>
                <w:noProof/>
                <w:webHidden/>
              </w:rPr>
              <w:t>104</w:t>
            </w:r>
            <w:r>
              <w:rPr>
                <w:noProof/>
                <w:webHidden/>
              </w:rPr>
              <w:fldChar w:fldCharType="end"/>
            </w:r>
          </w:hyperlink>
        </w:p>
        <w:p w14:paraId="1C60BBA3" w14:textId="69C0A5FD" w:rsidR="002A5747" w:rsidRDefault="002A5747">
          <w:pPr>
            <w:pStyle w:val="TDC1"/>
            <w:tabs>
              <w:tab w:val="left" w:pos="480"/>
              <w:tab w:val="right" w:leader="dot" w:pos="8488"/>
            </w:tabs>
            <w:rPr>
              <w:rFonts w:asciiTheme="minorHAnsi" w:eastAsiaTheme="minorEastAsia" w:hAnsiTheme="minorHAnsi" w:cstheme="minorBidi"/>
              <w:b w:val="0"/>
              <w:noProof/>
              <w:sz w:val="24"/>
              <w:szCs w:val="24"/>
              <w:lang w:val="es-CL" w:eastAsia="es-MX"/>
            </w:rPr>
          </w:pPr>
          <w:hyperlink w:anchor="_Toc89691479" w:history="1">
            <w:r w:rsidRPr="00D957F5">
              <w:rPr>
                <w:rStyle w:val="Hipervnculo"/>
                <w:noProof/>
              </w:rPr>
              <w:t>6.</w:t>
            </w:r>
            <w:r>
              <w:rPr>
                <w:rFonts w:asciiTheme="minorHAnsi" w:eastAsiaTheme="minorEastAsia" w:hAnsiTheme="minorHAnsi" w:cstheme="minorBidi"/>
                <w:b w:val="0"/>
                <w:noProof/>
                <w:sz w:val="24"/>
                <w:szCs w:val="24"/>
                <w:lang w:val="es-CL" w:eastAsia="es-MX"/>
              </w:rPr>
              <w:tab/>
            </w:r>
            <w:r w:rsidRPr="00D957F5">
              <w:rPr>
                <w:rStyle w:val="Hipervnculo"/>
                <w:noProof/>
              </w:rPr>
              <w:t>Medidas de Reparación</w:t>
            </w:r>
            <w:r>
              <w:rPr>
                <w:noProof/>
                <w:webHidden/>
              </w:rPr>
              <w:tab/>
            </w:r>
            <w:r>
              <w:rPr>
                <w:noProof/>
                <w:webHidden/>
              </w:rPr>
              <w:fldChar w:fldCharType="begin"/>
            </w:r>
            <w:r>
              <w:rPr>
                <w:noProof/>
                <w:webHidden/>
              </w:rPr>
              <w:instrText xml:space="preserve"> PAGEREF _Toc89691479 \h </w:instrText>
            </w:r>
            <w:r>
              <w:rPr>
                <w:noProof/>
                <w:webHidden/>
              </w:rPr>
            </w:r>
            <w:r>
              <w:rPr>
                <w:noProof/>
                <w:webHidden/>
              </w:rPr>
              <w:fldChar w:fldCharType="separate"/>
            </w:r>
            <w:r>
              <w:rPr>
                <w:noProof/>
                <w:webHidden/>
              </w:rPr>
              <w:t>107</w:t>
            </w:r>
            <w:r>
              <w:rPr>
                <w:noProof/>
                <w:webHidden/>
              </w:rPr>
              <w:fldChar w:fldCharType="end"/>
            </w:r>
          </w:hyperlink>
        </w:p>
        <w:p w14:paraId="460B2DF6" w14:textId="46599779"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80" w:history="1">
            <w:r w:rsidRPr="00D957F5">
              <w:rPr>
                <w:rStyle w:val="Hipervnculo"/>
                <w:noProof/>
              </w:rPr>
              <w:t>Restablecimiento del derecho</w:t>
            </w:r>
            <w:r>
              <w:rPr>
                <w:noProof/>
                <w:webHidden/>
              </w:rPr>
              <w:tab/>
            </w:r>
            <w:r>
              <w:rPr>
                <w:noProof/>
                <w:webHidden/>
              </w:rPr>
              <w:fldChar w:fldCharType="begin"/>
            </w:r>
            <w:r>
              <w:rPr>
                <w:noProof/>
                <w:webHidden/>
              </w:rPr>
              <w:instrText xml:space="preserve"> PAGEREF _Toc89691480 \h </w:instrText>
            </w:r>
            <w:r>
              <w:rPr>
                <w:noProof/>
                <w:webHidden/>
              </w:rPr>
            </w:r>
            <w:r>
              <w:rPr>
                <w:noProof/>
                <w:webHidden/>
              </w:rPr>
              <w:fldChar w:fldCharType="separate"/>
            </w:r>
            <w:r>
              <w:rPr>
                <w:noProof/>
                <w:webHidden/>
              </w:rPr>
              <w:t>107</w:t>
            </w:r>
            <w:r>
              <w:rPr>
                <w:noProof/>
                <w:webHidden/>
              </w:rPr>
              <w:fldChar w:fldCharType="end"/>
            </w:r>
          </w:hyperlink>
        </w:p>
        <w:p w14:paraId="35EF16BA" w14:textId="0D106329"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81" w:history="1">
            <w:r w:rsidRPr="00D957F5">
              <w:rPr>
                <w:rStyle w:val="Hipervnculo"/>
                <w:noProof/>
              </w:rPr>
              <w:t>Adecuación del derecho interno</w:t>
            </w:r>
            <w:r>
              <w:rPr>
                <w:noProof/>
                <w:webHidden/>
              </w:rPr>
              <w:tab/>
            </w:r>
            <w:r>
              <w:rPr>
                <w:noProof/>
                <w:webHidden/>
              </w:rPr>
              <w:fldChar w:fldCharType="begin"/>
            </w:r>
            <w:r>
              <w:rPr>
                <w:noProof/>
                <w:webHidden/>
              </w:rPr>
              <w:instrText xml:space="preserve"> PAGEREF _Toc89691481 \h </w:instrText>
            </w:r>
            <w:r>
              <w:rPr>
                <w:noProof/>
                <w:webHidden/>
              </w:rPr>
            </w:r>
            <w:r>
              <w:rPr>
                <w:noProof/>
                <w:webHidden/>
              </w:rPr>
              <w:fldChar w:fldCharType="separate"/>
            </w:r>
            <w:r>
              <w:rPr>
                <w:noProof/>
                <w:webHidden/>
              </w:rPr>
              <w:t>109</w:t>
            </w:r>
            <w:r>
              <w:rPr>
                <w:noProof/>
                <w:webHidden/>
              </w:rPr>
              <w:fldChar w:fldCharType="end"/>
            </w:r>
          </w:hyperlink>
        </w:p>
        <w:p w14:paraId="3047A7AD" w14:textId="021D83C5"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82" w:history="1">
            <w:r w:rsidRPr="00D957F5">
              <w:rPr>
                <w:rStyle w:val="Hipervnculo"/>
                <w:noProof/>
              </w:rPr>
              <w:t>Anulación de sentencias condenatorias</w:t>
            </w:r>
            <w:r>
              <w:rPr>
                <w:noProof/>
                <w:webHidden/>
              </w:rPr>
              <w:tab/>
            </w:r>
            <w:r>
              <w:rPr>
                <w:noProof/>
                <w:webHidden/>
              </w:rPr>
              <w:fldChar w:fldCharType="begin"/>
            </w:r>
            <w:r>
              <w:rPr>
                <w:noProof/>
                <w:webHidden/>
              </w:rPr>
              <w:instrText xml:space="preserve"> PAGEREF _Toc89691482 \h </w:instrText>
            </w:r>
            <w:r>
              <w:rPr>
                <w:noProof/>
                <w:webHidden/>
              </w:rPr>
            </w:r>
            <w:r>
              <w:rPr>
                <w:noProof/>
                <w:webHidden/>
              </w:rPr>
              <w:fldChar w:fldCharType="separate"/>
            </w:r>
            <w:r>
              <w:rPr>
                <w:noProof/>
                <w:webHidden/>
              </w:rPr>
              <w:t>110</w:t>
            </w:r>
            <w:r>
              <w:rPr>
                <w:noProof/>
                <w:webHidden/>
              </w:rPr>
              <w:fldChar w:fldCharType="end"/>
            </w:r>
          </w:hyperlink>
        </w:p>
        <w:p w14:paraId="47F863FA" w14:textId="05EFF2E3" w:rsidR="002A5747" w:rsidRDefault="002A5747">
          <w:pPr>
            <w:pStyle w:val="TDC2"/>
            <w:tabs>
              <w:tab w:val="right" w:leader="dot" w:pos="8488"/>
            </w:tabs>
            <w:rPr>
              <w:rFonts w:asciiTheme="minorHAnsi" w:eastAsiaTheme="minorEastAsia" w:hAnsiTheme="minorHAnsi" w:cstheme="minorBidi"/>
              <w:b w:val="0"/>
              <w:noProof/>
              <w:sz w:val="24"/>
              <w:szCs w:val="24"/>
              <w:lang w:val="es-CL" w:eastAsia="es-MX"/>
            </w:rPr>
          </w:pPr>
          <w:hyperlink w:anchor="_Toc89691483" w:history="1">
            <w:r w:rsidRPr="00D957F5">
              <w:rPr>
                <w:rStyle w:val="Hipervnculo"/>
                <w:noProof/>
              </w:rPr>
              <w:t>Capacitación a funcionarios públicos sobre el derecho de acceso a la información</w:t>
            </w:r>
            <w:r>
              <w:rPr>
                <w:noProof/>
                <w:webHidden/>
              </w:rPr>
              <w:tab/>
            </w:r>
            <w:r>
              <w:rPr>
                <w:noProof/>
                <w:webHidden/>
              </w:rPr>
              <w:fldChar w:fldCharType="begin"/>
            </w:r>
            <w:r>
              <w:rPr>
                <w:noProof/>
                <w:webHidden/>
              </w:rPr>
              <w:instrText xml:space="preserve"> PAGEREF _Toc89691483 \h </w:instrText>
            </w:r>
            <w:r>
              <w:rPr>
                <w:noProof/>
                <w:webHidden/>
              </w:rPr>
            </w:r>
            <w:r>
              <w:rPr>
                <w:noProof/>
                <w:webHidden/>
              </w:rPr>
              <w:fldChar w:fldCharType="separate"/>
            </w:r>
            <w:r>
              <w:rPr>
                <w:noProof/>
                <w:webHidden/>
              </w:rPr>
              <w:t>111</w:t>
            </w:r>
            <w:r>
              <w:rPr>
                <w:noProof/>
                <w:webHidden/>
              </w:rPr>
              <w:fldChar w:fldCharType="end"/>
            </w:r>
          </w:hyperlink>
        </w:p>
        <w:p w14:paraId="4EA4BCF3" w14:textId="1F203647" w:rsidR="00161C07" w:rsidRPr="00D86945" w:rsidRDefault="00161C07" w:rsidP="00215583">
          <w:pPr>
            <w:spacing w:line="240" w:lineRule="auto"/>
            <w:rPr>
              <w:rFonts w:ascii="Verdana" w:hAnsi="Verdana"/>
              <w:sz w:val="20"/>
              <w:szCs w:val="20"/>
            </w:rPr>
          </w:pPr>
          <w:r w:rsidRPr="00215583">
            <w:rPr>
              <w:rFonts w:ascii="Verdana" w:hAnsi="Verdana" w:cs="Calibri Light"/>
              <w:bCs/>
              <w:noProof/>
              <w:sz w:val="15"/>
              <w:szCs w:val="15"/>
            </w:rPr>
            <w:fldChar w:fldCharType="end"/>
          </w:r>
        </w:p>
      </w:sdtContent>
    </w:sdt>
    <w:p w14:paraId="628F3E18" w14:textId="77777777" w:rsidR="005E0C2B" w:rsidRDefault="005E0C2B">
      <w:pPr>
        <w:rPr>
          <w:rFonts w:ascii="Verdana" w:hAnsi="Verdana" w:cs="Times New Roman (Títulos en alf"/>
          <w:b/>
          <w:bCs/>
          <w:caps/>
          <w:spacing w:val="20"/>
          <w:sz w:val="24"/>
          <w:szCs w:val="24"/>
          <w:lang w:val="es-ES"/>
        </w:rPr>
      </w:pPr>
      <w:r>
        <w:br w:type="page"/>
      </w:r>
    </w:p>
    <w:p w14:paraId="651FCD70" w14:textId="10533119" w:rsidR="00267488" w:rsidRPr="00EA462A" w:rsidRDefault="00137B1A" w:rsidP="00EA462A">
      <w:pPr>
        <w:pStyle w:val="Ttulo1"/>
        <w:pBdr>
          <w:bottom w:val="single" w:sz="4" w:space="1" w:color="auto"/>
        </w:pBdr>
        <w:jc w:val="left"/>
        <w:rPr>
          <w:u w:val="none"/>
        </w:rPr>
      </w:pPr>
      <w:bookmarkStart w:id="0" w:name="_Toc89691452"/>
      <w:r w:rsidRPr="00EA462A">
        <w:rPr>
          <w:u w:val="none"/>
        </w:rPr>
        <w:lastRenderedPageBreak/>
        <w:t>1.</w:t>
      </w:r>
      <w:r w:rsidRPr="00EA462A">
        <w:rPr>
          <w:u w:val="none"/>
        </w:rPr>
        <w:tab/>
      </w:r>
      <w:r w:rsidR="00267488" w:rsidRPr="00EA462A">
        <w:rPr>
          <w:u w:val="none"/>
        </w:rPr>
        <w:t xml:space="preserve">Aspectos </w:t>
      </w:r>
      <w:r w:rsidR="002605B8" w:rsidRPr="00EA462A">
        <w:rPr>
          <w:u w:val="none"/>
        </w:rPr>
        <w:t>Generales</w:t>
      </w:r>
      <w:bookmarkEnd w:id="0"/>
    </w:p>
    <w:p w14:paraId="754AF458" w14:textId="77777777" w:rsidR="0017231A" w:rsidRPr="00D86945" w:rsidRDefault="0017231A" w:rsidP="004F4FE7">
      <w:pPr>
        <w:pStyle w:val="Prrafodelista"/>
        <w:spacing w:line="240" w:lineRule="auto"/>
        <w:ind w:left="0" w:right="51"/>
        <w:jc w:val="both"/>
        <w:rPr>
          <w:rFonts w:ascii="Verdana" w:hAnsi="Verdana" w:cs="Times New Roman"/>
          <w:b/>
          <w:sz w:val="20"/>
          <w:szCs w:val="20"/>
          <w:lang w:val="es-ES"/>
        </w:rPr>
      </w:pPr>
    </w:p>
    <w:p w14:paraId="547AF84D" w14:textId="2A8A31B0" w:rsidR="009770A6" w:rsidRPr="00D86945" w:rsidRDefault="009770A6" w:rsidP="004F4FE7">
      <w:pPr>
        <w:pStyle w:val="Prrafodelista"/>
        <w:spacing w:line="240" w:lineRule="auto"/>
        <w:ind w:left="0" w:right="51"/>
        <w:jc w:val="both"/>
        <w:rPr>
          <w:rFonts w:ascii="Verdana" w:hAnsi="Verdana" w:cs="Times New Roman"/>
          <w:sz w:val="20"/>
          <w:szCs w:val="20"/>
          <w:lang w:val="es-ES"/>
        </w:rPr>
      </w:pPr>
      <w:r w:rsidRPr="00D86945">
        <w:rPr>
          <w:rFonts w:ascii="Verdana" w:hAnsi="Verdana" w:cs="Times New Roman"/>
          <w:sz w:val="20"/>
          <w:szCs w:val="20"/>
          <w:lang w:val="es-ES"/>
        </w:rPr>
        <w:t>En este primer apartado se tratan aspectos generales vinculados con el derecho a la libertad de expresión, tales como la libertad de expresión como piedra angular de una sociedad democrática, el rol de los medios de comunicación y del periodismo en democracia y la titularidad del derecho a la libertad de expresión.</w:t>
      </w:r>
    </w:p>
    <w:p w14:paraId="525611FD" w14:textId="77777777" w:rsidR="009770A6" w:rsidRPr="00D86945" w:rsidRDefault="009770A6" w:rsidP="004F4FE7">
      <w:pPr>
        <w:pStyle w:val="Prrafodelista"/>
        <w:spacing w:line="240" w:lineRule="auto"/>
        <w:ind w:left="0" w:right="51"/>
        <w:jc w:val="both"/>
        <w:rPr>
          <w:rFonts w:ascii="Verdana" w:hAnsi="Verdana" w:cs="Times New Roman"/>
          <w:b/>
          <w:sz w:val="20"/>
          <w:szCs w:val="20"/>
          <w:lang w:val="es-ES"/>
        </w:rPr>
      </w:pPr>
    </w:p>
    <w:p w14:paraId="5C1E7760" w14:textId="6ACB0E86" w:rsidR="00267488" w:rsidRPr="00BF3BF6" w:rsidRDefault="00BF3BF6" w:rsidP="00BF3BF6">
      <w:pPr>
        <w:pStyle w:val="Ttulo2"/>
      </w:pPr>
      <w:bookmarkStart w:id="1" w:name="_Toc89691453"/>
      <w:r w:rsidRPr="00BF3BF6">
        <w:t>La libertad de expresión como piedra angular de una sociedad democrática</w:t>
      </w:r>
      <w:bookmarkEnd w:id="1"/>
    </w:p>
    <w:p w14:paraId="44F61542" w14:textId="449F5139" w:rsidR="00267488" w:rsidRPr="00D86945" w:rsidRDefault="00267488" w:rsidP="004F4FE7">
      <w:pPr>
        <w:spacing w:line="240" w:lineRule="auto"/>
        <w:ind w:right="49"/>
        <w:jc w:val="both"/>
        <w:rPr>
          <w:rFonts w:ascii="Verdana" w:hAnsi="Verdana" w:cs="Times New Roman"/>
          <w:b/>
          <w:bCs/>
          <w:sz w:val="20"/>
          <w:szCs w:val="20"/>
        </w:rPr>
      </w:pPr>
      <w:r w:rsidRPr="00D86945">
        <w:rPr>
          <w:rFonts w:ascii="Verdana" w:hAnsi="Verdana" w:cs="Times New Roman"/>
          <w:b/>
          <w:bCs/>
          <w:sz w:val="20"/>
          <w:szCs w:val="20"/>
        </w:rPr>
        <w:t>Corte IDH. La colegiación obligatoria de periodistas (Arts. 13 y 29 Convención Americana sobre Derechos Humanos). Opinión Consultiva OC-5/85 de 13 de noviembre de 1985. Serie A No. 5</w:t>
      </w:r>
      <w:r w:rsidR="00D35646" w:rsidRPr="00D86945">
        <w:rPr>
          <w:rFonts w:ascii="Verdana" w:hAnsi="Verdana" w:cs="Times New Roman"/>
          <w:b/>
          <w:bCs/>
          <w:sz w:val="20"/>
          <w:szCs w:val="20"/>
        </w:rPr>
        <w:t>.</w:t>
      </w:r>
    </w:p>
    <w:p w14:paraId="095E50B8" w14:textId="3C825126" w:rsidR="00011742" w:rsidRDefault="00267488" w:rsidP="00011742">
      <w:pPr>
        <w:tabs>
          <w:tab w:val="left" w:pos="720"/>
        </w:tabs>
        <w:spacing w:line="240" w:lineRule="auto"/>
        <w:ind w:right="49"/>
        <w:jc w:val="both"/>
        <w:rPr>
          <w:rFonts w:ascii="Verdana" w:hAnsi="Verdana" w:cs="Times New Roman"/>
          <w:b/>
          <w:sz w:val="18"/>
          <w:szCs w:val="18"/>
          <w:lang w:val="es-CL"/>
        </w:rPr>
      </w:pPr>
      <w:r w:rsidRPr="00D86945">
        <w:rPr>
          <w:rFonts w:ascii="Verdana" w:hAnsi="Verdana" w:cs="Times New Roman"/>
          <w:sz w:val="20"/>
          <w:szCs w:val="20"/>
          <w:lang w:val="es-ES"/>
        </w:rPr>
        <w:t xml:space="preserve">70. </w:t>
      </w:r>
      <w:r w:rsidRPr="00D86945">
        <w:rPr>
          <w:rFonts w:ascii="Verdana" w:hAnsi="Verdana" w:cs="Times New Roman"/>
          <w:sz w:val="20"/>
          <w:szCs w:val="20"/>
          <w:lang w:val="es-ES"/>
        </w:rPr>
        <w:tab/>
        <w:t xml:space="preserve">La libertad de expresión es una piedra angular en la existencia misma de una sociedad democrática. Es indispensable para la formación de la opinión pública. Es también </w:t>
      </w:r>
      <w:proofErr w:type="spellStart"/>
      <w:r w:rsidRPr="00D86945">
        <w:rPr>
          <w:rFonts w:ascii="Verdana" w:hAnsi="Verdana" w:cs="Times New Roman"/>
          <w:b/>
          <w:i/>
          <w:sz w:val="20"/>
          <w:szCs w:val="20"/>
          <w:lang w:val="es-ES"/>
        </w:rPr>
        <w:t>conditio</w:t>
      </w:r>
      <w:proofErr w:type="spellEnd"/>
      <w:r w:rsidRPr="00D86945">
        <w:rPr>
          <w:rFonts w:ascii="Verdana" w:hAnsi="Verdana" w:cs="Times New Roman"/>
          <w:b/>
          <w:i/>
          <w:sz w:val="20"/>
          <w:szCs w:val="20"/>
          <w:lang w:val="es-ES"/>
        </w:rPr>
        <w:t xml:space="preserve"> sine qua non</w:t>
      </w:r>
      <w:r w:rsidRPr="00D86945">
        <w:rPr>
          <w:rFonts w:ascii="Verdana" w:hAnsi="Verdana" w:cs="Times New Roman"/>
          <w:sz w:val="20"/>
          <w:szCs w:val="20"/>
          <w:lang w:val="es-ES"/>
        </w:rPr>
        <w:t xml:space="preserve"> para que los partidos políticos, los sindicatos, las sociedades científicas y culturales, y en general, quienes deseen influir sobre la colectividad puedan desarrollarse plenamente. Es, en fin, condición para que la comunidad, a la hora de ejercer sus opciones, esté suficientemente informada. Por ende, es posible afirmar que una sociedad que no está bien informada no es plenamente libre. </w:t>
      </w:r>
      <w:r w:rsidR="00011742">
        <w:rPr>
          <w:rFonts w:ascii="Verdana" w:hAnsi="Verdana" w:cs="Times New Roman"/>
          <w:b/>
          <w:sz w:val="18"/>
          <w:szCs w:val="18"/>
          <w:lang w:val="es-ES"/>
        </w:rPr>
        <w:t>[</w:t>
      </w:r>
      <w:r w:rsidR="002A5747">
        <w:rPr>
          <w:rFonts w:ascii="Verdana" w:hAnsi="Verdana" w:cs="Times New Roman"/>
          <w:b/>
          <w:sz w:val="18"/>
          <w:szCs w:val="18"/>
          <w:lang w:val="es-ES"/>
        </w:rPr>
        <w:t>En similar sentido, ver entre otros:</w:t>
      </w:r>
      <w:r w:rsidR="00885CE3" w:rsidRPr="00F13ADF">
        <w:rPr>
          <w:rFonts w:ascii="Verdana" w:hAnsi="Verdana" w:cs="Times New Roman"/>
          <w:b/>
          <w:sz w:val="18"/>
          <w:szCs w:val="18"/>
          <w:lang w:val="es-ES"/>
        </w:rPr>
        <w:t xml:space="preserve"> Caso Herrera Ulloa Vs. Costa Rica. Excepciones Preliminares, Fondo, Reparaciones y Costas. Sentencia de 2 de julio de 2004. Serie C No. 107, párr.112</w:t>
      </w:r>
      <w:r w:rsidR="00D95571" w:rsidRPr="00F13ADF">
        <w:rPr>
          <w:rFonts w:ascii="Verdana" w:hAnsi="Verdana" w:cs="Times New Roman"/>
          <w:b/>
          <w:sz w:val="18"/>
          <w:szCs w:val="18"/>
          <w:lang w:val="es-ES"/>
        </w:rPr>
        <w:t xml:space="preserve">; Caso Ricardo </w:t>
      </w:r>
      <w:proofErr w:type="spellStart"/>
      <w:r w:rsidR="00D95571" w:rsidRPr="00F13ADF">
        <w:rPr>
          <w:rFonts w:ascii="Verdana" w:hAnsi="Verdana" w:cs="Times New Roman"/>
          <w:b/>
          <w:sz w:val="18"/>
          <w:szCs w:val="18"/>
          <w:lang w:val="es-ES"/>
        </w:rPr>
        <w:t>Canese</w:t>
      </w:r>
      <w:proofErr w:type="spellEnd"/>
      <w:r w:rsidR="00D95571" w:rsidRPr="00F13ADF">
        <w:rPr>
          <w:rFonts w:ascii="Verdana" w:hAnsi="Verdana" w:cs="Times New Roman"/>
          <w:b/>
          <w:sz w:val="18"/>
          <w:szCs w:val="18"/>
          <w:lang w:val="es-ES"/>
        </w:rPr>
        <w:t xml:space="preserve"> Vs. Paraguay. Fondo, Reparaciones y Costas. Sentencia de 31 de agosto de 2004. Serie C No. 111, párr.82</w:t>
      </w:r>
      <w:r w:rsidR="00303977" w:rsidRPr="00F13ADF">
        <w:rPr>
          <w:rFonts w:ascii="Verdana" w:hAnsi="Verdana" w:cs="Times New Roman"/>
          <w:b/>
          <w:sz w:val="18"/>
          <w:szCs w:val="18"/>
          <w:lang w:val="es-ES"/>
        </w:rPr>
        <w:t xml:space="preserve">; </w:t>
      </w:r>
      <w:r w:rsidR="00137D32" w:rsidRPr="00F13ADF">
        <w:rPr>
          <w:rFonts w:ascii="Verdana" w:hAnsi="Verdana" w:cs="Times New Roman"/>
          <w:b/>
          <w:sz w:val="18"/>
          <w:szCs w:val="18"/>
        </w:rPr>
        <w:t>Caso Claude Reyes y otros Vs. Chile. Fondo, Reparaciones y Costas. Sentencia de 19 de septiembre de 2006. Serie C No. 151</w:t>
      </w:r>
      <w:r w:rsidR="00137D32" w:rsidRPr="00F13ADF">
        <w:rPr>
          <w:rFonts w:ascii="Verdana" w:hAnsi="Verdana" w:cs="Times New Roman"/>
          <w:b/>
          <w:sz w:val="18"/>
          <w:szCs w:val="18"/>
          <w:lang w:val="es-CL"/>
        </w:rPr>
        <w:t>, párr.85</w:t>
      </w:r>
      <w:r w:rsidR="00011742">
        <w:rPr>
          <w:rFonts w:ascii="Verdana" w:hAnsi="Verdana" w:cs="Times New Roman"/>
          <w:b/>
          <w:sz w:val="18"/>
          <w:szCs w:val="18"/>
          <w:lang w:val="es-CL"/>
        </w:rPr>
        <w:t>]</w:t>
      </w:r>
      <w:r w:rsidR="00137D32" w:rsidRPr="00F13ADF">
        <w:rPr>
          <w:rFonts w:ascii="Verdana" w:hAnsi="Verdana" w:cs="Times New Roman"/>
          <w:b/>
          <w:sz w:val="18"/>
          <w:szCs w:val="18"/>
          <w:lang w:val="es-CL"/>
        </w:rPr>
        <w:t>.</w:t>
      </w:r>
    </w:p>
    <w:p w14:paraId="01A1B2EC" w14:textId="03E87F0A" w:rsidR="00805A05" w:rsidRPr="00D86945" w:rsidRDefault="00805A05" w:rsidP="00011742">
      <w:pPr>
        <w:tabs>
          <w:tab w:val="left" w:pos="720"/>
        </w:tabs>
        <w:spacing w:line="240" w:lineRule="auto"/>
        <w:ind w:right="49"/>
        <w:jc w:val="both"/>
        <w:rPr>
          <w:rFonts w:ascii="Verdana" w:hAnsi="Verdana" w:cs="Times New Roman"/>
          <w:b/>
          <w:sz w:val="20"/>
          <w:szCs w:val="20"/>
        </w:rPr>
      </w:pPr>
      <w:r w:rsidRPr="00D86945">
        <w:rPr>
          <w:rFonts w:ascii="Verdana" w:hAnsi="Verdana" w:cs="Times New Roman"/>
          <w:b/>
          <w:sz w:val="20"/>
          <w:szCs w:val="20"/>
        </w:rPr>
        <w:t>Corte IDH. Caso "La Última Tentación de Cristo" (Olmedo Bustos y otros) Vs. Chile. Fondo, Reparaciones y Costas. Sentencia de 5 de febrero de 2001. Serie C No. 73.</w:t>
      </w:r>
      <w:r w:rsidR="00D35646" w:rsidRPr="00D86945">
        <w:rPr>
          <w:rStyle w:val="Refdenotaalpie"/>
          <w:rFonts w:ascii="Verdana" w:hAnsi="Verdana" w:cs="Times New Roman"/>
          <w:sz w:val="20"/>
          <w:szCs w:val="20"/>
        </w:rPr>
        <w:footnoteReference w:id="1"/>
      </w:r>
    </w:p>
    <w:p w14:paraId="15C82079" w14:textId="0BEDCD31" w:rsidR="00805A05" w:rsidRPr="00D86945" w:rsidRDefault="00805A05" w:rsidP="004F4FE7">
      <w:pPr>
        <w:pStyle w:val="negritamayuscula"/>
        <w:widowControl/>
        <w:tabs>
          <w:tab w:val="clear" w:pos="1120"/>
        </w:tabs>
        <w:spacing w:line="240" w:lineRule="auto"/>
        <w:ind w:right="49"/>
        <w:rPr>
          <w:rFonts w:ascii="Verdana" w:hAnsi="Verdana"/>
          <w:sz w:val="20"/>
        </w:rPr>
      </w:pPr>
      <w:r w:rsidRPr="00D86945">
        <w:rPr>
          <w:rFonts w:ascii="Verdana" w:hAnsi="Verdana"/>
          <w:sz w:val="20"/>
        </w:rPr>
        <w:t>68.</w:t>
      </w:r>
      <w:r w:rsidRPr="00D86945">
        <w:rPr>
          <w:rFonts w:ascii="Verdana" w:hAnsi="Verdana"/>
          <w:sz w:val="20"/>
        </w:rPr>
        <w:tab/>
        <w:t>La libertad de expresión, como piedra angular de una sociedad democrática, es una condición esencial para que ésta esté suficientemente informada.</w:t>
      </w:r>
    </w:p>
    <w:p w14:paraId="432E6F4E" w14:textId="3CE5906A" w:rsidR="00805A05" w:rsidRPr="00D86945" w:rsidRDefault="00805A05" w:rsidP="004F4FE7">
      <w:pPr>
        <w:pStyle w:val="negritamayuscula"/>
        <w:widowControl/>
        <w:tabs>
          <w:tab w:val="clear" w:pos="1120"/>
        </w:tabs>
        <w:spacing w:line="240" w:lineRule="auto"/>
        <w:ind w:right="49"/>
        <w:rPr>
          <w:rFonts w:ascii="Verdana" w:hAnsi="Verdana"/>
          <w:sz w:val="20"/>
        </w:rPr>
      </w:pPr>
      <w:r w:rsidRPr="00D86945">
        <w:rPr>
          <w:rFonts w:ascii="Verdana" w:hAnsi="Verdana"/>
          <w:sz w:val="20"/>
        </w:rPr>
        <w:t>69.</w:t>
      </w:r>
      <w:r w:rsidRPr="00D86945">
        <w:rPr>
          <w:rFonts w:ascii="Verdana" w:hAnsi="Verdana"/>
          <w:sz w:val="20"/>
        </w:rPr>
        <w:tab/>
        <w:t>La Corte Europea de Derechos Humanos ha señalado que</w:t>
      </w:r>
    </w:p>
    <w:p w14:paraId="6770E737" w14:textId="371E8C03" w:rsidR="00805A05" w:rsidRPr="00D86945" w:rsidRDefault="00805A05" w:rsidP="00DD0B03">
      <w:pPr>
        <w:pStyle w:val="negritamayuscula"/>
        <w:widowControl/>
        <w:tabs>
          <w:tab w:val="clear" w:pos="1120"/>
        </w:tabs>
        <w:spacing w:line="240" w:lineRule="auto"/>
        <w:ind w:left="1416" w:right="49"/>
        <w:rPr>
          <w:rFonts w:ascii="Verdana" w:hAnsi="Verdana"/>
          <w:sz w:val="18"/>
          <w:szCs w:val="18"/>
        </w:rPr>
      </w:pPr>
      <w:r w:rsidRPr="00D86945">
        <w:rPr>
          <w:rFonts w:ascii="Verdana" w:hAnsi="Verdana"/>
          <w:sz w:val="18"/>
          <w:szCs w:val="18"/>
        </w:rPr>
        <w:t>[la] función supervisora [de la Corte le] impone […] prestar una atención extrema a los principios propios de una ‘sociedad democrática’.</w:t>
      </w:r>
      <w:r w:rsidR="00D35646" w:rsidRPr="00D86945">
        <w:rPr>
          <w:rFonts w:ascii="Verdana" w:hAnsi="Verdana"/>
          <w:sz w:val="18"/>
          <w:szCs w:val="18"/>
        </w:rPr>
        <w:t xml:space="preserve"> </w:t>
      </w:r>
      <w:r w:rsidRPr="00D86945">
        <w:rPr>
          <w:rFonts w:ascii="Verdana" w:hAnsi="Verdana"/>
          <w:sz w:val="18"/>
          <w:szCs w:val="18"/>
        </w:rPr>
        <w:t>La libertad de expresión constituye uno de los fundamentos esenciales de tal sociedad, una de las condiciones primordiales para su progreso y para el desarrollo de los hombres.</w:t>
      </w:r>
      <w:r w:rsidR="00D35646" w:rsidRPr="00D86945">
        <w:rPr>
          <w:rFonts w:ascii="Verdana" w:hAnsi="Verdana"/>
          <w:sz w:val="18"/>
          <w:szCs w:val="18"/>
        </w:rPr>
        <w:t xml:space="preserve"> </w:t>
      </w:r>
      <w:r w:rsidRPr="00D86945">
        <w:rPr>
          <w:rFonts w:ascii="Verdana" w:hAnsi="Verdana"/>
          <w:sz w:val="18"/>
          <w:szCs w:val="18"/>
        </w:rPr>
        <w:t>El artículo 10.2 [de la Convención Europea de Derechos Humanos] es válido no sólo para las informaciones o ideas que son favorablemente recibidas o consideradas como inofensivas o indiferentes, sino también para aquellas que chocan, inquietan u ofenden al Estado o a una fracción cualquiera de la población.</w:t>
      </w:r>
      <w:r w:rsidR="00D35646" w:rsidRPr="00D86945">
        <w:rPr>
          <w:rFonts w:ascii="Verdana" w:hAnsi="Verdana"/>
          <w:sz w:val="18"/>
          <w:szCs w:val="18"/>
        </w:rPr>
        <w:t xml:space="preserve"> </w:t>
      </w:r>
      <w:r w:rsidRPr="00D86945">
        <w:rPr>
          <w:rFonts w:ascii="Verdana" w:hAnsi="Verdana"/>
          <w:sz w:val="18"/>
          <w:szCs w:val="18"/>
        </w:rPr>
        <w:t>Tales son las demandas del pluralismo, la tolerancia y el espíritu de apertura, sin las cuales no existe una ‘sociedad democrática’.</w:t>
      </w:r>
      <w:r w:rsidR="00D35646" w:rsidRPr="00D86945">
        <w:rPr>
          <w:rFonts w:ascii="Verdana" w:hAnsi="Verdana"/>
          <w:sz w:val="18"/>
          <w:szCs w:val="18"/>
        </w:rPr>
        <w:t xml:space="preserve"> </w:t>
      </w:r>
      <w:r w:rsidRPr="00D86945">
        <w:rPr>
          <w:rFonts w:ascii="Verdana" w:hAnsi="Verdana"/>
          <w:sz w:val="18"/>
          <w:szCs w:val="18"/>
        </w:rPr>
        <w:t>Esto significa que toda formalidad, condición, restricción o sanción impuesta en la materia debe ser proporcionada al fin legítimo que se persigue.</w:t>
      </w:r>
    </w:p>
    <w:p w14:paraId="716307B0" w14:textId="2244EF12" w:rsidR="00987FF9" w:rsidRPr="00D86945" w:rsidRDefault="00805A05" w:rsidP="004F4FE7">
      <w:pPr>
        <w:pStyle w:val="negritamayuscula"/>
        <w:widowControl/>
        <w:tabs>
          <w:tab w:val="clear" w:pos="1120"/>
        </w:tabs>
        <w:spacing w:line="240" w:lineRule="auto"/>
        <w:ind w:left="1416" w:right="49"/>
        <w:rPr>
          <w:rFonts w:ascii="Verdana" w:hAnsi="Verdana"/>
          <w:sz w:val="18"/>
          <w:szCs w:val="18"/>
        </w:rPr>
      </w:pPr>
      <w:r w:rsidRPr="00D86945">
        <w:rPr>
          <w:rFonts w:ascii="Verdana" w:hAnsi="Verdana"/>
          <w:sz w:val="18"/>
          <w:szCs w:val="18"/>
        </w:rPr>
        <w:lastRenderedPageBreak/>
        <w:t>Por otra parte, cualquiera que ejerce su libertad de expresión asume ‘deberes y responsabilidades’, cuyo ámbito depende de su situación y del procedimiento técnico utilizado.</w:t>
      </w:r>
    </w:p>
    <w:p w14:paraId="493AE23E" w14:textId="13B66D68"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b/>
          <w:sz w:val="20"/>
          <w:szCs w:val="20"/>
        </w:rPr>
        <w:t xml:space="preserve">Corte IDH. Caso </w:t>
      </w:r>
      <w:proofErr w:type="spellStart"/>
      <w:r w:rsidRPr="00D86945">
        <w:rPr>
          <w:rFonts w:ascii="Verdana" w:hAnsi="Verdana" w:cs="Times New Roman"/>
          <w:b/>
          <w:sz w:val="20"/>
          <w:szCs w:val="20"/>
        </w:rPr>
        <w:t>Ivcher</w:t>
      </w:r>
      <w:proofErr w:type="spellEnd"/>
      <w:r w:rsidRPr="00D86945">
        <w:rPr>
          <w:rFonts w:ascii="Verdana" w:hAnsi="Verdana" w:cs="Times New Roman"/>
          <w:b/>
          <w:sz w:val="20"/>
          <w:szCs w:val="20"/>
        </w:rPr>
        <w:t xml:space="preserve"> </w:t>
      </w:r>
      <w:proofErr w:type="spellStart"/>
      <w:r w:rsidRPr="00D86945">
        <w:rPr>
          <w:rFonts w:ascii="Verdana" w:hAnsi="Verdana" w:cs="Times New Roman"/>
          <w:b/>
          <w:sz w:val="20"/>
          <w:szCs w:val="20"/>
        </w:rPr>
        <w:t>Bronstein</w:t>
      </w:r>
      <w:proofErr w:type="spellEnd"/>
      <w:r w:rsidRPr="00D86945">
        <w:rPr>
          <w:rFonts w:ascii="Verdana" w:hAnsi="Verdana" w:cs="Times New Roman"/>
          <w:b/>
          <w:sz w:val="20"/>
          <w:szCs w:val="20"/>
        </w:rPr>
        <w:t xml:space="preserve"> Vs. Perú. Fondo, Reparaciones y Costas. Sentencia de 6 de febrero de 2001. Serie C No. 74</w:t>
      </w:r>
      <w:r w:rsidRPr="00D86945">
        <w:rPr>
          <w:rFonts w:ascii="Verdana" w:hAnsi="Verdana" w:cs="Times New Roman"/>
          <w:sz w:val="20"/>
          <w:szCs w:val="20"/>
        </w:rPr>
        <w:t>.</w:t>
      </w:r>
      <w:r w:rsidR="00D35646" w:rsidRPr="00D86945">
        <w:rPr>
          <w:rStyle w:val="Refdenotaalpie"/>
          <w:rFonts w:ascii="Verdana" w:hAnsi="Verdana" w:cs="Times New Roman"/>
          <w:sz w:val="20"/>
          <w:szCs w:val="20"/>
        </w:rPr>
        <w:footnoteReference w:id="2"/>
      </w:r>
    </w:p>
    <w:p w14:paraId="133FEA28" w14:textId="7539D5E8"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149.</w:t>
      </w:r>
      <w:r w:rsidRPr="00D86945">
        <w:rPr>
          <w:rFonts w:ascii="Verdana" w:hAnsi="Verdana" w:cs="Times New Roman"/>
          <w:sz w:val="20"/>
          <w:szCs w:val="20"/>
        </w:rPr>
        <w:tab/>
        <w:t>[…] La importancia de este derecho destaca aún más al analizar el papel que juegan los medios de comunicación en una sociedad democrática, cuando son verdaderos instrumentos de la libertad de expresión y no vehículos para restringirla, razón por la cual es indispensable que recojan las más diversas informaciones y opiniones.</w:t>
      </w:r>
      <w:r w:rsidR="00D35646" w:rsidRPr="00D86945">
        <w:rPr>
          <w:rFonts w:ascii="Verdana" w:hAnsi="Verdana" w:cs="Times New Roman"/>
          <w:sz w:val="20"/>
          <w:szCs w:val="20"/>
        </w:rPr>
        <w:t xml:space="preserve"> </w:t>
      </w:r>
    </w:p>
    <w:p w14:paraId="4A75CD30" w14:textId="46D009D6"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152.</w:t>
      </w:r>
      <w:r w:rsidRPr="00D86945">
        <w:rPr>
          <w:rFonts w:ascii="Verdana" w:hAnsi="Verdana" w:cs="Times New Roman"/>
          <w:sz w:val="20"/>
          <w:szCs w:val="20"/>
        </w:rPr>
        <w:tab/>
        <w:t>La Corte Europea también ha reconocido este criterio, al sostener que la libertad de expresión constituye uno de los pilares esenciales de una sociedad democrática y una condición fundamental para su progreso y para el desarrollo personal de cada individuo.</w:t>
      </w:r>
      <w:r w:rsidR="00D35646" w:rsidRPr="00D86945">
        <w:rPr>
          <w:rFonts w:ascii="Verdana" w:hAnsi="Verdana" w:cs="Times New Roman"/>
          <w:sz w:val="20"/>
          <w:szCs w:val="20"/>
        </w:rPr>
        <w:t xml:space="preserve"> </w:t>
      </w:r>
      <w:r w:rsidRPr="00D86945">
        <w:rPr>
          <w:rFonts w:ascii="Verdana" w:hAnsi="Verdana" w:cs="Times New Roman"/>
          <w:sz w:val="20"/>
          <w:szCs w:val="20"/>
        </w:rPr>
        <w:t>Dicha libertad no sólo debe garantizarse en lo que respecta a la difusión de información o ideas que son recibidas favorablemente o consideradas como inofensivas o indiferentes, sino también en lo que toca a las que ofenden, resultan ingratas o perturban al Estado o a cualquier sector de la población.</w:t>
      </w:r>
    </w:p>
    <w:p w14:paraId="6B019A25" w14:textId="0AF9A553"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153.</w:t>
      </w:r>
      <w:r w:rsidRPr="00D86945">
        <w:rPr>
          <w:rFonts w:ascii="Verdana" w:hAnsi="Verdana" w:cs="Times New Roman"/>
          <w:sz w:val="20"/>
          <w:szCs w:val="20"/>
        </w:rPr>
        <w:tab/>
        <w:t>Lo anteriormente expuesto, advierte la Corte Europea, tiene una importancia particular cuando se aplica a la prensa. No sólo implica que compete a los medios de comunicación la tarea de transmitir información e ideas relativas a asuntos de interés público, sino también que el público tiene el derecho a recibirlas.</w:t>
      </w:r>
    </w:p>
    <w:p w14:paraId="4FD5BD51" w14:textId="718B1839" w:rsidR="00987FF9" w:rsidRPr="00D86945" w:rsidRDefault="00987FF9" w:rsidP="004F4FE7">
      <w:pPr>
        <w:spacing w:line="240" w:lineRule="auto"/>
        <w:ind w:right="49"/>
        <w:jc w:val="both"/>
        <w:rPr>
          <w:rFonts w:ascii="Verdana" w:hAnsi="Verdana" w:cs="Times New Roman"/>
          <w:b/>
          <w:sz w:val="20"/>
          <w:szCs w:val="20"/>
        </w:rPr>
      </w:pPr>
      <w:r w:rsidRPr="00D86945">
        <w:rPr>
          <w:rFonts w:ascii="Verdana" w:hAnsi="Verdana" w:cs="Times New Roman"/>
          <w:b/>
          <w:sz w:val="20"/>
          <w:szCs w:val="20"/>
        </w:rPr>
        <w:t>Corte IDH. Caso Herrera Ulloa Vs. Costa Rica. Excepciones Preliminares, Fondo, Reparaciones y Costas. Sentencia de 2 de julio de 2004. Serie C No. 107.</w:t>
      </w:r>
      <w:r w:rsidR="00D35646" w:rsidRPr="00D86945">
        <w:rPr>
          <w:rStyle w:val="Refdenotaalpie"/>
          <w:rFonts w:ascii="Verdana" w:hAnsi="Verdana" w:cs="Times New Roman"/>
          <w:b/>
          <w:sz w:val="20"/>
          <w:szCs w:val="20"/>
        </w:rPr>
        <w:footnoteReference w:id="3"/>
      </w:r>
    </w:p>
    <w:p w14:paraId="29049A01" w14:textId="6FB8F70F" w:rsidR="00987FF9" w:rsidRPr="00D86945" w:rsidRDefault="00987FF9" w:rsidP="004F4FE7">
      <w:pPr>
        <w:pStyle w:val="Textoindependiente"/>
        <w:spacing w:line="240" w:lineRule="auto"/>
        <w:ind w:right="49"/>
        <w:rPr>
          <w:rFonts w:ascii="Verdana" w:hAnsi="Verdana"/>
          <w:sz w:val="20"/>
        </w:rPr>
      </w:pPr>
      <w:r w:rsidRPr="00D86945">
        <w:rPr>
          <w:rFonts w:ascii="Verdana" w:hAnsi="Verdana"/>
          <w:sz w:val="20"/>
        </w:rPr>
        <w:t>113.</w:t>
      </w:r>
      <w:r w:rsidRPr="00D86945">
        <w:rPr>
          <w:rFonts w:ascii="Verdana" w:hAnsi="Verdana"/>
          <w:sz w:val="20"/>
        </w:rPr>
        <w:tab/>
        <w:t>En iguales términos a los indicados por la Corte Interamericana, la Corte Europea de Derechos Humanos se ha manifestado sobre la importancia que reviste en la sociedad democrática la libertad de expresión, al señalar que</w:t>
      </w:r>
    </w:p>
    <w:p w14:paraId="59AFCE01" w14:textId="56EDB745" w:rsidR="00987FF9" w:rsidRPr="00DD0B03" w:rsidRDefault="00987FF9" w:rsidP="004F4FE7">
      <w:pPr>
        <w:pStyle w:val="Textoindependiente"/>
        <w:spacing w:line="240" w:lineRule="auto"/>
        <w:ind w:left="1416" w:right="49"/>
        <w:rPr>
          <w:rFonts w:ascii="Verdana" w:hAnsi="Verdana"/>
          <w:sz w:val="16"/>
          <w:szCs w:val="16"/>
        </w:rPr>
      </w:pPr>
      <w:r w:rsidRPr="00D86945">
        <w:rPr>
          <w:rFonts w:ascii="Verdana" w:hAnsi="Verdana"/>
          <w:sz w:val="18"/>
          <w:szCs w:val="18"/>
        </w:rPr>
        <w:t xml:space="preserve">[…] la libertad de expresión constituye uno de los pilares esenciales de una sociedad democrática y una condición fundamental para su progreso y para el desarrollo personal de cada individuo. Dicha libertad no sólo debe garantizarse en lo que respecta a la difusión de información o ideas que son recibidas favorablemente o consideradas como inofensivas o indiferentes, sino también en lo que toca a las que ofenden, resultan ingratas o perturban al Estado o a cualquier sector de la población. Tales son las demandas del pluralismo, la tolerancia y el espíritu de apertura, sin las cuales no existe una sociedad democrática. […] Esto significa que […] toda formalidad, condición, restricción o sanción impuesta en la materia debe ser proporcionada al fin legítimo que se persigue. </w:t>
      </w:r>
      <w:r w:rsidR="00011742">
        <w:rPr>
          <w:rFonts w:ascii="Verdana" w:hAnsi="Verdana"/>
          <w:b/>
          <w:sz w:val="16"/>
          <w:szCs w:val="16"/>
        </w:rPr>
        <w:t>[</w:t>
      </w:r>
      <w:r w:rsidR="002A5747">
        <w:rPr>
          <w:rFonts w:ascii="Verdana" w:hAnsi="Verdana"/>
          <w:b/>
          <w:sz w:val="16"/>
          <w:szCs w:val="16"/>
        </w:rPr>
        <w:t>En similar sentido, ver entre otros:</w:t>
      </w:r>
      <w:r w:rsidRPr="00DD0B03">
        <w:rPr>
          <w:rFonts w:ascii="Verdana" w:hAnsi="Verdana"/>
          <w:sz w:val="16"/>
          <w:szCs w:val="16"/>
        </w:rPr>
        <w:t xml:space="preserve"> </w:t>
      </w:r>
      <w:r w:rsidRPr="00DD0B03">
        <w:rPr>
          <w:rFonts w:ascii="Verdana" w:hAnsi="Verdana"/>
          <w:b/>
          <w:i/>
          <w:sz w:val="16"/>
          <w:szCs w:val="16"/>
        </w:rPr>
        <w:t xml:space="preserve">Caso Ricardo </w:t>
      </w:r>
      <w:proofErr w:type="spellStart"/>
      <w:r w:rsidRPr="00DD0B03">
        <w:rPr>
          <w:rFonts w:ascii="Verdana" w:hAnsi="Verdana"/>
          <w:b/>
          <w:i/>
          <w:sz w:val="16"/>
          <w:szCs w:val="16"/>
        </w:rPr>
        <w:t>Canese</w:t>
      </w:r>
      <w:proofErr w:type="spellEnd"/>
      <w:r w:rsidRPr="00DD0B03">
        <w:rPr>
          <w:rFonts w:ascii="Verdana" w:hAnsi="Verdana"/>
          <w:b/>
          <w:i/>
          <w:sz w:val="16"/>
          <w:szCs w:val="16"/>
        </w:rPr>
        <w:t xml:space="preserve"> Vs. Paraguay. Fondo, Reparaciones y Costas. Sentencia de 31 de agosto de 2004. </w:t>
      </w:r>
      <w:r w:rsidRPr="00DD0B03">
        <w:rPr>
          <w:rFonts w:ascii="Verdana" w:hAnsi="Verdana"/>
          <w:b/>
          <w:i/>
          <w:sz w:val="16"/>
          <w:szCs w:val="16"/>
        </w:rPr>
        <w:lastRenderedPageBreak/>
        <w:t>Serie C No. 111,</w:t>
      </w:r>
      <w:r w:rsidR="00011742">
        <w:rPr>
          <w:rFonts w:ascii="Verdana" w:hAnsi="Verdana"/>
          <w:b/>
          <w:i/>
          <w:sz w:val="16"/>
          <w:szCs w:val="16"/>
        </w:rPr>
        <w:t xml:space="preserve"> </w:t>
      </w:r>
      <w:r w:rsidRPr="00DD0B03">
        <w:rPr>
          <w:rFonts w:ascii="Verdana" w:hAnsi="Verdana"/>
          <w:b/>
          <w:i/>
          <w:sz w:val="16"/>
          <w:szCs w:val="16"/>
        </w:rPr>
        <w:t>párr.83</w:t>
      </w:r>
      <w:r w:rsidR="00011742">
        <w:rPr>
          <w:rFonts w:ascii="Verdana" w:hAnsi="Verdana"/>
          <w:b/>
          <w:i/>
          <w:sz w:val="16"/>
          <w:szCs w:val="16"/>
        </w:rPr>
        <w:t>]</w:t>
      </w:r>
      <w:r w:rsidRPr="00DD0B03">
        <w:rPr>
          <w:rFonts w:ascii="Verdana" w:hAnsi="Verdana"/>
          <w:b/>
          <w:i/>
          <w:sz w:val="16"/>
          <w:szCs w:val="16"/>
        </w:rPr>
        <w:t>.</w:t>
      </w:r>
    </w:p>
    <w:p w14:paraId="493F08C6" w14:textId="2F531FBF" w:rsidR="00987FF9" w:rsidRPr="00D86945" w:rsidRDefault="00987FF9" w:rsidP="004F4FE7">
      <w:pPr>
        <w:pStyle w:val="Textoindependiente"/>
        <w:spacing w:line="240" w:lineRule="auto"/>
        <w:ind w:right="49"/>
        <w:rPr>
          <w:rFonts w:ascii="Verdana" w:hAnsi="Verdana"/>
          <w:sz w:val="20"/>
        </w:rPr>
      </w:pPr>
      <w:r w:rsidRPr="00D86945">
        <w:rPr>
          <w:rFonts w:ascii="Verdana" w:hAnsi="Verdana"/>
          <w:sz w:val="20"/>
        </w:rPr>
        <w:t>114.</w:t>
      </w:r>
      <w:r w:rsidRPr="00D86945">
        <w:rPr>
          <w:rFonts w:ascii="Verdana" w:hAnsi="Verdana"/>
          <w:sz w:val="20"/>
        </w:rPr>
        <w:tab/>
        <w:t xml:space="preserve">La Comisión Africana de Derechos Humanos y de los Pueblos y el Comité de Derechos Humanos de Naciones Unidas también se han pronunciado en ese mismo sentido. </w:t>
      </w:r>
      <w:r w:rsidR="00DD0B03">
        <w:rPr>
          <w:rFonts w:ascii="Verdana" w:hAnsi="Verdana"/>
          <w:b/>
          <w:bCs/>
          <w:sz w:val="20"/>
        </w:rPr>
        <w:t>[</w:t>
      </w:r>
      <w:r w:rsidR="002A5747">
        <w:rPr>
          <w:rFonts w:ascii="Verdana" w:hAnsi="Verdana"/>
          <w:b/>
          <w:sz w:val="18"/>
          <w:szCs w:val="18"/>
        </w:rPr>
        <w:t>En similar sentido, ver entre otros:</w:t>
      </w:r>
      <w:r w:rsidRPr="00DD0B03">
        <w:rPr>
          <w:rFonts w:ascii="Verdana" w:hAnsi="Verdana"/>
          <w:b/>
          <w:sz w:val="18"/>
          <w:szCs w:val="18"/>
        </w:rPr>
        <w:t xml:space="preserve"> Caso Ricardo </w:t>
      </w:r>
      <w:proofErr w:type="spellStart"/>
      <w:r w:rsidRPr="00DD0B03">
        <w:rPr>
          <w:rFonts w:ascii="Verdana" w:hAnsi="Verdana"/>
          <w:b/>
          <w:sz w:val="18"/>
          <w:szCs w:val="18"/>
        </w:rPr>
        <w:t>Canese</w:t>
      </w:r>
      <w:proofErr w:type="spellEnd"/>
      <w:r w:rsidRPr="00DD0B03">
        <w:rPr>
          <w:rFonts w:ascii="Verdana" w:hAnsi="Verdana"/>
          <w:b/>
          <w:sz w:val="18"/>
          <w:szCs w:val="18"/>
        </w:rPr>
        <w:t xml:space="preserve"> Vs. Paraguay. Fondo, Reparaciones y Costas. Sentencia de 31 de agosto de 2004. Serie C No. 111, párr.84</w:t>
      </w:r>
      <w:r w:rsidR="00DD0B03">
        <w:rPr>
          <w:rFonts w:ascii="Verdana" w:hAnsi="Verdana"/>
          <w:b/>
          <w:sz w:val="18"/>
          <w:szCs w:val="18"/>
        </w:rPr>
        <w:t>]</w:t>
      </w:r>
      <w:r w:rsidRPr="00D86945">
        <w:rPr>
          <w:rFonts w:ascii="Verdana" w:hAnsi="Verdana"/>
          <w:b/>
          <w:sz w:val="18"/>
          <w:szCs w:val="18"/>
        </w:rPr>
        <w:t>.</w:t>
      </w:r>
    </w:p>
    <w:p w14:paraId="4AA0A8AE" w14:textId="0553BA66" w:rsidR="00987FF9" w:rsidRPr="00D86945" w:rsidRDefault="00987FF9" w:rsidP="004F4FE7">
      <w:pPr>
        <w:pStyle w:val="Sangradetindependiente2"/>
        <w:widowControl/>
        <w:spacing w:line="240" w:lineRule="auto"/>
        <w:ind w:right="49"/>
        <w:jc w:val="both"/>
        <w:rPr>
          <w:rFonts w:ascii="Verdana" w:eastAsia="Times" w:hAnsi="Verdana"/>
          <w:sz w:val="20"/>
        </w:rPr>
      </w:pPr>
      <w:r w:rsidRPr="00D86945">
        <w:rPr>
          <w:rFonts w:ascii="Verdana" w:hAnsi="Verdana"/>
          <w:sz w:val="20"/>
        </w:rPr>
        <w:t>115.</w:t>
      </w:r>
      <w:r w:rsidRPr="00D86945">
        <w:rPr>
          <w:rFonts w:ascii="Verdana" w:hAnsi="Verdana"/>
          <w:sz w:val="20"/>
        </w:rPr>
        <w:tab/>
        <w:t xml:space="preserve">En este sentido valga resaltar que los Jefes de Estado y de Gobierno de las </w:t>
      </w:r>
      <w:r w:rsidR="00011742" w:rsidRPr="00D86945">
        <w:rPr>
          <w:rFonts w:ascii="Verdana" w:hAnsi="Verdana"/>
          <w:sz w:val="20"/>
        </w:rPr>
        <w:t>Américas</w:t>
      </w:r>
      <w:r w:rsidRPr="00D86945">
        <w:rPr>
          <w:rFonts w:ascii="Verdana" w:hAnsi="Verdana"/>
          <w:sz w:val="20"/>
        </w:rPr>
        <w:t xml:space="preserve"> aprobaron el 11 de septiembre de 2001 la Carta Democrática Interamericana, en la cual, </w:t>
      </w:r>
      <w:r w:rsidRPr="00D86945">
        <w:rPr>
          <w:rFonts w:ascii="Verdana" w:hAnsi="Verdana"/>
          <w:i/>
          <w:sz w:val="20"/>
        </w:rPr>
        <w:t xml:space="preserve">inter alia, </w:t>
      </w:r>
      <w:r w:rsidRPr="00D86945">
        <w:rPr>
          <w:rFonts w:ascii="Verdana" w:hAnsi="Verdana"/>
          <w:sz w:val="20"/>
        </w:rPr>
        <w:t xml:space="preserve">señalaron que </w:t>
      </w:r>
    </w:p>
    <w:p w14:paraId="4D391220" w14:textId="44AAF820" w:rsidR="00987FF9" w:rsidRPr="00D86945" w:rsidRDefault="00987FF9" w:rsidP="004F4FE7">
      <w:pPr>
        <w:pStyle w:val="Textoindependiente"/>
        <w:spacing w:line="240" w:lineRule="auto"/>
        <w:ind w:left="1416" w:right="49"/>
        <w:rPr>
          <w:rFonts w:ascii="Verdana" w:hAnsi="Verdana"/>
          <w:sz w:val="16"/>
          <w:szCs w:val="16"/>
        </w:rPr>
      </w:pPr>
      <w:r w:rsidRPr="00D86945">
        <w:rPr>
          <w:rFonts w:ascii="Verdana" w:eastAsia="Times" w:hAnsi="Verdana"/>
          <w:sz w:val="18"/>
          <w:szCs w:val="18"/>
        </w:rPr>
        <w:t xml:space="preserve">[s]on componentes fundamentales del ejercicio de la democracia la transparencia de las actividades gubernamentales, la probidad, la responsabilidad de los gobiernos en la gestión pública, el respeto por los derechos sociales y la libertad de expresión y de prensa. </w:t>
      </w:r>
      <w:r w:rsidR="00DD0B03">
        <w:rPr>
          <w:rFonts w:ascii="Verdana" w:eastAsia="Times" w:hAnsi="Verdana"/>
          <w:b/>
          <w:bCs/>
          <w:sz w:val="18"/>
          <w:szCs w:val="18"/>
        </w:rPr>
        <w:t>[</w:t>
      </w:r>
      <w:r w:rsidR="002A5747">
        <w:rPr>
          <w:rFonts w:ascii="Verdana" w:eastAsia="Times" w:hAnsi="Verdana"/>
          <w:b/>
          <w:sz w:val="16"/>
          <w:szCs w:val="16"/>
        </w:rPr>
        <w:t>En similar sentido, ver entre otros:</w:t>
      </w:r>
      <w:r w:rsidRPr="00D86945">
        <w:rPr>
          <w:rFonts w:ascii="Verdana" w:eastAsia="Times" w:hAnsi="Verdana"/>
          <w:sz w:val="16"/>
          <w:szCs w:val="16"/>
        </w:rPr>
        <w:t xml:space="preserve"> </w:t>
      </w:r>
      <w:r w:rsidRPr="00D86945">
        <w:rPr>
          <w:rFonts w:ascii="Verdana" w:eastAsia="Times" w:hAnsi="Verdana"/>
          <w:b/>
          <w:sz w:val="16"/>
          <w:szCs w:val="16"/>
        </w:rPr>
        <w:t xml:space="preserve">Caso Ricardo </w:t>
      </w:r>
      <w:proofErr w:type="spellStart"/>
      <w:r w:rsidRPr="00D86945">
        <w:rPr>
          <w:rFonts w:ascii="Verdana" w:eastAsia="Times" w:hAnsi="Verdana"/>
          <w:b/>
          <w:sz w:val="16"/>
          <w:szCs w:val="16"/>
        </w:rPr>
        <w:t>Canese</w:t>
      </w:r>
      <w:proofErr w:type="spellEnd"/>
      <w:r w:rsidRPr="00D86945">
        <w:rPr>
          <w:rFonts w:ascii="Verdana" w:eastAsia="Times" w:hAnsi="Verdana"/>
          <w:b/>
          <w:sz w:val="16"/>
          <w:szCs w:val="16"/>
        </w:rPr>
        <w:t xml:space="preserve"> Vs. Paraguay. Fondo, Reparaciones y Costas. Sentencia de 31 de agosto de 2004. Serie C No. 111, párr.85; Caso </w:t>
      </w:r>
      <w:proofErr w:type="spellStart"/>
      <w:r w:rsidRPr="00D86945">
        <w:rPr>
          <w:rFonts w:ascii="Verdana" w:eastAsia="Times" w:hAnsi="Verdana"/>
          <w:b/>
          <w:sz w:val="16"/>
          <w:szCs w:val="16"/>
        </w:rPr>
        <w:t>Granier</w:t>
      </w:r>
      <w:proofErr w:type="spellEnd"/>
      <w:r w:rsidRPr="00D86945">
        <w:rPr>
          <w:rFonts w:ascii="Verdana" w:eastAsia="Times" w:hAnsi="Verdana"/>
          <w:b/>
          <w:sz w:val="16"/>
          <w:szCs w:val="16"/>
        </w:rPr>
        <w:t xml:space="preserve"> y otros (Radio Caracas Televisión) Vs. Venezuela. Excepciones Preliminares, Fondo, Reparaciones y Costas. Sentencia de 22 de junio de 2015. Serie C No. 293, párr.140</w:t>
      </w:r>
      <w:r w:rsidR="00DD0B03">
        <w:rPr>
          <w:rFonts w:ascii="Verdana" w:eastAsia="Times" w:hAnsi="Verdana"/>
          <w:b/>
          <w:sz w:val="16"/>
          <w:szCs w:val="16"/>
        </w:rPr>
        <w:t>]</w:t>
      </w:r>
      <w:r w:rsidRPr="00D86945">
        <w:rPr>
          <w:rFonts w:ascii="Verdana" w:eastAsia="Times" w:hAnsi="Verdana"/>
          <w:b/>
          <w:sz w:val="16"/>
          <w:szCs w:val="16"/>
        </w:rPr>
        <w:t>.</w:t>
      </w:r>
    </w:p>
    <w:p w14:paraId="6E6C0BC6" w14:textId="3C70F7D9" w:rsidR="00987FF9" w:rsidRPr="00D86945" w:rsidRDefault="00987FF9" w:rsidP="004F4FE7">
      <w:pPr>
        <w:pStyle w:val="Textoindependiente"/>
        <w:spacing w:line="240" w:lineRule="auto"/>
        <w:ind w:right="49"/>
        <w:rPr>
          <w:rFonts w:ascii="Verdana" w:hAnsi="Verdana"/>
          <w:b/>
          <w:sz w:val="18"/>
          <w:szCs w:val="18"/>
        </w:rPr>
      </w:pPr>
      <w:r w:rsidRPr="00D86945">
        <w:rPr>
          <w:rFonts w:ascii="Verdana" w:hAnsi="Verdana"/>
          <w:sz w:val="20"/>
        </w:rPr>
        <w:t>116.</w:t>
      </w:r>
      <w:r w:rsidRPr="00D86945">
        <w:rPr>
          <w:rFonts w:ascii="Verdana" w:hAnsi="Verdana"/>
          <w:sz w:val="20"/>
        </w:rPr>
        <w:tab/>
        <w:t xml:space="preserve">Existe entonces una coincidencia en los diferentes sistemas regionales de protección a los derechos humanos y en el universal, en cuanto al papel esencial que juega la libertad de expresión en la consolidación y dinámica de una sociedad democrática. Sin una efectiva libertad de expresión, materializada en todos sus términos, la democracia se desvanece, el pluralismo y la tolerancia empiezan a quebrantarse, los mecanismos de control y denuncia ciudadana se empiezan a tornar inoperantes y, en definitiva, se empieza a crear el campo fértil para que sistemas autoritarios se arraiguen en la sociedad. </w:t>
      </w:r>
      <w:r w:rsidR="00DD0B03">
        <w:rPr>
          <w:rFonts w:ascii="Verdana" w:hAnsi="Verdana"/>
          <w:b/>
          <w:bCs/>
          <w:sz w:val="20"/>
        </w:rPr>
        <w:t>[</w:t>
      </w:r>
      <w:r w:rsidR="002A5747">
        <w:rPr>
          <w:rFonts w:ascii="Verdana" w:hAnsi="Verdana"/>
          <w:b/>
          <w:sz w:val="18"/>
          <w:szCs w:val="18"/>
        </w:rPr>
        <w:t>En similar sentido, ver entre otros:</w:t>
      </w:r>
      <w:r w:rsidRPr="00D86945">
        <w:rPr>
          <w:rFonts w:ascii="Verdana" w:hAnsi="Verdana"/>
          <w:sz w:val="18"/>
          <w:szCs w:val="18"/>
        </w:rPr>
        <w:t xml:space="preserve"> </w:t>
      </w:r>
      <w:r w:rsidRPr="00D86945">
        <w:rPr>
          <w:rFonts w:ascii="Verdana" w:hAnsi="Verdana"/>
          <w:b/>
          <w:sz w:val="18"/>
          <w:szCs w:val="18"/>
        </w:rPr>
        <w:t xml:space="preserve">Caso Ricardo </w:t>
      </w:r>
      <w:proofErr w:type="spellStart"/>
      <w:r w:rsidRPr="00D86945">
        <w:rPr>
          <w:rFonts w:ascii="Verdana" w:hAnsi="Verdana"/>
          <w:b/>
          <w:sz w:val="18"/>
          <w:szCs w:val="18"/>
        </w:rPr>
        <w:t>Canese</w:t>
      </w:r>
      <w:proofErr w:type="spellEnd"/>
      <w:r w:rsidRPr="00D86945">
        <w:rPr>
          <w:rFonts w:ascii="Verdana" w:hAnsi="Verdana"/>
          <w:b/>
          <w:sz w:val="18"/>
          <w:szCs w:val="18"/>
        </w:rPr>
        <w:t xml:space="preserve"> Vs. Paraguay. Fondo, Reparaciones y Costas. Sentencia de 31 de agosto de 2004. Serie C No. 111, párr.86; Caso Ríos y otros Vs. Venezuela. Excepciones Preliminares, Fondo, Reparaciones y Costas. Sentencia de 28 de enero de 2009. Serie C No. 194, párr.105; Caso Perozo y otros Vs. Venezuela. Excepciones Preliminares, Fondo, Reparaciones y Costas. Sentencia de 28 de enero de 2009. Serie C No. 195, párr.116; Caso Vélez Restrepo y familiares Vs. Colombia. Excepción Preliminar, Fondo, Reparaciones y Costas. Sentencia de 3 de septiembre de 2012. Serie C No. 248, párr.141</w:t>
      </w:r>
      <w:r w:rsidR="00DD0B03">
        <w:rPr>
          <w:rFonts w:ascii="Verdana" w:hAnsi="Verdana"/>
          <w:b/>
          <w:sz w:val="18"/>
          <w:szCs w:val="18"/>
        </w:rPr>
        <w:t>]</w:t>
      </w:r>
      <w:r w:rsidRPr="00D86945">
        <w:rPr>
          <w:rFonts w:ascii="Verdana" w:hAnsi="Verdana"/>
          <w:b/>
          <w:sz w:val="18"/>
          <w:szCs w:val="18"/>
        </w:rPr>
        <w:t>.</w:t>
      </w:r>
    </w:p>
    <w:p w14:paraId="6B6730CE" w14:textId="24829CF4"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160.</w:t>
      </w:r>
      <w:r w:rsidRPr="00D86945">
        <w:rPr>
          <w:rFonts w:ascii="Verdana" w:hAnsi="Verdana"/>
          <w:sz w:val="20"/>
          <w:szCs w:val="20"/>
          <w:lang w:val="es-CR"/>
        </w:rPr>
        <w:tab/>
        <w:t xml:space="preserve">La Corte ha reconocido la relación existente entre los derechos políticos, la libertad de expresión, el derecho de reunión y la libertad de asociación, y que estos derechos, en conjunto, hacen posible el juego democrático. En situaciones de ruptura institucional, tras un golpe de Estado, la relación entre estos derechos resulta aún más manifiesta, especialmente cuando se ejercen de manera conjunta con la finalidad de protestar contra la actuación de los poderes estatales contraria al orden constitucional y para reclamar el retorno de la democracia. Las manifestaciones y expresiones relacionadas a favor de la democracia deben tener la máxima protección posible y, dependiendo de las circunstancias, pueden estar vinculadas con todos o algunos de los derechos mencionados. </w:t>
      </w:r>
    </w:p>
    <w:p w14:paraId="3FEFBE60" w14:textId="41CBFFA0"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161.</w:t>
      </w:r>
      <w:r w:rsidRPr="00D86945">
        <w:rPr>
          <w:rFonts w:ascii="Verdana" w:hAnsi="Verdana"/>
          <w:sz w:val="20"/>
          <w:szCs w:val="20"/>
          <w:lang w:val="es-CR"/>
        </w:rPr>
        <w:tab/>
        <w:t xml:space="preserve">El artículo 23 de la Convención, relativo a los derechos políticos, reconoce derechos de los ciudadanos que se ejercen por cada individuo en particular. El párrafo 1 de dicho artículo reconoce a todos los ciudadanos los derechos: a) de participar en la dirección de los asuntos públicos, directamente o por medio de representantes libremente elegidos; b) de votar y ser elegidos en elecciones periódicas auténticas, realizadas por sufragio universal e igual y por voto secreto que garantice la libre expresión de la voluntad de los electores, y c) de tener acceso, en condiciones generales de igualdad, a las funciones públicas de su país. </w:t>
      </w:r>
    </w:p>
    <w:p w14:paraId="188BA2C2" w14:textId="4A1A85CD"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162.</w:t>
      </w:r>
      <w:r w:rsidRPr="00D86945">
        <w:rPr>
          <w:rFonts w:ascii="Verdana" w:hAnsi="Verdana"/>
          <w:sz w:val="20"/>
          <w:szCs w:val="20"/>
          <w:lang w:val="es-CR"/>
        </w:rPr>
        <w:tab/>
        <w:t xml:space="preserve">El ejercicio efectivo de los derechos políticos constituye un fin en sí mismo y, a la vez, un medio fundamental que las sociedades democráticas tienen para </w:t>
      </w:r>
      <w:r w:rsidRPr="00D86945">
        <w:rPr>
          <w:rFonts w:ascii="Verdana" w:hAnsi="Verdana"/>
          <w:sz w:val="20"/>
          <w:szCs w:val="20"/>
          <w:lang w:val="es-CR"/>
        </w:rPr>
        <w:lastRenderedPageBreak/>
        <w:t xml:space="preserve">garantizar los demás derechos humanos previstos en la Convención. Además, de conformidad con el artículo 23 convencional, sus titulares, es decir, los ciudadanos, no sólo deben gozar de derechos, sino también de “oportunidades”. Este último término implica la obligación de garantizar con medidas positivas que toda persona que formalmente sea titular de derechos políticos tenga la oportunidad real para ejercerlos. Los derechos políticos y su ejercicio propician el fortalecimiento de la democracia y el pluralismo político. </w:t>
      </w:r>
    </w:p>
    <w:p w14:paraId="3ED1FAB4" w14:textId="768BD9CB"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163.</w:t>
      </w:r>
      <w:r w:rsidRPr="00D86945">
        <w:rPr>
          <w:rFonts w:ascii="Verdana" w:hAnsi="Verdana"/>
          <w:sz w:val="20"/>
          <w:szCs w:val="20"/>
          <w:lang w:val="es-CR"/>
        </w:rPr>
        <w:tab/>
        <w:t>Por lo tanto, el Estado debe propiciar las condiciones y mecanismos para que dichos derechos políticos puedan ser ejercidos de forma efectiva, respetando el principio de igualdad y no discriminación. La participación política puede incluir amplias y diversas actividades que las personas realizan individualmente u organizadas, con el propósito de intervenir en la designación de quienes gobernarán un Estado o se encargarán de la dirección de los asuntos públicos, así como influir en la formación de la política estatal a través de mecanismos de participación directa</w:t>
      </w:r>
      <w:r w:rsidR="00D35646" w:rsidRPr="00D86945">
        <w:rPr>
          <w:rFonts w:ascii="Verdana" w:hAnsi="Verdana"/>
          <w:sz w:val="20"/>
          <w:szCs w:val="20"/>
          <w:lang w:val="es-CR"/>
        </w:rPr>
        <w:t xml:space="preserve"> </w:t>
      </w:r>
      <w:r w:rsidRPr="00D86945">
        <w:rPr>
          <w:rFonts w:ascii="Verdana" w:hAnsi="Verdana"/>
          <w:sz w:val="20"/>
          <w:szCs w:val="20"/>
          <w:lang w:val="es-CR"/>
        </w:rPr>
        <w:t>o, en general, para intervenir en asuntos de interés público, como por ejemplo la defensa de la democracia.</w:t>
      </w:r>
    </w:p>
    <w:p w14:paraId="51E478AB" w14:textId="6E2F3628"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164.</w:t>
      </w:r>
      <w:r w:rsidRPr="00D86945">
        <w:rPr>
          <w:rFonts w:ascii="Verdana" w:hAnsi="Verdana"/>
          <w:sz w:val="20"/>
          <w:szCs w:val="20"/>
          <w:lang w:val="es-CR"/>
        </w:rPr>
        <w:tab/>
        <w:t>Desde esta perspectiva, el derecho de defender la democracia, al que se hizo alusión en un acápite precedente de esta Sentencia, constituye una específica concretización del derecho a participar en los asuntos públicos y comprende a su vez el ejercicio conjunto de otros derechos como la libertad de expresión y la libertad de reunión, como pasará a explicarse a continuación.</w:t>
      </w:r>
    </w:p>
    <w:p w14:paraId="17E980A9" w14:textId="34E1FAE5"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165.</w:t>
      </w:r>
      <w:r w:rsidRPr="00D86945">
        <w:rPr>
          <w:rFonts w:ascii="Verdana" w:hAnsi="Verdana"/>
          <w:sz w:val="20"/>
          <w:szCs w:val="20"/>
          <w:lang w:val="es-CR"/>
        </w:rPr>
        <w:tab/>
        <w:t>La libertad de expresión, particularmente en asuntos de interés público, “es una piedra angular en la existencia misma de una sociedad democrática”</w:t>
      </w:r>
      <w:r w:rsidR="00215583">
        <w:rPr>
          <w:rFonts w:ascii="Verdana" w:hAnsi="Verdana"/>
          <w:sz w:val="20"/>
          <w:szCs w:val="20"/>
          <w:lang w:val="es-CR"/>
        </w:rPr>
        <w:t>.</w:t>
      </w:r>
      <w:r w:rsidRPr="00D86945">
        <w:rPr>
          <w:rFonts w:ascii="Verdana" w:hAnsi="Verdana"/>
          <w:sz w:val="20"/>
          <w:szCs w:val="20"/>
          <w:lang w:val="es-CR"/>
        </w:rPr>
        <w:t xml:space="preserve"> Sin una efectiva garantía de la libertad de expresión se debilita el sistema democrático y sufren quebranto el pluralismo y la tolerancia; los mecanismos de control y denuncia ciudadana pueden volverse inoperantes y, en definitiva, se crea un campo fértil para que arraiguen sistemas autoritarios. No sólo debe garantizarse en lo que respecta a la difusión de información o ideas que son recibidas favorablemente o consideradas como inofensivas o indiferentes, sino también en lo que toca a las que resultan ingratas para el Estado o cualquier sector de la población. Asimismo, los artículos 3 y 4 de la Carta Democrática Interamericana resaltan la importancia de la libertad de expresión en una sociedad democrática, al establecer que “[s]on elementos esenciales de la democracia representativa, entre otros, el respeto a los derechos humanos y las libertades fundamentales” y “[s]on componentes fundamentales del ejercicio de la democracia la transparencia de las actividades gubernamentales, la probidad, la responsabilidad de los gobiernos en la gestión pública, el respeto por los derechos sociales y la libertad de expresión y de prensa”.</w:t>
      </w:r>
    </w:p>
    <w:p w14:paraId="63970382" w14:textId="3DEF2432" w:rsidR="000F2A88" w:rsidRPr="00D86945" w:rsidRDefault="000F2A88" w:rsidP="004F4FE7">
      <w:pPr>
        <w:spacing w:line="240" w:lineRule="auto"/>
        <w:ind w:right="49"/>
        <w:jc w:val="both"/>
        <w:rPr>
          <w:rFonts w:ascii="Verdana" w:hAnsi="Verdana"/>
          <w:b/>
          <w:sz w:val="20"/>
          <w:szCs w:val="20"/>
          <w:lang w:val="es-CR"/>
        </w:rPr>
      </w:pPr>
      <w:r w:rsidRPr="00D86945">
        <w:rPr>
          <w:rFonts w:ascii="Verdana" w:hAnsi="Verdana"/>
          <w:b/>
          <w:sz w:val="20"/>
          <w:szCs w:val="20"/>
          <w:lang w:val="es-CR"/>
        </w:rPr>
        <w:t>Corte IDH. Caso San Miguel Sosa y otras Vs. Venezuela. Fondo, Reparaciones y Costas. Sentencia de 8 de febrero de 2018. Serie C No. 348</w:t>
      </w:r>
      <w:r w:rsidR="00DD0B03">
        <w:rPr>
          <w:rFonts w:ascii="Verdana" w:hAnsi="Verdana"/>
          <w:b/>
          <w:sz w:val="20"/>
          <w:szCs w:val="20"/>
          <w:lang w:val="es-CR"/>
        </w:rPr>
        <w:t>.</w:t>
      </w:r>
      <w:r w:rsidR="00673EE6" w:rsidRPr="00D86945">
        <w:rPr>
          <w:rStyle w:val="Refdenotaalpie"/>
          <w:rFonts w:ascii="Verdana" w:hAnsi="Verdana"/>
          <w:b/>
          <w:sz w:val="20"/>
          <w:szCs w:val="20"/>
          <w:lang w:val="es-CR"/>
        </w:rPr>
        <w:footnoteReference w:id="4"/>
      </w:r>
    </w:p>
    <w:p w14:paraId="74C66713" w14:textId="23FF77A3" w:rsidR="00376E82" w:rsidRPr="00D86945" w:rsidRDefault="000F2A88" w:rsidP="004F4FE7">
      <w:pPr>
        <w:spacing w:line="240" w:lineRule="auto"/>
        <w:ind w:right="49"/>
        <w:jc w:val="both"/>
        <w:rPr>
          <w:rFonts w:ascii="Verdana" w:hAnsi="Verdana"/>
          <w:sz w:val="20"/>
          <w:szCs w:val="20"/>
          <w:lang w:val="es-CR"/>
        </w:rPr>
      </w:pPr>
      <w:r w:rsidRPr="00D86945">
        <w:rPr>
          <w:rFonts w:ascii="Verdana" w:hAnsi="Verdana"/>
          <w:sz w:val="20"/>
          <w:szCs w:val="20"/>
          <w:lang w:val="es-CR"/>
        </w:rPr>
        <w:t>154.</w:t>
      </w:r>
      <w:r w:rsidRPr="00D86945">
        <w:rPr>
          <w:rFonts w:ascii="Verdana" w:hAnsi="Verdana"/>
          <w:sz w:val="20"/>
          <w:szCs w:val="20"/>
          <w:lang w:val="es-CR"/>
        </w:rPr>
        <w:tab/>
        <w:t xml:space="preserve">Es, consecuentemente, indiscutible, como se ha señalado en la jurisprudencia de la Corte, que sin una efectiva garantía de la libertad de expresión, se debilita el sistema democrático y sufren quebranto el pluralismo y la tolerancia; los mecanismos de control y denuncia ciudadana pueden volverse inoperantes y, en definitiva, se crea un campo fértil para que se arraiguen sistemas autoritarios; que, en un contexto de vulnerabilidad enfrentado por determinadas personas, </w:t>
      </w:r>
      <w:r w:rsidRPr="00D86945">
        <w:rPr>
          <w:rFonts w:ascii="Verdana" w:hAnsi="Verdana"/>
          <w:sz w:val="20"/>
          <w:szCs w:val="20"/>
          <w:lang w:val="es-CR"/>
        </w:rPr>
        <w:lastRenderedPageBreak/>
        <w:t>declaraciones de las autoridades pueden ser percibidas como amenazas y provocar un efecto amedrentador; y que, al evaluar una supuesta restricción o limitación a la libertad de expresión, el Tribunal no debe sujetarse al estudio del acto en cuestión, sino que debe igualmente examinar dicho acto a la luz de los hechos del caso en su totalidad, incluyendo las circunstancias y el contexto en los que éstos se presentaron.</w:t>
      </w:r>
    </w:p>
    <w:p w14:paraId="547849BB" w14:textId="03757745" w:rsidR="00376E82" w:rsidRPr="00D86945" w:rsidRDefault="00376E82" w:rsidP="004F4FE7">
      <w:pPr>
        <w:spacing w:line="240" w:lineRule="auto"/>
        <w:ind w:right="49"/>
        <w:jc w:val="both"/>
        <w:rPr>
          <w:rFonts w:ascii="Verdana" w:hAnsi="Verdana"/>
          <w:sz w:val="20"/>
          <w:szCs w:val="20"/>
        </w:rPr>
      </w:pPr>
      <w:r w:rsidRPr="00D86945">
        <w:rPr>
          <w:rFonts w:ascii="Verdana" w:hAnsi="Verdana"/>
          <w:sz w:val="20"/>
          <w:szCs w:val="20"/>
        </w:rPr>
        <w:t>156.</w:t>
      </w:r>
      <w:r w:rsidRPr="00D86945">
        <w:rPr>
          <w:rFonts w:ascii="Verdana" w:hAnsi="Verdana"/>
          <w:sz w:val="20"/>
          <w:szCs w:val="20"/>
        </w:rPr>
        <w:tab/>
        <w:t xml:space="preserve">En atención a las conclusiones de la sección anterior, el acto de firma de una solicitud de referendo fue, en un sentido amplio, una forma de opinión política, en cuanto implicaba la manifestación de que se consideraba necesario activar una consulta popular sobre un tema de interés público que es susceptible de deliberación en una sociedad democrática, aún si ello no equivale propiamente a la expresión de una específica o determinada opinión. </w:t>
      </w:r>
    </w:p>
    <w:p w14:paraId="23A8D501" w14:textId="607B8CCF" w:rsidR="00376E82" w:rsidRDefault="00376E82" w:rsidP="004F4FE7">
      <w:pPr>
        <w:spacing w:line="240" w:lineRule="auto"/>
        <w:ind w:right="49"/>
        <w:jc w:val="both"/>
        <w:rPr>
          <w:rFonts w:ascii="Verdana" w:hAnsi="Verdana"/>
          <w:sz w:val="20"/>
          <w:szCs w:val="20"/>
        </w:rPr>
      </w:pPr>
      <w:r w:rsidRPr="00D86945">
        <w:rPr>
          <w:rFonts w:ascii="Verdana" w:hAnsi="Verdana"/>
          <w:sz w:val="20"/>
          <w:szCs w:val="20"/>
        </w:rPr>
        <w:t>157.</w:t>
      </w:r>
      <w:r w:rsidRPr="00D86945">
        <w:rPr>
          <w:rFonts w:ascii="Verdana" w:hAnsi="Verdana"/>
          <w:sz w:val="20"/>
          <w:szCs w:val="20"/>
        </w:rPr>
        <w:tab/>
        <w:t xml:space="preserve">En este caso, al plantear la acción de amparo, las presuntas víctimas no alegaron violaciones a su libertad de expresión </w:t>
      </w:r>
      <w:r w:rsidR="005E0C2B">
        <w:rPr>
          <w:rFonts w:ascii="Verdana" w:hAnsi="Verdana"/>
          <w:sz w:val="20"/>
          <w:szCs w:val="20"/>
        </w:rPr>
        <w:t>[...]</w:t>
      </w:r>
      <w:r w:rsidRPr="00D86945">
        <w:rPr>
          <w:rFonts w:ascii="Verdana" w:hAnsi="Verdana"/>
          <w:sz w:val="20"/>
          <w:szCs w:val="20"/>
        </w:rPr>
        <w:t>. No obstante, en el contexto de alta polarización política en que ocurrieron los hechos, la sola circunstancia de firmar por el revocatorio implicaba una manifestación de que se estaba dispuesto a que el mandato del Presidente de la República fuese revocado, si así lo decidía la mayoría, y además se asumía un riesgo al enfrentarse a quién detentaba el poder. La divulgación de esa manifestación, al menos entre las demás personas que procedían de igual manera, constituía un aliciente para que otras asimismo procedieran. Téngase presente, a este respecto, que según el artículo 13.1 de la Convención la libertad de expresión se puede ejercer “por cualquier otro procedimiento de su elección” y, dado el contexto, el acto de firmar puede ser considerado uno de esos otros procedimientos. Es decir, no se trataba solo de ejercer un derecho individual, secreto, sino de expresar un parecer desde el momento mismo de la firma, cual era, que se convocara al revocatorio, el que no tenía sentido si no era apoyado por la cantidad de solicitantes que se exigía y que, por lo mismo, debía ser conocido, al menos a través de medios personalizados o de divulgación no tan masivos. Téngase presente también que los hechos posteriores demuestran que las autoridades sí utilizaron esas firmas para amedrentar a los ciudadanos a fin de que no se expresaran de igual manera. En ese orden de ideas, evidentemente esa manifestación constituía un ejercicio de la libertad de expresión.</w:t>
      </w:r>
    </w:p>
    <w:p w14:paraId="4B77658D" w14:textId="0BD442D9" w:rsidR="00CD4AD0" w:rsidRPr="00CD4AD0" w:rsidRDefault="00CD4AD0" w:rsidP="004F4FE7">
      <w:pPr>
        <w:spacing w:line="240" w:lineRule="auto"/>
        <w:ind w:right="49"/>
        <w:jc w:val="both"/>
        <w:rPr>
          <w:rFonts w:ascii="Verdana" w:hAnsi="Verdana"/>
          <w:b/>
          <w:bCs/>
          <w:sz w:val="20"/>
          <w:szCs w:val="20"/>
        </w:rPr>
      </w:pPr>
      <w:r w:rsidRPr="00CD4AD0">
        <w:rPr>
          <w:rFonts w:ascii="Verdana" w:hAnsi="Verdana"/>
          <w:b/>
          <w:bCs/>
          <w:sz w:val="20"/>
          <w:szCs w:val="20"/>
        </w:rPr>
        <w:t>Corte IDH. Caso Grijalva Bueno Vs. Ecuador. Excepción Preliminar, Fondo, Reparaciones y Costas. Sentencia de 3 de junio de 2021. Serie C No. 426.</w:t>
      </w:r>
    </w:p>
    <w:p w14:paraId="69152F89" w14:textId="695E4C7D" w:rsidR="00CD4AD0" w:rsidRPr="00D86945" w:rsidRDefault="00CD4AD0" w:rsidP="004F4FE7">
      <w:pPr>
        <w:spacing w:line="240" w:lineRule="auto"/>
        <w:ind w:right="49"/>
        <w:jc w:val="both"/>
        <w:rPr>
          <w:rFonts w:ascii="Verdana" w:hAnsi="Verdana"/>
          <w:sz w:val="20"/>
          <w:szCs w:val="20"/>
        </w:rPr>
      </w:pPr>
      <w:r w:rsidRPr="00CD4AD0">
        <w:rPr>
          <w:rFonts w:ascii="Verdana" w:hAnsi="Verdana"/>
          <w:sz w:val="20"/>
          <w:szCs w:val="20"/>
        </w:rPr>
        <w:t xml:space="preserve">152. Respecto al contenido de la libertad de pensamiento y de </w:t>
      </w:r>
      <w:proofErr w:type="spellStart"/>
      <w:r w:rsidRPr="00CD4AD0">
        <w:rPr>
          <w:rFonts w:ascii="Verdana" w:hAnsi="Verdana"/>
          <w:sz w:val="20"/>
          <w:szCs w:val="20"/>
        </w:rPr>
        <w:t>expresión</w:t>
      </w:r>
      <w:proofErr w:type="spellEnd"/>
      <w:r w:rsidRPr="00CD4AD0">
        <w:rPr>
          <w:rFonts w:ascii="Verdana" w:hAnsi="Verdana"/>
          <w:sz w:val="20"/>
          <w:szCs w:val="20"/>
        </w:rPr>
        <w:t xml:space="preserve">, la Corte ha </w:t>
      </w:r>
      <w:proofErr w:type="spellStart"/>
      <w:r w:rsidRPr="00CD4AD0">
        <w:rPr>
          <w:rFonts w:ascii="Verdana" w:hAnsi="Verdana"/>
          <w:sz w:val="20"/>
          <w:szCs w:val="20"/>
        </w:rPr>
        <w:t>señalado</w:t>
      </w:r>
      <w:proofErr w:type="spellEnd"/>
      <w:r w:rsidRPr="00CD4AD0">
        <w:rPr>
          <w:rFonts w:ascii="Verdana" w:hAnsi="Verdana"/>
          <w:sz w:val="20"/>
          <w:szCs w:val="20"/>
        </w:rPr>
        <w:t xml:space="preserve"> que quienes </w:t>
      </w:r>
      <w:proofErr w:type="spellStart"/>
      <w:r w:rsidRPr="00CD4AD0">
        <w:rPr>
          <w:rFonts w:ascii="Verdana" w:hAnsi="Verdana"/>
          <w:sz w:val="20"/>
          <w:szCs w:val="20"/>
        </w:rPr>
        <w:t>están</w:t>
      </w:r>
      <w:proofErr w:type="spellEnd"/>
      <w:r w:rsidRPr="00CD4AD0">
        <w:rPr>
          <w:rFonts w:ascii="Verdana" w:hAnsi="Verdana"/>
          <w:sz w:val="20"/>
          <w:szCs w:val="20"/>
        </w:rPr>
        <w:t xml:space="preserve"> bajo la protección de la Convención tienen el derecho de buscar, recibir y difundir ideas e informaciones de toda </w:t>
      </w:r>
      <w:proofErr w:type="spellStart"/>
      <w:r w:rsidRPr="00CD4AD0">
        <w:rPr>
          <w:rFonts w:ascii="Verdana" w:hAnsi="Verdana"/>
          <w:sz w:val="20"/>
          <w:szCs w:val="20"/>
        </w:rPr>
        <w:t>índole</w:t>
      </w:r>
      <w:proofErr w:type="spellEnd"/>
      <w:r w:rsidRPr="00CD4AD0">
        <w:rPr>
          <w:rFonts w:ascii="Verdana" w:hAnsi="Verdana"/>
          <w:sz w:val="20"/>
          <w:szCs w:val="20"/>
        </w:rPr>
        <w:t xml:space="preserve">, </w:t>
      </w:r>
      <w:proofErr w:type="spellStart"/>
      <w:r w:rsidRPr="00CD4AD0">
        <w:rPr>
          <w:rFonts w:ascii="Verdana" w:hAnsi="Verdana"/>
          <w:sz w:val="20"/>
          <w:szCs w:val="20"/>
        </w:rPr>
        <w:t>asi</w:t>
      </w:r>
      <w:proofErr w:type="spellEnd"/>
      <w:r w:rsidRPr="00CD4AD0">
        <w:rPr>
          <w:rFonts w:ascii="Verdana" w:hAnsi="Verdana"/>
          <w:sz w:val="20"/>
          <w:szCs w:val="20"/>
        </w:rPr>
        <w:t xml:space="preserve">́ como también el de recibir y conocer las informaciones e ideas difundidas por los </w:t>
      </w:r>
      <w:proofErr w:type="spellStart"/>
      <w:r w:rsidRPr="00CD4AD0">
        <w:rPr>
          <w:rFonts w:ascii="Verdana" w:hAnsi="Verdana"/>
          <w:sz w:val="20"/>
          <w:szCs w:val="20"/>
        </w:rPr>
        <w:t>demás</w:t>
      </w:r>
      <w:proofErr w:type="spellEnd"/>
      <w:r w:rsidRPr="00CD4AD0">
        <w:rPr>
          <w:rFonts w:ascii="Verdana" w:hAnsi="Verdana"/>
          <w:sz w:val="20"/>
          <w:szCs w:val="20"/>
        </w:rPr>
        <w:t xml:space="preserve">. Es por ello </w:t>
      </w:r>
      <w:proofErr w:type="gramStart"/>
      <w:r w:rsidRPr="00CD4AD0">
        <w:rPr>
          <w:rFonts w:ascii="Verdana" w:hAnsi="Verdana"/>
          <w:sz w:val="20"/>
          <w:szCs w:val="20"/>
        </w:rPr>
        <w:t>que</w:t>
      </w:r>
      <w:proofErr w:type="gramEnd"/>
      <w:r w:rsidRPr="00CD4AD0">
        <w:rPr>
          <w:rFonts w:ascii="Verdana" w:hAnsi="Verdana"/>
          <w:sz w:val="20"/>
          <w:szCs w:val="20"/>
        </w:rPr>
        <w:t xml:space="preserve"> la libertad de </w:t>
      </w:r>
      <w:proofErr w:type="spellStart"/>
      <w:r w:rsidRPr="00CD4AD0">
        <w:rPr>
          <w:rFonts w:ascii="Verdana" w:hAnsi="Verdana"/>
          <w:sz w:val="20"/>
          <w:szCs w:val="20"/>
        </w:rPr>
        <w:t>expresión</w:t>
      </w:r>
      <w:proofErr w:type="spellEnd"/>
      <w:r w:rsidRPr="00CD4AD0">
        <w:rPr>
          <w:rFonts w:ascii="Verdana" w:hAnsi="Verdana"/>
          <w:sz w:val="20"/>
          <w:szCs w:val="20"/>
        </w:rPr>
        <w:t xml:space="preserve"> tiene una </w:t>
      </w:r>
      <w:proofErr w:type="spellStart"/>
      <w:r w:rsidRPr="00CD4AD0">
        <w:rPr>
          <w:rFonts w:ascii="Verdana" w:hAnsi="Verdana"/>
          <w:sz w:val="20"/>
          <w:szCs w:val="20"/>
        </w:rPr>
        <w:t>dimensión</w:t>
      </w:r>
      <w:proofErr w:type="spellEnd"/>
      <w:r w:rsidRPr="00CD4AD0">
        <w:rPr>
          <w:rFonts w:ascii="Verdana" w:hAnsi="Verdana"/>
          <w:sz w:val="20"/>
          <w:szCs w:val="20"/>
        </w:rPr>
        <w:t xml:space="preserve"> individual y una </w:t>
      </w:r>
      <w:proofErr w:type="spellStart"/>
      <w:r w:rsidRPr="00CD4AD0">
        <w:rPr>
          <w:rFonts w:ascii="Verdana" w:hAnsi="Verdana"/>
          <w:sz w:val="20"/>
          <w:szCs w:val="20"/>
        </w:rPr>
        <w:t>dimensión</w:t>
      </w:r>
      <w:proofErr w:type="spellEnd"/>
      <w:r w:rsidRPr="00CD4AD0">
        <w:rPr>
          <w:rFonts w:ascii="Verdana" w:hAnsi="Verdana"/>
          <w:sz w:val="20"/>
          <w:szCs w:val="20"/>
        </w:rPr>
        <w:t xml:space="preserve"> social y la Corte ha entendido que ambas dimensiones poseen igual importancia y deben ser garantizadas en forma </w:t>
      </w:r>
      <w:proofErr w:type="spellStart"/>
      <w:r w:rsidRPr="00CD4AD0">
        <w:rPr>
          <w:rFonts w:ascii="Verdana" w:hAnsi="Verdana"/>
          <w:sz w:val="20"/>
          <w:szCs w:val="20"/>
        </w:rPr>
        <w:t>simultánea</w:t>
      </w:r>
      <w:proofErr w:type="spellEnd"/>
      <w:r w:rsidRPr="00CD4AD0">
        <w:rPr>
          <w:rFonts w:ascii="Verdana" w:hAnsi="Verdana"/>
          <w:sz w:val="20"/>
          <w:szCs w:val="20"/>
        </w:rPr>
        <w:t xml:space="preserve"> para dar efectividad total al derecho a la libertad de pensamiento y de </w:t>
      </w:r>
      <w:proofErr w:type="spellStart"/>
      <w:r w:rsidRPr="00CD4AD0">
        <w:rPr>
          <w:rFonts w:ascii="Verdana" w:hAnsi="Verdana"/>
          <w:sz w:val="20"/>
          <w:szCs w:val="20"/>
        </w:rPr>
        <w:t>expresión</w:t>
      </w:r>
      <w:proofErr w:type="spellEnd"/>
      <w:r w:rsidRPr="00CD4AD0">
        <w:rPr>
          <w:rFonts w:ascii="Verdana" w:hAnsi="Verdana"/>
          <w:sz w:val="20"/>
          <w:szCs w:val="20"/>
        </w:rPr>
        <w:t xml:space="preserve"> en los </w:t>
      </w:r>
      <w:proofErr w:type="spellStart"/>
      <w:r w:rsidRPr="00CD4AD0">
        <w:rPr>
          <w:rFonts w:ascii="Verdana" w:hAnsi="Verdana"/>
          <w:sz w:val="20"/>
          <w:szCs w:val="20"/>
        </w:rPr>
        <w:t>términos</w:t>
      </w:r>
      <w:proofErr w:type="spellEnd"/>
      <w:r w:rsidRPr="00CD4AD0">
        <w:rPr>
          <w:rFonts w:ascii="Verdana" w:hAnsi="Verdana"/>
          <w:sz w:val="20"/>
          <w:szCs w:val="20"/>
        </w:rPr>
        <w:t xml:space="preserve"> previstos del artículo 13 de la Convención. La libertad de </w:t>
      </w:r>
      <w:proofErr w:type="spellStart"/>
      <w:r w:rsidRPr="00CD4AD0">
        <w:rPr>
          <w:rFonts w:ascii="Verdana" w:hAnsi="Verdana"/>
          <w:sz w:val="20"/>
          <w:szCs w:val="20"/>
        </w:rPr>
        <w:t>expresión</w:t>
      </w:r>
      <w:proofErr w:type="spellEnd"/>
      <w:r w:rsidRPr="00CD4AD0">
        <w:rPr>
          <w:rFonts w:ascii="Verdana" w:hAnsi="Verdana"/>
          <w:sz w:val="20"/>
          <w:szCs w:val="20"/>
        </w:rPr>
        <w:t xml:space="preserve">, particularmente en asuntos de </w:t>
      </w:r>
      <w:proofErr w:type="spellStart"/>
      <w:r w:rsidRPr="00CD4AD0">
        <w:rPr>
          <w:rFonts w:ascii="Verdana" w:hAnsi="Verdana"/>
          <w:sz w:val="20"/>
          <w:szCs w:val="20"/>
        </w:rPr>
        <w:t>interés</w:t>
      </w:r>
      <w:proofErr w:type="spellEnd"/>
      <w:r w:rsidRPr="00CD4AD0">
        <w:rPr>
          <w:rFonts w:ascii="Verdana" w:hAnsi="Verdana"/>
          <w:sz w:val="20"/>
          <w:szCs w:val="20"/>
        </w:rPr>
        <w:t xml:space="preserve"> </w:t>
      </w:r>
      <w:proofErr w:type="spellStart"/>
      <w:r w:rsidRPr="00CD4AD0">
        <w:rPr>
          <w:rFonts w:ascii="Verdana" w:hAnsi="Verdana"/>
          <w:sz w:val="20"/>
          <w:szCs w:val="20"/>
        </w:rPr>
        <w:t>público</w:t>
      </w:r>
      <w:proofErr w:type="spellEnd"/>
      <w:r w:rsidRPr="00CD4AD0">
        <w:rPr>
          <w:rFonts w:ascii="Verdana" w:hAnsi="Verdana"/>
          <w:sz w:val="20"/>
          <w:szCs w:val="20"/>
        </w:rPr>
        <w:t xml:space="preserve">, “es una piedra angular en la existencia misma de una sociedad </w:t>
      </w:r>
      <w:proofErr w:type="spellStart"/>
      <w:r w:rsidRPr="00CD4AD0">
        <w:rPr>
          <w:rFonts w:ascii="Verdana" w:hAnsi="Verdana"/>
          <w:sz w:val="20"/>
          <w:szCs w:val="20"/>
        </w:rPr>
        <w:t>democrática</w:t>
      </w:r>
      <w:proofErr w:type="spellEnd"/>
      <w:r w:rsidRPr="00CD4AD0">
        <w:rPr>
          <w:rFonts w:ascii="Verdana" w:hAnsi="Verdana"/>
          <w:sz w:val="20"/>
          <w:szCs w:val="20"/>
        </w:rPr>
        <w:t xml:space="preserve">”. De acuerdo a la propia Convención, la libertad de </w:t>
      </w:r>
      <w:proofErr w:type="spellStart"/>
      <w:r w:rsidRPr="00CD4AD0">
        <w:rPr>
          <w:rFonts w:ascii="Verdana" w:hAnsi="Verdana"/>
          <w:sz w:val="20"/>
          <w:szCs w:val="20"/>
        </w:rPr>
        <w:t>expresión</w:t>
      </w:r>
      <w:proofErr w:type="spellEnd"/>
      <w:r w:rsidRPr="00CD4AD0">
        <w:rPr>
          <w:rFonts w:ascii="Verdana" w:hAnsi="Verdana"/>
          <w:sz w:val="20"/>
          <w:szCs w:val="20"/>
        </w:rPr>
        <w:t xml:space="preserve"> no es un derecho absoluto. La Convención Americana garantiza el derecho a la libertad de </w:t>
      </w:r>
      <w:proofErr w:type="spellStart"/>
      <w:r w:rsidRPr="00CD4AD0">
        <w:rPr>
          <w:rFonts w:ascii="Verdana" w:hAnsi="Verdana"/>
          <w:sz w:val="20"/>
          <w:szCs w:val="20"/>
        </w:rPr>
        <w:t>expresión</w:t>
      </w:r>
      <w:proofErr w:type="spellEnd"/>
      <w:r w:rsidRPr="00CD4AD0">
        <w:rPr>
          <w:rFonts w:ascii="Verdana" w:hAnsi="Verdana"/>
          <w:sz w:val="20"/>
          <w:szCs w:val="20"/>
        </w:rPr>
        <w:t xml:space="preserve"> a toda persona, independientemente de cualquier otra </w:t>
      </w:r>
      <w:proofErr w:type="spellStart"/>
      <w:r w:rsidRPr="00CD4AD0">
        <w:rPr>
          <w:rFonts w:ascii="Verdana" w:hAnsi="Verdana"/>
          <w:sz w:val="20"/>
          <w:szCs w:val="20"/>
        </w:rPr>
        <w:t>consideración</w:t>
      </w:r>
      <w:proofErr w:type="spellEnd"/>
      <w:r>
        <w:rPr>
          <w:rFonts w:ascii="Verdana" w:hAnsi="Verdana"/>
          <w:sz w:val="20"/>
          <w:szCs w:val="20"/>
        </w:rPr>
        <w:t>.</w:t>
      </w:r>
    </w:p>
    <w:p w14:paraId="76D3B6C6" w14:textId="2C55AE66" w:rsidR="00987FF9" w:rsidRPr="00D86945" w:rsidRDefault="00987FF9" w:rsidP="00BF3BF6">
      <w:pPr>
        <w:pStyle w:val="Ttulo2"/>
      </w:pPr>
      <w:bookmarkStart w:id="2" w:name="_Toc89691454"/>
      <w:r w:rsidRPr="00D86945">
        <w:t>Rol de los medios de comunicación y del periodismo en relación con la libertad de pensamiento y de expresión</w:t>
      </w:r>
      <w:bookmarkEnd w:id="2"/>
    </w:p>
    <w:p w14:paraId="71061A83" w14:textId="293B160E" w:rsidR="00987FF9" w:rsidRPr="00D86945" w:rsidRDefault="00987FF9" w:rsidP="004F4FE7">
      <w:pPr>
        <w:spacing w:line="240" w:lineRule="auto"/>
        <w:ind w:right="49"/>
        <w:jc w:val="both"/>
        <w:rPr>
          <w:rFonts w:ascii="Verdana" w:hAnsi="Verdana" w:cs="Times New Roman"/>
          <w:b/>
          <w:sz w:val="20"/>
          <w:szCs w:val="20"/>
          <w:lang w:val="es-ES"/>
        </w:rPr>
      </w:pPr>
      <w:r w:rsidRPr="00D86945">
        <w:rPr>
          <w:rFonts w:ascii="Verdana" w:hAnsi="Verdana" w:cs="Times New Roman"/>
          <w:b/>
          <w:bCs/>
          <w:sz w:val="20"/>
          <w:szCs w:val="20"/>
        </w:rPr>
        <w:t>Corte IDH. La colegiación obligatoria de periodistas (Arts. 13 y 29 Convención Americana sobre Derechos Humanos). Opinión Consultiva OC-5/85 de 13 de noviembre de 1985. Serie A No. 5</w:t>
      </w:r>
      <w:r w:rsidR="006071D1">
        <w:rPr>
          <w:rFonts w:ascii="Verdana" w:hAnsi="Verdana" w:cs="Times New Roman"/>
          <w:b/>
          <w:bCs/>
          <w:sz w:val="20"/>
          <w:szCs w:val="20"/>
        </w:rPr>
        <w:t>.</w:t>
      </w:r>
    </w:p>
    <w:p w14:paraId="715ECA20" w14:textId="3BBF750B"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lastRenderedPageBreak/>
        <w:t xml:space="preserve">71. </w:t>
      </w:r>
      <w:r w:rsidRPr="00D86945">
        <w:rPr>
          <w:rFonts w:ascii="Verdana" w:hAnsi="Verdana" w:cs="Times New Roman"/>
          <w:sz w:val="20"/>
          <w:szCs w:val="20"/>
          <w:lang w:val="es-ES"/>
        </w:rPr>
        <w:tab/>
        <w:t xml:space="preserve">Dentro de este contexto el periodismo es la manifestación primaria y principal de la libertad de expresión del pensamiento y, por esa razón, no puede concebirse meramente como la prestación de un servicio al público a través de la aplicación de unos conocimientos o capacitación adquiridos en una universidad o por quienes están inscritos en un determinado colegio profesional, como podría suceder con otras profesiones, pues está vinculado con la libertad de expresión que es inherente a todo ser humano. </w:t>
      </w:r>
    </w:p>
    <w:p w14:paraId="5C7D2D60" w14:textId="5AAE2CA3" w:rsidR="00987FF9" w:rsidRPr="00D86945" w:rsidRDefault="00987FF9" w:rsidP="004F4FE7">
      <w:pPr>
        <w:spacing w:line="240" w:lineRule="auto"/>
        <w:ind w:right="49"/>
        <w:jc w:val="both"/>
        <w:rPr>
          <w:rFonts w:ascii="Verdana" w:hAnsi="Verdana" w:cs="Times New Roman"/>
          <w:b/>
          <w:sz w:val="18"/>
          <w:szCs w:val="18"/>
          <w:lang w:val="es-CL"/>
        </w:rPr>
      </w:pPr>
      <w:r w:rsidRPr="00D86945">
        <w:rPr>
          <w:rFonts w:ascii="Verdana" w:hAnsi="Verdana" w:cs="Times New Roman"/>
          <w:sz w:val="20"/>
          <w:szCs w:val="20"/>
          <w:lang w:val="es-ES"/>
        </w:rPr>
        <w:t xml:space="preserve">72. </w:t>
      </w:r>
      <w:r w:rsidRPr="00D86945">
        <w:rPr>
          <w:rFonts w:ascii="Verdana" w:hAnsi="Verdana" w:cs="Times New Roman"/>
          <w:sz w:val="20"/>
          <w:szCs w:val="20"/>
          <w:lang w:val="es-ES"/>
        </w:rPr>
        <w:tab/>
        <w:t>El argumento según el cual una ley de colegiación obligatoria de los periodistas no difiere de la legislación similar, aplicable a otras profesiones, no tiene en cuenta el problema fundamental que se plantea a propósito de la compatibilidad entre dicha ley y la Convención. El problema surge del hecho de que el artículo 13 expresamente protege la libertad de "buscar, recibir y difundir informaciones e ideas de toda índole... ya sea oralmente, por escrito o en forma impresa..."</w:t>
      </w:r>
      <w:r w:rsidR="006071D1">
        <w:rPr>
          <w:rFonts w:ascii="Verdana" w:hAnsi="Verdana" w:cs="Times New Roman"/>
          <w:sz w:val="20"/>
          <w:szCs w:val="20"/>
          <w:lang w:val="es-ES"/>
        </w:rPr>
        <w:t>.</w:t>
      </w:r>
      <w:r w:rsidRPr="00D86945">
        <w:rPr>
          <w:rFonts w:ascii="Verdana" w:hAnsi="Verdana" w:cs="Times New Roman"/>
          <w:sz w:val="20"/>
          <w:szCs w:val="20"/>
          <w:lang w:val="es-ES"/>
        </w:rPr>
        <w:t xml:space="preserve"> La profesión de periodista -lo que hacen los periodistas- implica precisamente el buscar, recibir y difundir información. El ejercicio del periodismo, por tanto, requiere que una persona se involucre en actividades que están definidas o encerradas en la libertad de expresión garantizada en la Convención.</w:t>
      </w:r>
      <w:r w:rsidR="00D35646" w:rsidRPr="00D86945">
        <w:rPr>
          <w:rFonts w:ascii="Verdana" w:hAnsi="Verdana" w:cs="Times New Roman"/>
          <w:sz w:val="20"/>
          <w:szCs w:val="20"/>
          <w:lang w:val="es-ES"/>
        </w:rPr>
        <w:t xml:space="preserve"> </w:t>
      </w:r>
      <w:r w:rsidR="006071D1">
        <w:rPr>
          <w:rFonts w:ascii="Verdana" w:hAnsi="Verdana" w:cs="Times New Roman"/>
          <w:b/>
          <w:bCs/>
          <w:sz w:val="20"/>
          <w:szCs w:val="20"/>
          <w:lang w:val="es-ES"/>
        </w:rPr>
        <w:t>[</w:t>
      </w:r>
      <w:r w:rsidR="002A5747">
        <w:rPr>
          <w:rFonts w:ascii="Verdana" w:hAnsi="Verdana" w:cs="Times New Roman"/>
          <w:b/>
          <w:sz w:val="18"/>
          <w:szCs w:val="18"/>
          <w:lang w:val="es-ES"/>
        </w:rPr>
        <w:t>En similar sentido, ver entre otros:</w:t>
      </w:r>
      <w:r w:rsidRPr="00D86945">
        <w:rPr>
          <w:rFonts w:ascii="Verdana" w:hAnsi="Verdana" w:cs="Times New Roman"/>
          <w:b/>
          <w:sz w:val="18"/>
          <w:szCs w:val="18"/>
          <w:lang w:val="es-ES"/>
        </w:rPr>
        <w:t xml:space="preserve"> Caso </w:t>
      </w:r>
      <w:proofErr w:type="spellStart"/>
      <w:r w:rsidRPr="00D86945">
        <w:rPr>
          <w:rFonts w:ascii="Verdana" w:hAnsi="Verdana" w:cs="Times New Roman"/>
          <w:b/>
          <w:sz w:val="18"/>
          <w:szCs w:val="18"/>
          <w:lang w:val="es-ES"/>
        </w:rPr>
        <w:t>Fontevecchia</w:t>
      </w:r>
      <w:proofErr w:type="spellEnd"/>
      <w:r w:rsidRPr="00D86945">
        <w:rPr>
          <w:rFonts w:ascii="Verdana" w:hAnsi="Verdana" w:cs="Times New Roman"/>
          <w:b/>
          <w:sz w:val="18"/>
          <w:szCs w:val="18"/>
          <w:lang w:val="es-ES"/>
        </w:rPr>
        <w:t xml:space="preserve"> y </w:t>
      </w:r>
      <w:proofErr w:type="spellStart"/>
      <w:r w:rsidRPr="00D86945">
        <w:rPr>
          <w:rFonts w:ascii="Verdana" w:hAnsi="Verdana" w:cs="Times New Roman"/>
          <w:b/>
          <w:sz w:val="18"/>
          <w:szCs w:val="18"/>
          <w:lang w:val="es-ES"/>
        </w:rPr>
        <w:t>D`Amico</w:t>
      </w:r>
      <w:proofErr w:type="spellEnd"/>
      <w:r w:rsidRPr="00D86945">
        <w:rPr>
          <w:rFonts w:ascii="Verdana" w:hAnsi="Verdana" w:cs="Times New Roman"/>
          <w:b/>
          <w:sz w:val="18"/>
          <w:szCs w:val="18"/>
          <w:lang w:val="es-ES"/>
        </w:rPr>
        <w:t xml:space="preserve"> Vs. Argentina. Fondo, Reparaciones y Costas. Sentencia de 29 de noviembre de 2011. Serie C No. 238, párr.46; Caso Vélez Restrepo y familiares Vs. Colombia. Excepción Preliminar, Fondo, Reparaciones y Costas. Sentencia de 3 de septiembre de 2012. Serie C No. 248, párr.140</w:t>
      </w:r>
      <w:r w:rsidR="00982279" w:rsidRPr="00D86945">
        <w:rPr>
          <w:rFonts w:ascii="Verdana" w:hAnsi="Verdana" w:cs="Times New Roman"/>
          <w:b/>
          <w:sz w:val="18"/>
          <w:szCs w:val="18"/>
          <w:lang w:val="es-ES"/>
        </w:rPr>
        <w:t xml:space="preserve">; </w:t>
      </w:r>
      <w:r w:rsidR="00011742">
        <w:rPr>
          <w:rFonts w:ascii="Verdana" w:hAnsi="Verdana" w:cs="Times New Roman"/>
          <w:b/>
          <w:bCs/>
          <w:sz w:val="18"/>
          <w:szCs w:val="18"/>
          <w:lang w:val="es-CL"/>
        </w:rPr>
        <w:t>y</w:t>
      </w:r>
      <w:r w:rsidR="00982279" w:rsidRPr="00D86945">
        <w:rPr>
          <w:rFonts w:ascii="Verdana" w:hAnsi="Verdana" w:cs="Times New Roman"/>
          <w:b/>
          <w:bCs/>
          <w:sz w:val="18"/>
          <w:szCs w:val="18"/>
          <w:lang w:val="es-CL"/>
        </w:rPr>
        <w:t xml:space="preserve"> Caso Carvajal </w:t>
      </w:r>
      <w:proofErr w:type="spellStart"/>
      <w:r w:rsidR="00982279" w:rsidRPr="00D86945">
        <w:rPr>
          <w:rFonts w:ascii="Verdana" w:hAnsi="Verdana" w:cs="Times New Roman"/>
          <w:b/>
          <w:bCs/>
          <w:sz w:val="18"/>
          <w:szCs w:val="18"/>
          <w:lang w:val="es-CL"/>
        </w:rPr>
        <w:t>Carvajal</w:t>
      </w:r>
      <w:proofErr w:type="spellEnd"/>
      <w:r w:rsidR="00982279" w:rsidRPr="00D86945">
        <w:rPr>
          <w:rFonts w:ascii="Verdana" w:hAnsi="Verdana" w:cs="Times New Roman"/>
          <w:b/>
          <w:bCs/>
          <w:sz w:val="18"/>
          <w:szCs w:val="18"/>
          <w:lang w:val="es-CL"/>
        </w:rPr>
        <w:t xml:space="preserve"> y otros Vs. Colombia. Fondo, Reparaciones y Costas. Sentencia de 13 de marzo de 2018. Serie C No. 352</w:t>
      </w:r>
      <w:r w:rsidR="00982279" w:rsidRPr="00D86945">
        <w:rPr>
          <w:rFonts w:ascii="Verdana" w:hAnsi="Verdana" w:cs="Times New Roman"/>
          <w:b/>
          <w:sz w:val="18"/>
          <w:szCs w:val="18"/>
          <w:lang w:val="es-CL"/>
        </w:rPr>
        <w:t>, párr. 173</w:t>
      </w:r>
      <w:r w:rsidR="006071D1">
        <w:rPr>
          <w:rFonts w:ascii="Verdana" w:hAnsi="Verdana" w:cs="Times New Roman"/>
          <w:b/>
          <w:sz w:val="18"/>
          <w:szCs w:val="18"/>
          <w:lang w:val="es-CL"/>
        </w:rPr>
        <w:t>]</w:t>
      </w:r>
      <w:r w:rsidRPr="00D86945">
        <w:rPr>
          <w:rFonts w:ascii="Verdana" w:hAnsi="Verdana" w:cs="Times New Roman"/>
          <w:b/>
          <w:sz w:val="18"/>
          <w:szCs w:val="18"/>
          <w:lang w:val="es-ES"/>
        </w:rPr>
        <w:t>.</w:t>
      </w:r>
    </w:p>
    <w:p w14:paraId="5FFE48C3" w14:textId="25CDAE98"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73. </w:t>
      </w:r>
      <w:r w:rsidRPr="00D86945">
        <w:rPr>
          <w:rFonts w:ascii="Verdana" w:hAnsi="Verdana" w:cs="Times New Roman"/>
          <w:sz w:val="20"/>
          <w:szCs w:val="20"/>
          <w:lang w:val="es-ES"/>
        </w:rPr>
        <w:tab/>
        <w:t xml:space="preserve">Esto no se aplica, por ejemplo, al ejercicio del derecho o la medicina; a diferencia del periodismo, el ejercicio del derecho o la medicina -es decir, lo que hacen los abogados o los médicos- no es una actividad específicamente garantizada por la Convención. Es cierto que la imposición de ciertas restricciones al ejercicio de la abogacía podría ser incompatible con el goce de varios derechos garantizados por la Convención. Por ejemplo, una ley que prohibiera a los abogados actuar como defensores en casos que involucren actividades contra el Estado, podría considerarse violatoria del derecho de defensa del acusado según el artículo 8 de la Convención y, por lo tanto, ser incompatible con ésta. Pero no existe un sólo derecho garantizado por la Convención que abarque exhaustivamente o defina por sí solo el ejercicio de la abogacía como lo hace el artículo 13 cuando se refiere al ejercicio de una libertad que coincide con la actividad periodística. Lo mismo es aplicable a la medicina. </w:t>
      </w:r>
    </w:p>
    <w:p w14:paraId="393A5834" w14:textId="20965CC6"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74. </w:t>
      </w:r>
      <w:r w:rsidRPr="00D86945">
        <w:rPr>
          <w:rFonts w:ascii="Verdana" w:hAnsi="Verdana" w:cs="Times New Roman"/>
          <w:sz w:val="20"/>
          <w:szCs w:val="20"/>
          <w:lang w:val="es-ES"/>
        </w:rPr>
        <w:tab/>
        <w:t xml:space="preserve">Se ha argumentado que la colegiación obligatoria de los periodistas lo que persigue es proteger un oficio remunerado y que no se opone al ejercicio de la libertad de expresión, siempre que ésta no comporte un pago retributivo, y que, en tal sentido, se refiere a una materia distinta a la contenida en el artículo 13 de la Convención. Este argumento parte de una oposición entre el periodismo profesional y el ejercicio de la libertad de expresión, que la Corte no puede aprobar. Según </w:t>
      </w:r>
      <w:proofErr w:type="spellStart"/>
      <w:r w:rsidRPr="00D86945">
        <w:rPr>
          <w:rFonts w:ascii="Verdana" w:hAnsi="Verdana" w:cs="Times New Roman"/>
          <w:sz w:val="20"/>
          <w:szCs w:val="20"/>
          <w:lang w:val="es-ES"/>
        </w:rPr>
        <w:t>ésto</w:t>
      </w:r>
      <w:proofErr w:type="spellEnd"/>
      <w:r w:rsidRPr="00D86945">
        <w:rPr>
          <w:rFonts w:ascii="Verdana" w:hAnsi="Verdana" w:cs="Times New Roman"/>
          <w:sz w:val="20"/>
          <w:szCs w:val="20"/>
          <w:lang w:val="es-ES"/>
        </w:rPr>
        <w:t>, una cosa sería la libertad de expresión y otra el ejercicio profesional del periodismo, cuestión esta que no es exacta y puede, además, encerrar serios peligros si se lleva hasta sus últimas consecuencias. El ejercicio del periodismo profesional no puede ser diferenciado de la libertad de expresión, por el contrario, ambas cosas están evidentemente imbricadas, pues el periodista profesional no es, ni puede ser, otra cosa que una persona que ha decidido ejercer la libertad de expresión de modo continuo, estable y remunerado. Además, la consideración de ambas cuestiones como actividades distintas, podría conducir a la conclusión que las garantías contenidas en el artículo 13 de la Convención no se aplican a los periodistas profesionales.</w:t>
      </w:r>
      <w:r w:rsidR="00D35646" w:rsidRPr="00D86945">
        <w:rPr>
          <w:rFonts w:ascii="Verdana" w:hAnsi="Verdana" w:cs="Times New Roman"/>
          <w:sz w:val="20"/>
          <w:szCs w:val="20"/>
          <w:lang w:val="es-ES"/>
        </w:rPr>
        <w:t xml:space="preserve"> </w:t>
      </w:r>
      <w:r w:rsidR="006071D1">
        <w:rPr>
          <w:rFonts w:ascii="Verdana" w:hAnsi="Verdana" w:cs="Times New Roman"/>
          <w:b/>
          <w:bCs/>
          <w:sz w:val="20"/>
          <w:szCs w:val="20"/>
          <w:lang w:val="es-ES"/>
        </w:rPr>
        <w:t>[</w:t>
      </w:r>
      <w:r w:rsidR="002A5747">
        <w:rPr>
          <w:rFonts w:ascii="Verdana" w:hAnsi="Verdana" w:cs="Times New Roman"/>
          <w:b/>
          <w:sz w:val="18"/>
          <w:szCs w:val="18"/>
          <w:lang w:val="es-ES"/>
        </w:rPr>
        <w:t>En similar sentido, ver entre otros:</w:t>
      </w:r>
      <w:r w:rsidRPr="00D86945">
        <w:rPr>
          <w:rFonts w:ascii="Verdana" w:hAnsi="Verdana" w:cs="Times New Roman"/>
          <w:sz w:val="18"/>
          <w:szCs w:val="18"/>
          <w:lang w:val="es-ES"/>
        </w:rPr>
        <w:t xml:space="preserve"> </w:t>
      </w:r>
      <w:r w:rsidRPr="00D86945">
        <w:rPr>
          <w:rFonts w:ascii="Verdana" w:hAnsi="Verdana" w:cs="Times New Roman"/>
          <w:b/>
          <w:sz w:val="18"/>
          <w:szCs w:val="18"/>
          <w:lang w:val="es-ES"/>
        </w:rPr>
        <w:t xml:space="preserve">Caso Vélez Restrepo y familiares Vs. Colombia. Excepción Preliminar, Fondo, Reparaciones y Costas. Sentencia de 3 de septiembre de 2012. Serie C No. 248, párr.140; Caso </w:t>
      </w:r>
      <w:proofErr w:type="spellStart"/>
      <w:r w:rsidRPr="00D86945">
        <w:rPr>
          <w:rFonts w:ascii="Verdana" w:hAnsi="Verdana" w:cs="Times New Roman"/>
          <w:b/>
          <w:sz w:val="18"/>
          <w:szCs w:val="18"/>
          <w:lang w:val="es-ES"/>
        </w:rPr>
        <w:t>Mémoli</w:t>
      </w:r>
      <w:proofErr w:type="spellEnd"/>
      <w:r w:rsidRPr="00D86945">
        <w:rPr>
          <w:rFonts w:ascii="Verdana" w:hAnsi="Verdana" w:cs="Times New Roman"/>
          <w:b/>
          <w:sz w:val="18"/>
          <w:szCs w:val="18"/>
          <w:lang w:val="es-ES"/>
        </w:rPr>
        <w:t xml:space="preserve"> Vs. Argentina. Excepciones Preliminares, Fondo, Reparaciones y Costas. Sentencia de 22 de agosto de 2013. Serie C No. 265, párr.120</w:t>
      </w:r>
      <w:r w:rsidR="006071D1">
        <w:rPr>
          <w:rFonts w:ascii="Verdana" w:hAnsi="Verdana" w:cs="Times New Roman"/>
          <w:b/>
          <w:sz w:val="18"/>
          <w:szCs w:val="18"/>
          <w:lang w:val="es-ES"/>
        </w:rPr>
        <w:t xml:space="preserve"> y</w:t>
      </w:r>
      <w:r w:rsidRPr="00D86945">
        <w:rPr>
          <w:rFonts w:ascii="Verdana" w:hAnsi="Verdana" w:cs="Times New Roman"/>
          <w:b/>
          <w:sz w:val="18"/>
          <w:szCs w:val="18"/>
          <w:lang w:val="es-ES"/>
        </w:rPr>
        <w:t xml:space="preserve"> Caso </w:t>
      </w:r>
      <w:proofErr w:type="spellStart"/>
      <w:r w:rsidRPr="00D86945">
        <w:rPr>
          <w:rFonts w:ascii="Verdana" w:hAnsi="Verdana" w:cs="Times New Roman"/>
          <w:b/>
          <w:sz w:val="18"/>
          <w:szCs w:val="18"/>
          <w:lang w:val="es-ES"/>
        </w:rPr>
        <w:t>Granier</w:t>
      </w:r>
      <w:proofErr w:type="spellEnd"/>
      <w:r w:rsidRPr="00D86945">
        <w:rPr>
          <w:rFonts w:ascii="Verdana" w:hAnsi="Verdana" w:cs="Times New Roman"/>
          <w:b/>
          <w:sz w:val="18"/>
          <w:szCs w:val="18"/>
          <w:lang w:val="es-ES"/>
        </w:rPr>
        <w:t xml:space="preserve"> y otros (Radio Caracas Televisión) </w:t>
      </w:r>
      <w:r w:rsidRPr="00D86945">
        <w:rPr>
          <w:rFonts w:ascii="Verdana" w:hAnsi="Verdana" w:cs="Times New Roman"/>
          <w:b/>
          <w:sz w:val="18"/>
          <w:szCs w:val="18"/>
          <w:lang w:val="es-ES"/>
        </w:rPr>
        <w:lastRenderedPageBreak/>
        <w:t>Vs. Venezuela. Excepciones Preliminares, Fondo, Reparaciones y Costas. Sentencia de 22 de junio de 2015. Serie C No. 293, párr.138</w:t>
      </w:r>
      <w:r w:rsidR="006071D1">
        <w:rPr>
          <w:rFonts w:ascii="Verdana" w:hAnsi="Verdana" w:cs="Times New Roman"/>
          <w:b/>
          <w:sz w:val="18"/>
          <w:szCs w:val="18"/>
          <w:lang w:val="es-ES"/>
        </w:rPr>
        <w:t>]</w:t>
      </w:r>
      <w:r w:rsidRPr="00D86945">
        <w:rPr>
          <w:rFonts w:ascii="Verdana" w:hAnsi="Verdana" w:cs="Times New Roman"/>
          <w:b/>
          <w:sz w:val="18"/>
          <w:szCs w:val="18"/>
          <w:lang w:val="es-ES"/>
        </w:rPr>
        <w:t>.</w:t>
      </w:r>
    </w:p>
    <w:p w14:paraId="593F5B13" w14:textId="5EAFCB4B" w:rsidR="00987FF9" w:rsidRPr="00D86945" w:rsidRDefault="00987FF9" w:rsidP="004F4FE7">
      <w:pPr>
        <w:spacing w:line="240" w:lineRule="auto"/>
        <w:ind w:right="49"/>
        <w:jc w:val="both"/>
        <w:rPr>
          <w:rFonts w:ascii="Verdana" w:hAnsi="Verdana" w:cs="Times New Roman"/>
          <w:b/>
          <w:sz w:val="20"/>
          <w:szCs w:val="20"/>
        </w:rPr>
      </w:pPr>
      <w:r w:rsidRPr="00D86945">
        <w:rPr>
          <w:rFonts w:ascii="Verdana" w:hAnsi="Verdana" w:cs="Times New Roman"/>
          <w:b/>
          <w:sz w:val="20"/>
          <w:szCs w:val="20"/>
        </w:rPr>
        <w:t>Corte IDH. Caso Herrera Ulloa Vs. Costa Rica. Excepciones Preliminares, Fondo, Reparaciones y Costas. Sentencia de 2 de julio de 2004. Serie C No. 107.</w:t>
      </w:r>
    </w:p>
    <w:p w14:paraId="2781E7E5" w14:textId="011C14DE" w:rsidR="00987FF9" w:rsidRPr="00D86945" w:rsidRDefault="00987FF9" w:rsidP="004F4FE7">
      <w:pPr>
        <w:spacing w:line="240" w:lineRule="auto"/>
        <w:ind w:right="49"/>
        <w:jc w:val="both"/>
        <w:rPr>
          <w:rFonts w:ascii="Verdana" w:hAnsi="Verdana" w:cs="Times New Roman"/>
          <w:sz w:val="18"/>
          <w:szCs w:val="18"/>
        </w:rPr>
      </w:pPr>
      <w:r w:rsidRPr="00D86945">
        <w:rPr>
          <w:rFonts w:ascii="Verdana" w:hAnsi="Verdana" w:cs="Times New Roman"/>
          <w:sz w:val="20"/>
          <w:szCs w:val="20"/>
        </w:rPr>
        <w:t>117.</w:t>
      </w:r>
      <w:r w:rsidRPr="00D86945">
        <w:rPr>
          <w:rFonts w:ascii="Verdana" w:hAnsi="Verdana" w:cs="Times New Roman"/>
          <w:sz w:val="20"/>
          <w:szCs w:val="20"/>
        </w:rPr>
        <w:tab/>
        <w:t xml:space="preserve">Los medios de comunicación social juegan un rol esencial como vehículos para el ejercicio de la dimensión social de la libertad de expresión en una sociedad democrática, razón por la cual es indispensable que recojan las más diversas informaciones y opiniones. Los referidos medios, como instrumentos esenciales de la libertad de pensamiento y de expresión, deben ejercer con responsabilidad la función social que desarrollan. </w:t>
      </w:r>
      <w:r w:rsidR="006071D1">
        <w:rPr>
          <w:rFonts w:ascii="Verdana" w:hAnsi="Verdana" w:cs="Times New Roman"/>
          <w:b/>
          <w:bCs/>
          <w:sz w:val="20"/>
          <w:szCs w:val="20"/>
        </w:rPr>
        <w:t>[</w:t>
      </w:r>
      <w:r w:rsidR="002A5747">
        <w:rPr>
          <w:rFonts w:ascii="Verdana" w:hAnsi="Verdana" w:cs="Times New Roman"/>
          <w:b/>
          <w:sz w:val="18"/>
          <w:szCs w:val="18"/>
        </w:rPr>
        <w:t>En similar sentido, ver entre otros:</w:t>
      </w:r>
      <w:r w:rsidRPr="00D86945">
        <w:rPr>
          <w:rFonts w:ascii="Verdana" w:hAnsi="Verdana" w:cs="Times New Roman"/>
          <w:sz w:val="18"/>
          <w:szCs w:val="18"/>
        </w:rPr>
        <w:t xml:space="preserve"> </w:t>
      </w:r>
      <w:r w:rsidRPr="00D86945">
        <w:rPr>
          <w:rFonts w:ascii="Verdana" w:hAnsi="Verdana" w:cs="Times New Roman"/>
          <w:b/>
          <w:sz w:val="18"/>
          <w:szCs w:val="18"/>
        </w:rPr>
        <w:t xml:space="preserve">Caso </w:t>
      </w:r>
      <w:proofErr w:type="spellStart"/>
      <w:r w:rsidRPr="00D86945">
        <w:rPr>
          <w:rFonts w:ascii="Verdana" w:hAnsi="Verdana" w:cs="Times New Roman"/>
          <w:b/>
          <w:sz w:val="18"/>
          <w:szCs w:val="18"/>
        </w:rPr>
        <w:t>Fontevecchia</w:t>
      </w:r>
      <w:proofErr w:type="spellEnd"/>
      <w:r w:rsidRPr="00D86945">
        <w:rPr>
          <w:rFonts w:ascii="Verdana" w:hAnsi="Verdana" w:cs="Times New Roman"/>
          <w:b/>
          <w:sz w:val="18"/>
          <w:szCs w:val="18"/>
        </w:rPr>
        <w:t xml:space="preserve"> y </w:t>
      </w:r>
      <w:proofErr w:type="spellStart"/>
      <w:r w:rsidRPr="00D86945">
        <w:rPr>
          <w:rFonts w:ascii="Verdana" w:hAnsi="Verdana" w:cs="Times New Roman"/>
          <w:b/>
          <w:sz w:val="18"/>
          <w:szCs w:val="18"/>
        </w:rPr>
        <w:t>D`Amico</w:t>
      </w:r>
      <w:proofErr w:type="spellEnd"/>
      <w:r w:rsidRPr="00D86945">
        <w:rPr>
          <w:rFonts w:ascii="Verdana" w:hAnsi="Verdana" w:cs="Times New Roman"/>
          <w:b/>
          <w:sz w:val="18"/>
          <w:szCs w:val="18"/>
        </w:rPr>
        <w:t xml:space="preserve"> Vs. Argentina. Fondo, Reparaciones y Costas. Sentencia de 29 de noviembre de 2011. Serie C No. 238, párr.44</w:t>
      </w:r>
      <w:r w:rsidR="006071D1">
        <w:rPr>
          <w:rFonts w:ascii="Verdana" w:hAnsi="Verdana" w:cs="Times New Roman"/>
          <w:b/>
          <w:sz w:val="18"/>
          <w:szCs w:val="18"/>
        </w:rPr>
        <w:t>]</w:t>
      </w:r>
      <w:r w:rsidRPr="00D86945">
        <w:rPr>
          <w:rFonts w:ascii="Verdana" w:hAnsi="Verdana" w:cs="Times New Roman"/>
          <w:b/>
          <w:sz w:val="18"/>
          <w:szCs w:val="18"/>
        </w:rPr>
        <w:t>.</w:t>
      </w:r>
    </w:p>
    <w:p w14:paraId="463F00D3" w14:textId="1DAC89D2"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118.</w:t>
      </w:r>
      <w:r w:rsidRPr="00D86945">
        <w:rPr>
          <w:rFonts w:ascii="Verdana" w:hAnsi="Verdana" w:cs="Times New Roman"/>
          <w:sz w:val="20"/>
          <w:szCs w:val="20"/>
        </w:rPr>
        <w:tab/>
        <w:t>Dentro de este contexto, el periodismo es la manifestación primaria y principal de esta libertad y, por esa razón, no puede concebirse meramente como la prestación de un servicio al público a través de la aplicación de los conocimientos o la capacitación adquiridos en la universidad. Al contrario, los periodistas, en razón de la actividad que ejercen, se dedican profesionalmente a la comunicación social. El ejercicio del periodismo, por tanto, requiere que una persona se involucre responsablemente en actividades que están definidas o encerradas en la libertad de expresión garantizada en la Convención.</w:t>
      </w:r>
    </w:p>
    <w:p w14:paraId="4A0FFF33" w14:textId="6E25D602"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119.</w:t>
      </w:r>
      <w:r w:rsidRPr="00D86945">
        <w:rPr>
          <w:rFonts w:ascii="Verdana" w:hAnsi="Verdana" w:cs="Times New Roman"/>
          <w:sz w:val="20"/>
          <w:szCs w:val="20"/>
        </w:rPr>
        <w:tab/>
        <w:t xml:space="preserve">En este sentido, la Corte ha indicado que es fundamental que los periodistas que laboran en los medios de comunicación gocen de la protección y de la independencia necesarias para realizar sus funciones a cabalidad, ya que son ellos quienes mantienen informada a la sociedad, requisito indispensable para que ésta goce de una plena libertad y el debate público se fortalezca. </w:t>
      </w:r>
    </w:p>
    <w:p w14:paraId="62BE1719" w14:textId="0E08F8FD" w:rsidR="00987FF9" w:rsidRPr="00D86945" w:rsidRDefault="00987FF9" w:rsidP="004F4FE7">
      <w:pPr>
        <w:spacing w:line="240" w:lineRule="auto"/>
        <w:ind w:right="49"/>
        <w:jc w:val="both"/>
        <w:rPr>
          <w:rFonts w:ascii="Verdana" w:hAnsi="Verdana"/>
          <w:b/>
          <w:sz w:val="20"/>
          <w:szCs w:val="20"/>
          <w:lang w:val="es-MX"/>
        </w:rPr>
      </w:pPr>
      <w:r w:rsidRPr="00D86945">
        <w:rPr>
          <w:rFonts w:ascii="Verdana" w:hAnsi="Verdana"/>
          <w:b/>
          <w:sz w:val="20"/>
          <w:szCs w:val="20"/>
          <w:lang w:val="es-MX"/>
        </w:rPr>
        <w:t>Corte IDH. Caso Mémoli Vs. Argentina. Excepciones Preliminares, Fondo, Reparaciones y Costas. Sentencia de 22 de agosto de 2013. Serie C No. 265.</w:t>
      </w:r>
      <w:r w:rsidRPr="00D86945">
        <w:rPr>
          <w:rStyle w:val="Refdenotaalpie"/>
          <w:rFonts w:ascii="Verdana" w:hAnsi="Verdana"/>
          <w:b/>
          <w:sz w:val="20"/>
          <w:szCs w:val="20"/>
          <w:lang w:val="es-MX"/>
        </w:rPr>
        <w:footnoteReference w:id="5"/>
      </w:r>
    </w:p>
    <w:p w14:paraId="3189168A" w14:textId="55921035" w:rsidR="00987FF9" w:rsidRPr="00D86945" w:rsidRDefault="00987FF9" w:rsidP="004F4FE7">
      <w:pPr>
        <w:spacing w:line="240" w:lineRule="auto"/>
        <w:ind w:right="49"/>
        <w:jc w:val="both"/>
        <w:rPr>
          <w:rFonts w:ascii="Verdana" w:hAnsi="Verdana"/>
          <w:sz w:val="18"/>
          <w:szCs w:val="18"/>
        </w:rPr>
      </w:pPr>
      <w:r w:rsidRPr="00D86945">
        <w:rPr>
          <w:rFonts w:ascii="Verdana" w:hAnsi="Verdana"/>
          <w:sz w:val="20"/>
          <w:szCs w:val="20"/>
        </w:rPr>
        <w:t>122.</w:t>
      </w:r>
      <w:r w:rsidRPr="00D86945">
        <w:rPr>
          <w:rFonts w:ascii="Verdana" w:hAnsi="Verdana"/>
          <w:sz w:val="20"/>
          <w:szCs w:val="20"/>
        </w:rPr>
        <w:tab/>
        <w:t>De otro lado, en el marco de la libertad de información, este Tribunal considera que existe un deber del periodista de constatar en forma razonable, aunque no necesariamente exhaustiva, los hechos en que fundamenta sus opiniones. Es decir, resulta válido reclamar equidad y diligencia en la confrontación de las fuentes y la búsqueda de información. Esto implica el derecho de las personas a no recibir una versión manipulada de los hechos. En consecuencia, los periodistas tienen el deber de tomar alguna distancia crítica respecto a sus fuentes y contrastarlas con otros datos relevantes</w:t>
      </w:r>
      <w:r w:rsidR="00215583">
        <w:rPr>
          <w:rFonts w:ascii="Verdana" w:hAnsi="Verdana"/>
          <w:sz w:val="20"/>
          <w:szCs w:val="20"/>
        </w:rPr>
        <w:t>.</w:t>
      </w:r>
      <w:r w:rsidRPr="00D86945">
        <w:rPr>
          <w:rFonts w:ascii="Verdana" w:hAnsi="Verdana"/>
          <w:sz w:val="20"/>
          <w:szCs w:val="20"/>
        </w:rPr>
        <w:t xml:space="preserve"> En sentido similar, el Tribunal Europeo ha señalado que la libertad de expresión no garantiza una protección ilimitada a los periodistas, inclusive en asuntos de interés público. Aún cuando están amparados bajo la protección de la libertad de expresión, los periodistas deben ejercer sus labores obedeciendo a los principios de un periodismo responsable, es decir, actuar de buena fe, brindar información precisa y confiable, reflejar de manera objetiva las opiniones de los involucrados en el debate público y abstenerse de caer en sensacionalismos. Asimismo, el Tribunal Europeo ha señalado que el desarrollo de un periodismo responsable y ético es de particular relevancia en una sociedad contemporánea </w:t>
      </w:r>
      <w:r w:rsidRPr="00D86945">
        <w:rPr>
          <w:rFonts w:ascii="Verdana" w:hAnsi="Verdana"/>
          <w:sz w:val="20"/>
          <w:szCs w:val="20"/>
        </w:rPr>
        <w:lastRenderedPageBreak/>
        <w:t xml:space="preserve">donde los medios no sólo informan sino también pueden sugerir, a través de la manera cómo presentan la información, la forma en que dicha información debe ser entendida. </w:t>
      </w:r>
      <w:r w:rsidR="00011742">
        <w:rPr>
          <w:rFonts w:ascii="Verdana" w:hAnsi="Verdana"/>
          <w:b/>
          <w:sz w:val="18"/>
          <w:szCs w:val="18"/>
        </w:rPr>
        <w:t>[</w:t>
      </w:r>
      <w:r w:rsidR="002A5747">
        <w:rPr>
          <w:rFonts w:ascii="Verdana" w:hAnsi="Verdana"/>
          <w:b/>
          <w:sz w:val="18"/>
          <w:szCs w:val="18"/>
        </w:rPr>
        <w:t>En similar sentido, ver entre otros:</w:t>
      </w:r>
      <w:r w:rsidRPr="00D86945">
        <w:rPr>
          <w:rFonts w:ascii="Verdana" w:hAnsi="Verdana"/>
          <w:sz w:val="18"/>
          <w:szCs w:val="18"/>
        </w:rPr>
        <w:t xml:space="preserve"> </w:t>
      </w:r>
      <w:r w:rsidRPr="00D86945">
        <w:rPr>
          <w:rFonts w:ascii="Verdana" w:hAnsi="Verdana"/>
          <w:b/>
          <w:sz w:val="18"/>
          <w:szCs w:val="18"/>
        </w:rPr>
        <w:t xml:space="preserve">Caso </w:t>
      </w:r>
      <w:proofErr w:type="spellStart"/>
      <w:r w:rsidRPr="00D86945">
        <w:rPr>
          <w:rFonts w:ascii="Verdana" w:hAnsi="Verdana"/>
          <w:b/>
          <w:sz w:val="18"/>
          <w:szCs w:val="18"/>
        </w:rPr>
        <w:t>Granier</w:t>
      </w:r>
      <w:proofErr w:type="spellEnd"/>
      <w:r w:rsidRPr="00D86945">
        <w:rPr>
          <w:rFonts w:ascii="Verdana" w:hAnsi="Verdana"/>
          <w:b/>
          <w:sz w:val="18"/>
          <w:szCs w:val="18"/>
        </w:rPr>
        <w:t xml:space="preserve"> y otros (Radio Caracas Televisión) Vs. Venezuela. Excepciones Preliminares, Fondo, Reparaciones y Costas. Sentencia de 22 de junio de 2015. Serie C No. 293, párr.139.</w:t>
      </w:r>
    </w:p>
    <w:p w14:paraId="0152218D" w14:textId="77777777" w:rsidR="00011742" w:rsidRDefault="00011742" w:rsidP="00011742">
      <w:pPr>
        <w:pStyle w:val="Sinespaciado"/>
      </w:pPr>
    </w:p>
    <w:p w14:paraId="46413785" w14:textId="77777777" w:rsidR="00011742" w:rsidRDefault="00011742" w:rsidP="00011742">
      <w:pPr>
        <w:pStyle w:val="Sinespaciado"/>
      </w:pPr>
    </w:p>
    <w:p w14:paraId="2C2CDF30" w14:textId="77777777" w:rsidR="00011742" w:rsidRDefault="00011742" w:rsidP="00011742">
      <w:pPr>
        <w:pStyle w:val="Sinespaciado"/>
      </w:pPr>
    </w:p>
    <w:p w14:paraId="1E71E80C" w14:textId="77777777" w:rsidR="00011742" w:rsidRDefault="00011742" w:rsidP="00BF3BF6">
      <w:pPr>
        <w:pStyle w:val="Ttulo2"/>
      </w:pPr>
      <w:r>
        <w:br w:type="page"/>
      </w:r>
    </w:p>
    <w:p w14:paraId="1A1F1B4C" w14:textId="2F9C68EC" w:rsidR="00987FF9" w:rsidRPr="00D86945" w:rsidRDefault="00987FF9" w:rsidP="00BF3BF6">
      <w:pPr>
        <w:pStyle w:val="Ttulo2"/>
      </w:pPr>
      <w:bookmarkStart w:id="3" w:name="_Toc89691455"/>
      <w:r w:rsidRPr="00D86945">
        <w:lastRenderedPageBreak/>
        <w:t>Titularidad</w:t>
      </w:r>
      <w:bookmarkEnd w:id="3"/>
    </w:p>
    <w:p w14:paraId="22E9AD2F" w14:textId="0944AA3A"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t>Corte IDH. Caso Tristán Donoso Vs. Panamá. Excepción Preliminar, Fondo, Reparaciones y Costas. Sentencia de 27 de enero de 2009. Serie C No. 193.</w:t>
      </w:r>
      <w:r w:rsidRPr="00D86945">
        <w:rPr>
          <w:rStyle w:val="Refdenotaalpie"/>
          <w:rFonts w:ascii="Verdana" w:hAnsi="Verdana"/>
          <w:b/>
          <w:sz w:val="20"/>
          <w:szCs w:val="20"/>
        </w:rPr>
        <w:footnoteReference w:id="6"/>
      </w:r>
    </w:p>
    <w:p w14:paraId="3C123E38" w14:textId="77777777"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114.</w:t>
      </w:r>
      <w:r w:rsidRPr="00D86945">
        <w:rPr>
          <w:rFonts w:ascii="Verdana" w:hAnsi="Verdana"/>
          <w:sz w:val="20"/>
          <w:szCs w:val="20"/>
        </w:rPr>
        <w:tab/>
        <w:t xml:space="preserve">La Convención Americana garantiza este derecho a toda persona, independientemente de cualquier otra consideración, por lo que no cabe considerarla ni restringirla a una determinada profesión o grupo de personas. La libertad de expresión es un componente esencial de la libertad de prensa, sin que por ello sean sinónimos o el ejercicio de la primera esté condicionado a la segunda. El presente caso se trata de un abogado quien reclama la protección del artículo 13 de la Convención. </w:t>
      </w:r>
    </w:p>
    <w:p w14:paraId="32712D22" w14:textId="2A431BE8" w:rsidR="00987FF9" w:rsidRPr="00D86945" w:rsidRDefault="00987FF9" w:rsidP="004F4FE7">
      <w:pPr>
        <w:spacing w:line="240" w:lineRule="auto"/>
        <w:ind w:right="49"/>
        <w:jc w:val="both"/>
        <w:rPr>
          <w:rFonts w:ascii="Verdana" w:hAnsi="Verdana"/>
          <w:sz w:val="20"/>
          <w:szCs w:val="20"/>
        </w:rPr>
      </w:pPr>
      <w:r w:rsidRPr="00D86945">
        <w:rPr>
          <w:rFonts w:ascii="Verdana" w:hAnsi="Verdana"/>
          <w:b/>
          <w:sz w:val="20"/>
          <w:szCs w:val="20"/>
        </w:rPr>
        <w:t xml:space="preserve">Corte IDH. Caso </w:t>
      </w:r>
      <w:proofErr w:type="spellStart"/>
      <w:r w:rsidRPr="00D86945">
        <w:rPr>
          <w:rFonts w:ascii="Verdana" w:hAnsi="Verdana"/>
          <w:b/>
          <w:sz w:val="20"/>
          <w:szCs w:val="20"/>
        </w:rPr>
        <w:t>Usón</w:t>
      </w:r>
      <w:proofErr w:type="spellEnd"/>
      <w:r w:rsidRPr="00D86945">
        <w:rPr>
          <w:rFonts w:ascii="Verdana" w:hAnsi="Verdana"/>
          <w:b/>
          <w:sz w:val="20"/>
          <w:szCs w:val="20"/>
        </w:rPr>
        <w:t xml:space="preserve"> Ramírez Vs. Venezuela. Excepción Preliminar, Fondo, Reparaciones y Costas. Sentencia de 20 de noviembre de 2009. Serie C No. 207</w:t>
      </w:r>
      <w:r w:rsidRPr="00D86945">
        <w:rPr>
          <w:rFonts w:ascii="Verdana" w:hAnsi="Verdana"/>
          <w:sz w:val="20"/>
          <w:szCs w:val="20"/>
        </w:rPr>
        <w:t>.</w:t>
      </w:r>
      <w:r w:rsidRPr="00D86945">
        <w:rPr>
          <w:rStyle w:val="Refdenotaalpie"/>
          <w:rFonts w:ascii="Verdana" w:hAnsi="Verdana"/>
          <w:sz w:val="20"/>
          <w:szCs w:val="20"/>
        </w:rPr>
        <w:footnoteReference w:id="7"/>
      </w:r>
    </w:p>
    <w:p w14:paraId="00C67EB4" w14:textId="511AC556"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45.</w:t>
      </w:r>
      <w:r w:rsidRPr="00D86945">
        <w:rPr>
          <w:rFonts w:ascii="Verdana" w:hAnsi="Verdana"/>
          <w:sz w:val="20"/>
          <w:szCs w:val="20"/>
        </w:rPr>
        <w:tab/>
        <w:t xml:space="preserve">Antes de analizar el contenido y alcance del derecho a la libertad de expresión y el derecho a la protección de la honra, resulta necesario aclarar que el artículo 1.2 de la Convención establece que los derechos reconocidos en dicho instrumento corresponden a personas, es decir, a seres humanos y no a instituciones como las Fuerzas Armadas. Por lo tanto, al entrar en el análisis del supuesto conflicto de derechos en el presente caso el Tribunal no pretende determinar el alcance de derechos que pudiera o no tener la institución de las Fuerzas Armadas, puesto que esto quedaría fuera del alcance de su competencia. Sin embargo, al Tribunal le corresponde determinar si los derechos del individuo </w:t>
      </w:r>
      <w:proofErr w:type="spellStart"/>
      <w:r w:rsidRPr="00D86945">
        <w:rPr>
          <w:rFonts w:ascii="Verdana" w:hAnsi="Verdana"/>
          <w:sz w:val="20"/>
          <w:szCs w:val="20"/>
        </w:rPr>
        <w:t>Usón</w:t>
      </w:r>
      <w:proofErr w:type="spellEnd"/>
      <w:r w:rsidRPr="00D86945">
        <w:rPr>
          <w:rFonts w:ascii="Verdana" w:hAnsi="Verdana"/>
          <w:sz w:val="20"/>
          <w:szCs w:val="20"/>
        </w:rPr>
        <w:t xml:space="preserve"> Ramírez han sido vulnerados. Dado que la justificación que dio el Estado para restringir el derecho a la libertad de expresión del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fue la supuesta necesidad de proteger el honor y reputación de las Fuerzas Armadas, resulta necesario realizar un examen del conflicto entre el derecho individual del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a la libertad de expresión, por un lado, y el supuesto derecho al honor que la normativa interna reconoce a la institución de las Fuerzas Armadas, por otro. </w:t>
      </w:r>
    </w:p>
    <w:p w14:paraId="2F577221" w14:textId="6B926CE5"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b/>
          <w:sz w:val="20"/>
          <w:szCs w:val="20"/>
          <w:lang w:val="es-CR"/>
        </w:rPr>
        <w:t xml:space="preserve">Corte IDH. Caso </w:t>
      </w:r>
      <w:proofErr w:type="spellStart"/>
      <w:r w:rsidRPr="00D86945">
        <w:rPr>
          <w:rFonts w:ascii="Verdana" w:hAnsi="Verdana"/>
          <w:b/>
          <w:sz w:val="20"/>
          <w:szCs w:val="20"/>
          <w:lang w:val="es-CR"/>
        </w:rPr>
        <w:t>Granier</w:t>
      </w:r>
      <w:proofErr w:type="spellEnd"/>
      <w:r w:rsidRPr="00D86945">
        <w:rPr>
          <w:rFonts w:ascii="Verdana" w:hAnsi="Verdana"/>
          <w:b/>
          <w:sz w:val="20"/>
          <w:szCs w:val="20"/>
          <w:lang w:val="es-CR"/>
        </w:rPr>
        <w:t xml:space="preserve"> y otros (Radio Caracas Televisión) Vs. Venezuela. Excepciones Preliminares, Fondo, Reparaciones y Costas. Sentencia de 22 de junio de 2015. Serie C No. 293</w:t>
      </w:r>
      <w:r w:rsidRPr="00D86945">
        <w:rPr>
          <w:rFonts w:ascii="Verdana" w:hAnsi="Verdana"/>
          <w:sz w:val="20"/>
          <w:szCs w:val="20"/>
          <w:lang w:val="es-CR"/>
        </w:rPr>
        <w:t>.</w:t>
      </w:r>
      <w:r w:rsidRPr="00D86945">
        <w:rPr>
          <w:rStyle w:val="Refdenotaalpie"/>
          <w:rFonts w:ascii="Verdana" w:hAnsi="Verdana"/>
          <w:sz w:val="20"/>
          <w:szCs w:val="20"/>
          <w:lang w:val="es-CR"/>
        </w:rPr>
        <w:footnoteReference w:id="8"/>
      </w:r>
    </w:p>
    <w:p w14:paraId="79AD47EF" w14:textId="79C0A57E"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146.</w:t>
      </w:r>
      <w:r w:rsidRPr="00D86945">
        <w:rPr>
          <w:rFonts w:ascii="Verdana" w:hAnsi="Verdana"/>
          <w:sz w:val="20"/>
          <w:szCs w:val="20"/>
          <w:lang w:val="es-CR"/>
        </w:rPr>
        <w:tab/>
        <w:t xml:space="preserve">La Corte ha establecido que si bien la figura de las personas jurídicas no ha sido reconocida expresamente por la Convención Americana, como sí lo hace el </w:t>
      </w:r>
      <w:r w:rsidRPr="00D86945">
        <w:rPr>
          <w:rFonts w:ascii="Verdana" w:hAnsi="Verdana"/>
          <w:sz w:val="20"/>
          <w:szCs w:val="20"/>
          <w:lang w:val="es-CR"/>
        </w:rPr>
        <w:lastRenderedPageBreak/>
        <w:t>Protocolo No. 1 del Convenio Europeo para la Protección de los Derechos Humanos y de las Libertades Fundamentales, esto no restringe la posibilidad de que bajo determinados supuestos el individuo pueda acudir al Sistema Interamericano de Protección de los Derechos Humanos para hacer valer sus derechos fundamentales, aun cuando los mismos estén cubiertos por una figura o ficción jurídica creada por el mismo sistema jurídico. No obstante, vale hacer una distinción para efectos de admitir cuáles situaciones podrán ser analizadas por este Tribunal, bajo el marco de la Convención Americana</w:t>
      </w:r>
      <w:r w:rsidR="00215583">
        <w:rPr>
          <w:rFonts w:ascii="Verdana" w:hAnsi="Verdana"/>
          <w:sz w:val="20"/>
          <w:szCs w:val="20"/>
          <w:lang w:val="es-CR"/>
        </w:rPr>
        <w:t>.</w:t>
      </w:r>
      <w:r w:rsidRPr="00D86945">
        <w:rPr>
          <w:rFonts w:ascii="Verdana" w:hAnsi="Verdana"/>
          <w:sz w:val="20"/>
          <w:szCs w:val="20"/>
          <w:lang w:val="es-CR"/>
        </w:rPr>
        <w:t xml:space="preserve"> En este sentido, esta Corte ya ha analizado la posible violación del derecho a la propiedad de determinadas personas en su calidad de accionistas. Así, por ejemplo, en casos como </w:t>
      </w:r>
      <w:proofErr w:type="spellStart"/>
      <w:r w:rsidRPr="00011742">
        <w:rPr>
          <w:rFonts w:ascii="Verdana" w:hAnsi="Verdana"/>
          <w:i/>
          <w:iCs/>
          <w:sz w:val="20"/>
          <w:szCs w:val="20"/>
          <w:lang w:val="es-CR"/>
        </w:rPr>
        <w:t>Ivcher</w:t>
      </w:r>
      <w:proofErr w:type="spellEnd"/>
      <w:r w:rsidRPr="00011742">
        <w:rPr>
          <w:rFonts w:ascii="Verdana" w:hAnsi="Verdana"/>
          <w:i/>
          <w:iCs/>
          <w:sz w:val="20"/>
          <w:szCs w:val="20"/>
          <w:lang w:val="es-CR"/>
        </w:rPr>
        <w:t xml:space="preserve"> </w:t>
      </w:r>
      <w:proofErr w:type="spellStart"/>
      <w:r w:rsidRPr="00011742">
        <w:rPr>
          <w:rFonts w:ascii="Verdana" w:hAnsi="Verdana"/>
          <w:i/>
          <w:iCs/>
          <w:sz w:val="20"/>
          <w:szCs w:val="20"/>
          <w:lang w:val="es-CR"/>
        </w:rPr>
        <w:t>Bronstein</w:t>
      </w:r>
      <w:proofErr w:type="spellEnd"/>
      <w:r w:rsidRPr="00011742">
        <w:rPr>
          <w:rFonts w:ascii="Verdana" w:hAnsi="Verdana"/>
          <w:i/>
          <w:iCs/>
          <w:sz w:val="20"/>
          <w:szCs w:val="20"/>
          <w:lang w:val="es-CR"/>
        </w:rPr>
        <w:t xml:space="preserve"> Vs. Perú</w:t>
      </w:r>
      <w:r w:rsidRPr="00D86945">
        <w:rPr>
          <w:rFonts w:ascii="Verdana" w:hAnsi="Verdana"/>
          <w:sz w:val="20"/>
          <w:szCs w:val="20"/>
          <w:lang w:val="es-CR"/>
        </w:rPr>
        <w:t xml:space="preserve">, </w:t>
      </w:r>
      <w:r w:rsidRPr="00011742">
        <w:rPr>
          <w:rFonts w:ascii="Verdana" w:hAnsi="Verdana"/>
          <w:i/>
          <w:iCs/>
          <w:sz w:val="20"/>
          <w:szCs w:val="20"/>
          <w:lang w:val="es-CR"/>
        </w:rPr>
        <w:t>Chaparro Álvarez y Lapo Íñiguez Vs. Ecuador</w:t>
      </w:r>
      <w:r w:rsidRPr="00D86945">
        <w:rPr>
          <w:rFonts w:ascii="Verdana" w:hAnsi="Verdana"/>
          <w:sz w:val="20"/>
          <w:szCs w:val="20"/>
          <w:lang w:val="es-CR"/>
        </w:rPr>
        <w:t xml:space="preserve">, y </w:t>
      </w:r>
      <w:r w:rsidRPr="00011742">
        <w:rPr>
          <w:rFonts w:ascii="Verdana" w:hAnsi="Verdana"/>
          <w:i/>
          <w:iCs/>
          <w:sz w:val="20"/>
          <w:szCs w:val="20"/>
          <w:lang w:val="es-CR"/>
        </w:rPr>
        <w:t>Perozo y otros Vs. Venezuela</w:t>
      </w:r>
      <w:r w:rsidRPr="00D86945">
        <w:rPr>
          <w:rFonts w:ascii="Verdana" w:hAnsi="Verdana"/>
          <w:sz w:val="20"/>
          <w:szCs w:val="20"/>
          <w:lang w:val="es-CR"/>
        </w:rPr>
        <w:t xml:space="preserve">, esta Corte realizó dicho análisis respecto </w:t>
      </w:r>
      <w:proofErr w:type="spellStart"/>
      <w:r w:rsidRPr="00D86945">
        <w:rPr>
          <w:rFonts w:ascii="Verdana" w:hAnsi="Verdana"/>
          <w:sz w:val="20"/>
          <w:szCs w:val="20"/>
          <w:lang w:val="es-CR"/>
        </w:rPr>
        <w:t>aactos</w:t>
      </w:r>
      <w:proofErr w:type="spellEnd"/>
      <w:r w:rsidRPr="00D86945">
        <w:rPr>
          <w:rFonts w:ascii="Verdana" w:hAnsi="Verdana"/>
          <w:sz w:val="20"/>
          <w:szCs w:val="20"/>
          <w:lang w:val="es-CR"/>
        </w:rPr>
        <w:t xml:space="preserve"> que afectaron a las personas jurídicas de las cuales eran socios. Asimismo, en tales casos, la Corte ha diferenciado los derechos de los accionistas de una empresa de los de la persona jurídica, señalando que las leyes internas otorgan a los accionistas determinados derechos directos, como los de recibir los dividendos acordados, asistir y votar en las juntas generales y recibir parte de los activos de la compañía en el momento de su liquidación, entre otros. </w:t>
      </w:r>
    </w:p>
    <w:p w14:paraId="4BBB6D48" w14:textId="20A9DF9E" w:rsidR="007E5A9B"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147.</w:t>
      </w:r>
      <w:r w:rsidRPr="00D86945">
        <w:rPr>
          <w:rFonts w:ascii="Verdana" w:hAnsi="Verdana"/>
          <w:sz w:val="20"/>
          <w:szCs w:val="20"/>
          <w:lang w:val="es-CR"/>
        </w:rPr>
        <w:tab/>
        <w:t xml:space="preserve">En el presente caso, la Corte procederá a analizar el ejercicio del derecho a la libertad de expresión por parte de las personas naturales a través de las personas jurídicas, por cuanto además de la vulneración al derecho a la propiedad, se ha alegado la posible afectación de dicho derecho a los trabajadores y accionistas de RCTV como consecuencia de actos jurídicos dirigidos, en principio, hacia el medio de comunicación. </w:t>
      </w:r>
    </w:p>
    <w:p w14:paraId="07AD8BFF" w14:textId="007EB9DA"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148.</w:t>
      </w:r>
      <w:r w:rsidRPr="00D86945">
        <w:rPr>
          <w:rFonts w:ascii="Verdana" w:hAnsi="Verdana"/>
          <w:sz w:val="20"/>
          <w:szCs w:val="20"/>
          <w:lang w:val="es-CR"/>
        </w:rPr>
        <w:tab/>
        <w:t>Al respecto, la Corte ha señalado anteriormente que los medios de comunicación son verdaderos instrumentos de la libertad de expresión, que sirven para materializar este derecho</w:t>
      </w:r>
      <w:r w:rsidR="00D35646" w:rsidRPr="00D86945">
        <w:rPr>
          <w:rFonts w:ascii="Verdana" w:hAnsi="Verdana"/>
          <w:sz w:val="20"/>
          <w:szCs w:val="20"/>
          <w:lang w:val="es-CR"/>
        </w:rPr>
        <w:t xml:space="preserve"> </w:t>
      </w:r>
      <w:r w:rsidRPr="00D86945">
        <w:rPr>
          <w:rFonts w:ascii="Verdana" w:hAnsi="Verdana"/>
          <w:sz w:val="20"/>
          <w:szCs w:val="20"/>
          <w:lang w:val="es-CR"/>
        </w:rPr>
        <w:t>y que juegan un papel esencial como vehículos para el ejercicio de la dimensión social de esta libertad en una sociedad democrática, razón por la cual es indispensable que recojan las más diversas informaciones y opiniones</w:t>
      </w:r>
      <w:r w:rsidR="00215583">
        <w:rPr>
          <w:rFonts w:ascii="Verdana" w:hAnsi="Verdana"/>
          <w:sz w:val="20"/>
          <w:szCs w:val="20"/>
          <w:lang w:val="es-CR"/>
        </w:rPr>
        <w:t>.</w:t>
      </w:r>
      <w:r w:rsidRPr="00D86945">
        <w:rPr>
          <w:rFonts w:ascii="Verdana" w:hAnsi="Verdana"/>
          <w:sz w:val="20"/>
          <w:szCs w:val="20"/>
          <w:lang w:val="es-CR"/>
        </w:rPr>
        <w:t xml:space="preserve"> En efecto, este Tribunal coincide con la Comisión respecto a que los medios de comunicación son, generalmente, asociaciones de personas que se han reunido para ejercer de manera sostenida su libertad de expresión, por lo que es inusual en la actualidad que un medio de comunicación no esté a nombre de una persona jurídica, toda vez que la producción y distribución del bien informativo requieren de una estructura organizativa y financiera que responda a las exigencias de la demanda informativa</w:t>
      </w:r>
      <w:r w:rsidR="00215583">
        <w:rPr>
          <w:rFonts w:ascii="Verdana" w:hAnsi="Verdana"/>
          <w:sz w:val="20"/>
          <w:szCs w:val="20"/>
          <w:lang w:val="es-CR"/>
        </w:rPr>
        <w:t>.</w:t>
      </w:r>
      <w:r w:rsidRPr="00D86945">
        <w:rPr>
          <w:rFonts w:ascii="Verdana" w:hAnsi="Verdana"/>
          <w:sz w:val="20"/>
          <w:szCs w:val="20"/>
          <w:lang w:val="es-CR"/>
        </w:rPr>
        <w:t xml:space="preserve"> De manera semejante, así como los sindicatos constituyen instrumentos para el ejercicio del derecho de asociación de los trabajadores y los partidos políticos son vehículos para el ejercicio de los derechos políticos de los ciudadanos, los medios de comunicación son mecanismos que sirven al ejercicio del derecho a la libertad de expresión de quienes los utilizan como medio de difusión de sus ideas o informaciones. </w:t>
      </w:r>
    </w:p>
    <w:p w14:paraId="27E07182" w14:textId="528DA1A9"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149.</w:t>
      </w:r>
      <w:r w:rsidRPr="00D86945">
        <w:rPr>
          <w:rFonts w:ascii="Verdana" w:hAnsi="Verdana"/>
          <w:sz w:val="20"/>
          <w:szCs w:val="20"/>
          <w:lang w:val="es-CR"/>
        </w:rPr>
        <w:tab/>
        <w:t xml:space="preserve">En este sentido, se han pronunciado varios organismos y tribunales internacionales. En efecto, el Comité de Derechos Humanos en el </w:t>
      </w:r>
      <w:r w:rsidRPr="00D86945">
        <w:rPr>
          <w:rFonts w:ascii="Verdana" w:hAnsi="Verdana"/>
          <w:i/>
          <w:sz w:val="20"/>
          <w:szCs w:val="20"/>
          <w:lang w:val="es-CR"/>
        </w:rPr>
        <w:t>caso Singer Vs. Canadá</w:t>
      </w:r>
      <w:r w:rsidRPr="00D86945">
        <w:rPr>
          <w:rFonts w:ascii="Verdana" w:hAnsi="Verdana"/>
          <w:sz w:val="20"/>
          <w:szCs w:val="20"/>
          <w:lang w:val="es-CR"/>
        </w:rPr>
        <w:t xml:space="preserve">, en el cual se conoció de la presunta vulneración del derecho a la igualdad del dueño de un periódico angloparlante al que se le había impuesto la restricción de transmitir información comercial en francés, frente al argumento del Estado canadiense de que la víctima estaba reclamando derechos de los que era titular su compañía, el Comité estimó lo siguiente: </w:t>
      </w:r>
    </w:p>
    <w:p w14:paraId="686F40B8" w14:textId="1EEBB92D" w:rsidR="00987FF9" w:rsidRPr="00D86945" w:rsidRDefault="00987FF9" w:rsidP="004F4FE7">
      <w:pPr>
        <w:spacing w:line="240" w:lineRule="auto"/>
        <w:ind w:left="1416" w:right="49"/>
        <w:jc w:val="both"/>
        <w:rPr>
          <w:rFonts w:ascii="Verdana" w:hAnsi="Verdana"/>
          <w:sz w:val="18"/>
          <w:szCs w:val="18"/>
          <w:lang w:val="es-CR"/>
        </w:rPr>
      </w:pPr>
      <w:r w:rsidRPr="00D86945">
        <w:rPr>
          <w:rFonts w:ascii="Verdana" w:hAnsi="Verdana"/>
          <w:sz w:val="18"/>
          <w:szCs w:val="18"/>
          <w:lang w:val="es-CR"/>
        </w:rPr>
        <w:t>Los derechos del Pacto en cuestión en la presente denuncia y particularmente el derecho a la libertad de expresión, están por su propia naturaleza, inalienablemente vinculados con la persona. El autor tiene la libertad de difundir información relativa a su negocio en el idioma de su elección. Por lo tanto, el Comité considera que el propio autor y, no solamente su empresa, fue afectado personalmente por las disposiciones impugnadas.</w:t>
      </w:r>
      <w:r w:rsidR="005B1BAE" w:rsidRPr="00D86945">
        <w:rPr>
          <w:rStyle w:val="Refdenotaalpie"/>
          <w:rFonts w:ascii="Verdana" w:hAnsi="Verdana"/>
          <w:sz w:val="18"/>
          <w:szCs w:val="18"/>
          <w:shd w:val="clear" w:color="auto" w:fill="FFFFFF"/>
          <w:lang w:val="es-CL"/>
        </w:rPr>
        <w:t xml:space="preserve"> </w:t>
      </w:r>
    </w:p>
    <w:p w14:paraId="0F12D167" w14:textId="3994DCE9"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lastRenderedPageBreak/>
        <w:t>150.</w:t>
      </w:r>
      <w:r w:rsidRPr="00D86945">
        <w:rPr>
          <w:rFonts w:ascii="Verdana" w:hAnsi="Verdana"/>
          <w:sz w:val="20"/>
          <w:szCs w:val="20"/>
          <w:lang w:val="es-CR"/>
        </w:rPr>
        <w:tab/>
        <w:t xml:space="preserve">Asimismo, en el </w:t>
      </w:r>
      <w:r w:rsidRPr="00D86945">
        <w:rPr>
          <w:rFonts w:ascii="Verdana" w:hAnsi="Verdana"/>
          <w:i/>
          <w:sz w:val="20"/>
          <w:szCs w:val="20"/>
          <w:lang w:val="es-CR"/>
        </w:rPr>
        <w:t xml:space="preserve">caso </w:t>
      </w:r>
      <w:proofErr w:type="spellStart"/>
      <w:r w:rsidRPr="00D86945">
        <w:rPr>
          <w:rFonts w:ascii="Verdana" w:hAnsi="Verdana"/>
          <w:i/>
          <w:sz w:val="20"/>
          <w:szCs w:val="20"/>
          <w:lang w:val="es-CR"/>
        </w:rPr>
        <w:t>Groppera</w:t>
      </w:r>
      <w:proofErr w:type="spellEnd"/>
      <w:r w:rsidRPr="00D86945">
        <w:rPr>
          <w:rFonts w:ascii="Verdana" w:hAnsi="Verdana"/>
          <w:i/>
          <w:sz w:val="20"/>
          <w:szCs w:val="20"/>
          <w:lang w:val="es-CR"/>
        </w:rPr>
        <w:t xml:space="preserve"> Radio AG y otros Vs. Suiza</w:t>
      </w:r>
      <w:r w:rsidRPr="00D86945">
        <w:rPr>
          <w:rFonts w:ascii="Verdana" w:hAnsi="Verdana"/>
          <w:sz w:val="20"/>
          <w:szCs w:val="20"/>
          <w:lang w:val="es-CR"/>
        </w:rPr>
        <w:t>, el Tribunal Europeo de Derechos Humanos, al analizar quiénes podían alegar afectaciones por la interrupción de la transmisión de un medio, consideró que el accionista de una radiodifusora, sus empleados, en su ejercicio laboral como periodistas, y sus oyentes tenían un interés directo frente a la continuidad de la señal del medio de comunicación, por lo que debían ser acreditados como presuntas víctimas.</w:t>
      </w:r>
      <w:r w:rsidR="005B1BAE" w:rsidRPr="00D86945">
        <w:rPr>
          <w:rFonts w:ascii="Verdana" w:eastAsia="Times New Roman" w:hAnsi="Verdana" w:cs="Times New Roman"/>
          <w:sz w:val="20"/>
          <w:szCs w:val="20"/>
          <w:vertAlign w:val="superscript"/>
          <w:lang w:val="es-CR" w:eastAsia="es-CR"/>
        </w:rPr>
        <w:t xml:space="preserve"> </w:t>
      </w:r>
    </w:p>
    <w:p w14:paraId="6947D305" w14:textId="50F7C574"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151.</w:t>
      </w:r>
      <w:r w:rsidRPr="00D86945">
        <w:rPr>
          <w:rFonts w:ascii="Verdana" w:hAnsi="Verdana"/>
          <w:sz w:val="20"/>
          <w:szCs w:val="20"/>
          <w:lang w:val="es-CR"/>
        </w:rPr>
        <w:tab/>
        <w:t>En consecuencia, la Corte Interamericana considera que las restricciones a la libertad de expresión frecuentemente se materializan a través de acciones estatales o de particulares que afectan, no solo a la persona jurídica que constituye un medio de comunicación, sino también a la pluralidad de personas naturales, tales como sus accionistas o los periodistas que allí trabajan, que realizan actos de comunicación a través de la misma y cuyos derechos también pueden verse vulnerados. Igualmente, la Corte resalta, como lo afirmó la Comisión, que para determinar si una acción estatal que afectó al medio como persona jurídica también tuvo, por conexidad, un impacto negativo, cierto y sustancial sobre la libertad de expresión de las personas naturales, se debe analizar el papel que cumplen las presuntas víctimas dentro del respectivo medio de comunicación y, en particular, la forma en que contribuían con la misión comunicacional del canal. Por consiguiente, la Corte considera relevante manifestar que, cuando en este capítulo sobre libertad de expresión y en el capítulo sobre discriminación, se haga referencia a “RCTV” deberá entenderse como el medio de comunicación mediante el cual las presuntas víctimas ejercían su derecho a la libertad de expresión y no como una referencia expresa a la persona jurídica denominada “RCTV C.A”.</w:t>
      </w:r>
    </w:p>
    <w:p w14:paraId="0C8A8F9B" w14:textId="2F8780B6" w:rsidR="00207E81"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152.</w:t>
      </w:r>
      <w:r w:rsidRPr="00D86945">
        <w:rPr>
          <w:rFonts w:ascii="Verdana" w:hAnsi="Verdana"/>
          <w:sz w:val="20"/>
          <w:szCs w:val="20"/>
          <w:lang w:val="es-CR"/>
        </w:rPr>
        <w:tab/>
        <w:t>Al respecto, debe advertirse que hoy en día una parte importante del periodismo se ejerce a través de personas jurídicas y se reitera que es fundamental que los periodistas que laboran en estos medios de comunicación gocen de la protección y de la independencia necesarias para realizar sus funciones a cabalidad, ya que son ellos los que mantienen informada a la sociedad, requisito indispensable para que ésta goce de una plena libertad</w:t>
      </w:r>
      <w:r w:rsidR="00215583">
        <w:rPr>
          <w:rFonts w:ascii="Verdana" w:hAnsi="Verdana"/>
          <w:sz w:val="20"/>
          <w:szCs w:val="20"/>
          <w:lang w:val="es-CR"/>
        </w:rPr>
        <w:t>.</w:t>
      </w:r>
      <w:r w:rsidRPr="00D86945">
        <w:rPr>
          <w:rFonts w:ascii="Verdana" w:hAnsi="Verdana"/>
          <w:sz w:val="20"/>
          <w:szCs w:val="20"/>
          <w:lang w:val="es-CR"/>
        </w:rPr>
        <w:t xml:space="preserve"> En especial, teniendo en cuenta que su actividad es la manifestación primaria de la libertad de expresión del pensamiento y se encuentra garantizada específicamente por la Convención Americana.</w:t>
      </w:r>
    </w:p>
    <w:p w14:paraId="6C370337" w14:textId="42B466D2"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t>Corte IDH. Caso López Lone y otros Vs. Honduras. Excepción Preliminar, Fondo, Reparaciones y Costas. Sentencia de 5 de octubre de 2015. Serie C No. 302.</w:t>
      </w:r>
      <w:r w:rsidRPr="00D86945">
        <w:rPr>
          <w:rStyle w:val="Refdenotaalpie"/>
          <w:rFonts w:ascii="Verdana" w:hAnsi="Verdana"/>
          <w:b/>
          <w:sz w:val="20"/>
          <w:szCs w:val="20"/>
        </w:rPr>
        <w:t xml:space="preserve"> </w:t>
      </w:r>
      <w:r w:rsidRPr="00D86945">
        <w:rPr>
          <w:rStyle w:val="Refdenotaalpie"/>
          <w:rFonts w:ascii="Verdana" w:hAnsi="Verdana"/>
          <w:b/>
          <w:sz w:val="20"/>
          <w:szCs w:val="20"/>
        </w:rPr>
        <w:footnoteReference w:id="9"/>
      </w:r>
    </w:p>
    <w:p w14:paraId="463CC3DF" w14:textId="6B6C1E29"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169.</w:t>
      </w:r>
      <w:r w:rsidRPr="00D86945">
        <w:rPr>
          <w:rFonts w:ascii="Verdana" w:hAnsi="Verdana"/>
          <w:sz w:val="20"/>
          <w:szCs w:val="20"/>
          <w:lang w:val="es-CR"/>
        </w:rPr>
        <w:tab/>
        <w:t xml:space="preserve">Hasta el momento, la Corte no se ha pronunciado sobre el derecho a participar en política, la libertad de expresión y el derecho de reunión de personas que ejercen funciones jurisdiccionales, como en el presente caso. Al respecto, es importante resaltar que la Convención Americana garantiza estos derechos a toda persona, independientemente de cualquier otra consideración, por lo que no cabe considerarla ni restringirla a una determinada profesión o grupo de personas. Sin embargo, tal como se señaló anteriormente, tales derechos no son absolutos, por lo que pueden ser objeto de restricciones compatibles con la Convención </w:t>
      </w:r>
      <w:r w:rsidR="005E0C2B">
        <w:rPr>
          <w:rFonts w:ascii="Verdana" w:hAnsi="Verdana"/>
          <w:sz w:val="20"/>
          <w:szCs w:val="20"/>
          <w:lang w:val="es-CR"/>
        </w:rPr>
        <w:t>[...]</w:t>
      </w:r>
      <w:r w:rsidRPr="00D86945">
        <w:rPr>
          <w:rFonts w:ascii="Verdana" w:hAnsi="Verdana"/>
          <w:sz w:val="20"/>
          <w:szCs w:val="20"/>
          <w:lang w:val="es-CR"/>
        </w:rPr>
        <w:t xml:space="preserve">. Debido a sus funciones en la administración de justicia, en condiciones normales del Estado de Derecho, los jueces y juezas pueden estar sujetos a restricciones distintas y en </w:t>
      </w:r>
      <w:r w:rsidRPr="00D86945">
        <w:rPr>
          <w:rFonts w:ascii="Verdana" w:hAnsi="Verdana"/>
          <w:sz w:val="20"/>
          <w:szCs w:val="20"/>
          <w:lang w:val="es-CR"/>
        </w:rPr>
        <w:lastRenderedPageBreak/>
        <w:t xml:space="preserve">sentidos que no afectarían a otras personas, incluyendo a otros funcionarios públicos. </w:t>
      </w:r>
    </w:p>
    <w:p w14:paraId="5891BBC7" w14:textId="45D3F7AD"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170.</w:t>
      </w:r>
      <w:r w:rsidRPr="00D86945">
        <w:rPr>
          <w:rFonts w:ascii="Verdana" w:hAnsi="Verdana"/>
          <w:sz w:val="20"/>
          <w:szCs w:val="20"/>
          <w:lang w:val="es-CR"/>
        </w:rPr>
        <w:tab/>
        <w:t>Los Principios Básicos de Naciones Unidas relativos a la Independencia de la Judicatura (en adelante “Principios Básicos de las Naciones Unidas”) reconocen que “los miembros de la judicatura gozarán de las libertades de expresión, creencias, asociación y reunión, con la salvedad de que, en el ejercicio de esos derechos, los jueces se conducirán en todo momento de manera que preserve la dignidad de sus funciones y la imparcialidad e independencia de la judicatura”. Asimismo, los Principios de Bangalore sobre la Conducta Judicial establecen que “[u]n juez, como cualquier otro ciudadano, tiene derecho a la libertad de expresión y de creencias, derecho de asociación y de reunión pero, cuando ejerza los citados derechos y libertades, se comportará siempre de forma que preserve la dignidad de las funciones jurisdiccionales y la imparcialidad e independencia de la judicatura”</w:t>
      </w:r>
      <w:r w:rsidR="00215583">
        <w:rPr>
          <w:rFonts w:ascii="Verdana" w:hAnsi="Verdana"/>
          <w:sz w:val="20"/>
          <w:szCs w:val="20"/>
          <w:lang w:val="es-CR"/>
        </w:rPr>
        <w:t>.</w:t>
      </w:r>
      <w:r w:rsidRPr="00D86945">
        <w:rPr>
          <w:rFonts w:ascii="Verdana" w:hAnsi="Verdana"/>
          <w:sz w:val="20"/>
          <w:szCs w:val="20"/>
          <w:lang w:val="es-CR"/>
        </w:rPr>
        <w:t xml:space="preserve"> En el mismo sentido, el Tribunal Europeo ha señalado que ciertas restricciones a la libertad de expresión de los jueces son necesarias en todos los casos donde la autoridad e imparcialidad de la judicatura pudieran ser cuestionadas. </w:t>
      </w:r>
    </w:p>
    <w:p w14:paraId="0F70EEB7" w14:textId="4D6E5F88" w:rsidR="00987FF9" w:rsidRPr="00D86945" w:rsidRDefault="007A6631" w:rsidP="004F4FE7">
      <w:pPr>
        <w:spacing w:line="240" w:lineRule="auto"/>
        <w:ind w:right="49"/>
        <w:jc w:val="both"/>
        <w:rPr>
          <w:rFonts w:ascii="Verdana" w:hAnsi="Verdana"/>
          <w:b/>
          <w:bCs/>
          <w:sz w:val="20"/>
          <w:szCs w:val="20"/>
          <w:lang w:val="es-CR"/>
        </w:rPr>
      </w:pPr>
      <w:r w:rsidRPr="00D86945">
        <w:rPr>
          <w:rFonts w:ascii="Verdana" w:hAnsi="Verdana"/>
          <w:b/>
          <w:bCs/>
          <w:sz w:val="20"/>
          <w:szCs w:val="20"/>
          <w:lang w:val="es-CR"/>
        </w:rPr>
        <w:t>Caso Urrutia Laubreaux Vs. Chile. Excepciones Preliminares, Fondo, Reparaciones y Costas. Sentencia de 27 de agosto de 2020. Serie C No. 409, párr. 76.</w:t>
      </w:r>
      <w:r w:rsidR="00EA462A">
        <w:rPr>
          <w:rStyle w:val="Refdenotaalpie"/>
          <w:rFonts w:ascii="Verdana" w:hAnsi="Verdana"/>
          <w:b/>
          <w:bCs/>
          <w:sz w:val="20"/>
          <w:szCs w:val="20"/>
          <w:lang w:val="es-CR"/>
        </w:rPr>
        <w:footnoteReference w:id="10"/>
      </w:r>
    </w:p>
    <w:p w14:paraId="49271F23" w14:textId="259A2D87" w:rsidR="007A6631" w:rsidRPr="00D86945" w:rsidRDefault="007A6631" w:rsidP="004F4FE7">
      <w:pPr>
        <w:spacing w:line="240" w:lineRule="auto"/>
        <w:ind w:right="49"/>
        <w:jc w:val="both"/>
        <w:rPr>
          <w:rFonts w:ascii="Verdana" w:hAnsi="Verdana"/>
          <w:sz w:val="20"/>
          <w:szCs w:val="20"/>
          <w:lang w:val="es-CR"/>
        </w:rPr>
      </w:pPr>
      <w:r w:rsidRPr="00D86945">
        <w:rPr>
          <w:rFonts w:ascii="Verdana" w:hAnsi="Verdana"/>
          <w:sz w:val="20"/>
          <w:szCs w:val="20"/>
          <w:lang w:val="es-CR"/>
        </w:rPr>
        <w:t>89. En el presente caso, tal como lo señaló la Corte Suprema de Chile, el trabajo académico realizado por el señor Urrutia Laubreaux constituyó un ejercicio de su libertad de expresión. Este Tribunal considera que, si bien la libertad de expresión de las personas que ejercen funciones jurisdiccionales puede estar sujeta a mayores restricciones que la de otras personas, esto no implica que cualquier expresión de un Juez o Jueza puede ser restringida. En este sentido, no es acorde a la Convención Americana sancionar las expresiones realizadas en un trabajo académico sobre un tema general y no un caso concreto, como el realizado por la presunta víctima en el presente caso.</w:t>
      </w:r>
    </w:p>
    <w:p w14:paraId="4D9A9904" w14:textId="542BC7B7" w:rsidR="00E556AD" w:rsidRPr="00D86945" w:rsidRDefault="00E556AD" w:rsidP="004F4FE7">
      <w:pPr>
        <w:pStyle w:val="Prrafodelista"/>
        <w:spacing w:line="240" w:lineRule="auto"/>
        <w:ind w:left="0" w:right="51"/>
        <w:jc w:val="both"/>
        <w:rPr>
          <w:rFonts w:ascii="Verdana" w:hAnsi="Verdana" w:cs="Times New Roman"/>
          <w:b/>
          <w:smallCaps/>
          <w:sz w:val="20"/>
          <w:szCs w:val="20"/>
          <w:lang w:val="es-ES"/>
        </w:rPr>
      </w:pPr>
      <w:r w:rsidRPr="00D86945">
        <w:rPr>
          <w:rFonts w:ascii="Verdana" w:hAnsi="Verdana" w:cs="Times New Roman"/>
          <w:b/>
          <w:smallCaps/>
          <w:sz w:val="20"/>
          <w:szCs w:val="20"/>
          <w:lang w:val="es-ES"/>
        </w:rPr>
        <w:br w:type="page"/>
      </w:r>
    </w:p>
    <w:p w14:paraId="38F7E636" w14:textId="1B7B509F" w:rsidR="00987FF9" w:rsidRPr="00011742" w:rsidRDefault="00987FF9" w:rsidP="00011742">
      <w:pPr>
        <w:pStyle w:val="Ttulo1"/>
        <w:jc w:val="left"/>
        <w:rPr>
          <w:u w:val="none"/>
        </w:rPr>
      </w:pPr>
      <w:bookmarkStart w:id="4" w:name="_Toc89691456"/>
      <w:r w:rsidRPr="00011742">
        <w:rPr>
          <w:u w:val="none"/>
        </w:rPr>
        <w:lastRenderedPageBreak/>
        <w:t>2.</w:t>
      </w:r>
      <w:r w:rsidRPr="00011742">
        <w:rPr>
          <w:u w:val="none"/>
        </w:rPr>
        <w:tab/>
        <w:t>Artículo 13.1 y sus Dimensiones</w:t>
      </w:r>
      <w:bookmarkEnd w:id="4"/>
    </w:p>
    <w:p w14:paraId="3E6B46F3" w14:textId="77777777" w:rsidR="00987FF9" w:rsidRPr="00D86945" w:rsidRDefault="00987FF9" w:rsidP="004F4FE7">
      <w:pPr>
        <w:pStyle w:val="Prrafodelista"/>
        <w:spacing w:line="240" w:lineRule="auto"/>
        <w:ind w:left="0" w:right="51"/>
        <w:jc w:val="both"/>
        <w:rPr>
          <w:rFonts w:ascii="Verdana" w:hAnsi="Verdana" w:cs="Times New Roman"/>
          <w:b/>
          <w:sz w:val="20"/>
          <w:szCs w:val="20"/>
          <w:lang w:val="es-ES"/>
        </w:rPr>
      </w:pPr>
    </w:p>
    <w:p w14:paraId="3615197B" w14:textId="52F932D2" w:rsidR="00987FF9" w:rsidRPr="00D86945" w:rsidRDefault="00987FF9" w:rsidP="004F4FE7">
      <w:pPr>
        <w:pStyle w:val="Prrafodelista"/>
        <w:spacing w:line="240" w:lineRule="auto"/>
        <w:ind w:left="0" w:right="51"/>
        <w:jc w:val="both"/>
        <w:rPr>
          <w:rFonts w:ascii="Verdana" w:hAnsi="Verdana" w:cs="Times New Roman"/>
          <w:sz w:val="20"/>
          <w:szCs w:val="20"/>
          <w:lang w:val="es-ES"/>
        </w:rPr>
      </w:pPr>
      <w:r w:rsidRPr="00D86945">
        <w:rPr>
          <w:rFonts w:ascii="Verdana" w:hAnsi="Verdana" w:cs="Times New Roman"/>
          <w:sz w:val="20"/>
          <w:szCs w:val="20"/>
          <w:lang w:val="es-ES"/>
        </w:rPr>
        <w:t>En este segundo apartado se revisan los alcances y el contenido que se ha dado en la jurisprudencia de la Corte al derecho a la libertad de expresión. Se ha puesto especial énfasis en las dimensiones individual y colectiva, así como en los alcances del derecho a expresar y difundir ideas. Asimismo, se trata en esta sección el derecho de acceso a la información.</w:t>
      </w:r>
    </w:p>
    <w:p w14:paraId="7CCBE8FE" w14:textId="6C04BA61" w:rsidR="00987FF9" w:rsidRPr="00D86945" w:rsidRDefault="00987FF9" w:rsidP="00BF3BF6">
      <w:pPr>
        <w:pStyle w:val="Ttulo2"/>
      </w:pPr>
      <w:bookmarkStart w:id="5" w:name="_Toc89691457"/>
      <w:r w:rsidRPr="00D86945">
        <w:t>Doble dimensión de la libertad de expresión</w:t>
      </w:r>
      <w:bookmarkEnd w:id="5"/>
    </w:p>
    <w:p w14:paraId="02778663" w14:textId="7CA0B1CD" w:rsidR="00987FF9" w:rsidRPr="00D86945" w:rsidRDefault="00987FF9" w:rsidP="004F4FE7">
      <w:pPr>
        <w:spacing w:line="240" w:lineRule="auto"/>
        <w:ind w:right="49"/>
        <w:jc w:val="both"/>
        <w:rPr>
          <w:rFonts w:ascii="Verdana" w:hAnsi="Verdana" w:cs="Times New Roman"/>
          <w:b/>
          <w:bCs/>
          <w:sz w:val="20"/>
          <w:szCs w:val="20"/>
        </w:rPr>
      </w:pPr>
      <w:r w:rsidRPr="00D86945">
        <w:rPr>
          <w:rFonts w:ascii="Verdana" w:hAnsi="Verdana" w:cs="Times New Roman"/>
          <w:b/>
          <w:bCs/>
          <w:sz w:val="20"/>
          <w:szCs w:val="20"/>
        </w:rPr>
        <w:t>Corte IDH. La colegiación obligatoria de periodistas (Arts. 13 y 29 Convención Americana sobre Derechos Humanos). Opinión Consultiva OC-5/85 de 13 de noviembre de 1985. Serie A No. 5</w:t>
      </w:r>
      <w:r w:rsidR="00011742">
        <w:rPr>
          <w:rFonts w:ascii="Verdana" w:hAnsi="Verdana" w:cs="Times New Roman"/>
          <w:b/>
          <w:bCs/>
          <w:sz w:val="20"/>
          <w:szCs w:val="20"/>
        </w:rPr>
        <w:t>.</w:t>
      </w:r>
    </w:p>
    <w:p w14:paraId="2EFB8705" w14:textId="7FD26BBF" w:rsidR="00987FF9" w:rsidRPr="00D86945" w:rsidRDefault="00987FF9" w:rsidP="004F4FE7">
      <w:pPr>
        <w:spacing w:line="240" w:lineRule="auto"/>
        <w:ind w:right="49"/>
        <w:jc w:val="both"/>
        <w:rPr>
          <w:rFonts w:ascii="Verdana" w:hAnsi="Verdana"/>
          <w:b/>
          <w:sz w:val="18"/>
          <w:szCs w:val="18"/>
          <w:lang w:val="es-CL"/>
        </w:rPr>
      </w:pPr>
      <w:r w:rsidRPr="00D86945">
        <w:rPr>
          <w:rFonts w:ascii="Verdana" w:hAnsi="Verdana" w:cs="Times New Roman"/>
          <w:sz w:val="20"/>
          <w:szCs w:val="20"/>
          <w:lang w:val="es-ES"/>
        </w:rPr>
        <w:t xml:space="preserve">30. </w:t>
      </w:r>
      <w:r w:rsidRPr="00D86945">
        <w:rPr>
          <w:rFonts w:ascii="Verdana" w:hAnsi="Verdana" w:cs="Times New Roman"/>
          <w:sz w:val="20"/>
          <w:szCs w:val="20"/>
          <w:lang w:val="es-ES"/>
        </w:rPr>
        <w:tab/>
        <w:t xml:space="preserve">El artículo 13 señala que la libertad de pensamiento y expresión "comprende la libertad de buscar, recibir y difundir informaciones e ideas de toda índole..." Esos términos establecen literalmente que quienes están bajo la protección de la Convención tienen no sólo el derecho y la libertad de expresar su propio pensamiento, sino también el derecho y la libertad de buscar, recibir y difundir informaciones e ideas de toda índole. Por tanto, cuando se restringe ilegalmente la libertad de expresión de un individuo, no sólo es el derecho de ese individuo el que está siendo violado, sino también el derecho de todos a "recibir" informaciones e ideas, de donde resulta que el derecho protegido por el artículo 13 tiene un alcance y un carácter especiales. Se ponen así de manifiesto las dos dimensiones de la libertad de expresión. En efecto, ésta requiere, por un lado, que nadie sea arbitrariamente menoscabado o impedido de manifestar su propio pensamiento y representa, por tanto, un derecho de cada individuo; pero implica también, por otro lado, un derecho colectivo a recibir cualquier información y a conocer la expresión del pensamiento ajeno. </w:t>
      </w:r>
      <w:r w:rsidR="00C909A0">
        <w:rPr>
          <w:rFonts w:ascii="Verdana" w:hAnsi="Verdana" w:cs="Times New Roman"/>
          <w:b/>
          <w:bCs/>
          <w:sz w:val="20"/>
          <w:szCs w:val="20"/>
          <w:lang w:val="es-ES"/>
        </w:rPr>
        <w:t>[</w:t>
      </w:r>
      <w:r w:rsidR="002A5747">
        <w:rPr>
          <w:rFonts w:ascii="Verdana" w:hAnsi="Verdana" w:cs="Times New Roman"/>
          <w:b/>
          <w:sz w:val="18"/>
          <w:szCs w:val="18"/>
          <w:lang w:val="es-ES"/>
        </w:rPr>
        <w:t>En similar sentido, ver entre otros:</w:t>
      </w:r>
      <w:r w:rsidRPr="00D86945">
        <w:rPr>
          <w:rFonts w:ascii="Verdana" w:hAnsi="Verdana" w:cs="Times New Roman"/>
          <w:sz w:val="18"/>
          <w:szCs w:val="18"/>
          <w:lang w:val="es-ES"/>
        </w:rPr>
        <w:t xml:space="preserve"> </w:t>
      </w:r>
      <w:r w:rsidRPr="00D86945">
        <w:rPr>
          <w:rFonts w:ascii="Verdana" w:hAnsi="Verdana" w:cs="Times New Roman"/>
          <w:b/>
          <w:sz w:val="18"/>
          <w:szCs w:val="18"/>
          <w:lang w:val="es-ES"/>
        </w:rPr>
        <w:t xml:space="preserve">Caso "La Última Tentación de Cristo" (Olmedo Bustos y otros) Vs. Chile. Fondo, Reparaciones y Costas. Sentencia de 5 de febrero de 2001. Serie C No. 73, párr.64; Caso </w:t>
      </w:r>
      <w:proofErr w:type="spellStart"/>
      <w:r w:rsidRPr="00D86945">
        <w:rPr>
          <w:rFonts w:ascii="Verdana" w:hAnsi="Verdana" w:cs="Times New Roman"/>
          <w:b/>
          <w:sz w:val="18"/>
          <w:szCs w:val="18"/>
          <w:lang w:val="es-ES"/>
        </w:rPr>
        <w:t>Ivcher</w:t>
      </w:r>
      <w:proofErr w:type="spellEnd"/>
      <w:r w:rsidRPr="00D86945">
        <w:rPr>
          <w:rFonts w:ascii="Verdana" w:hAnsi="Verdana" w:cs="Times New Roman"/>
          <w:b/>
          <w:sz w:val="18"/>
          <w:szCs w:val="18"/>
          <w:lang w:val="es-ES"/>
        </w:rPr>
        <w:t xml:space="preserve"> </w:t>
      </w:r>
      <w:proofErr w:type="spellStart"/>
      <w:r w:rsidRPr="00D86945">
        <w:rPr>
          <w:rFonts w:ascii="Verdana" w:hAnsi="Verdana" w:cs="Times New Roman"/>
          <w:b/>
          <w:sz w:val="18"/>
          <w:szCs w:val="18"/>
          <w:lang w:val="es-ES"/>
        </w:rPr>
        <w:t>Bronstein</w:t>
      </w:r>
      <w:proofErr w:type="spellEnd"/>
      <w:r w:rsidRPr="00D86945">
        <w:rPr>
          <w:rFonts w:ascii="Verdana" w:hAnsi="Verdana" w:cs="Times New Roman"/>
          <w:b/>
          <w:sz w:val="18"/>
          <w:szCs w:val="18"/>
          <w:lang w:val="es-ES"/>
        </w:rPr>
        <w:t xml:space="preserve"> Vs. Perú. Fondo, Reparaciones y Costas. Sentencia de 6 de febrero de 2001. Serie C No. 74, párr.146; Caso Herrera Ulloa Vs. Costa Rica. Excepciones Preliminares, Fondo, Reparaciones y Costas. Sentencia de 2 de julio de 2004. Serie C No. 107, párr.108; Caso Ricardo </w:t>
      </w:r>
      <w:proofErr w:type="spellStart"/>
      <w:r w:rsidRPr="00D86945">
        <w:rPr>
          <w:rFonts w:ascii="Verdana" w:hAnsi="Verdana" w:cs="Times New Roman"/>
          <w:b/>
          <w:sz w:val="18"/>
          <w:szCs w:val="18"/>
          <w:lang w:val="es-ES"/>
        </w:rPr>
        <w:t>Canese</w:t>
      </w:r>
      <w:proofErr w:type="spellEnd"/>
      <w:r w:rsidRPr="00D86945">
        <w:rPr>
          <w:rFonts w:ascii="Verdana" w:hAnsi="Verdana" w:cs="Times New Roman"/>
          <w:b/>
          <w:sz w:val="18"/>
          <w:szCs w:val="18"/>
          <w:lang w:val="es-ES"/>
        </w:rPr>
        <w:t xml:space="preserve"> Vs. Paraguay. Fondo, Reparaciones y Costas. Sentencia de 31 de agosto de 2004. Serie C No. 111, párr.77; </w:t>
      </w:r>
      <w:r w:rsidRPr="00D86945">
        <w:rPr>
          <w:rFonts w:ascii="Verdana" w:hAnsi="Verdana" w:cs="Times New Roman"/>
          <w:b/>
          <w:sz w:val="18"/>
          <w:szCs w:val="18"/>
        </w:rPr>
        <w:t xml:space="preserve">Caso López Álvarez Vs. Honduras. Fondo, Reparaciones y Costas. Sentencia de 1 de febrero de 2006. Serie C No. 141, párr.163; </w:t>
      </w:r>
      <w:r w:rsidRPr="00D86945">
        <w:rPr>
          <w:rFonts w:ascii="Verdana" w:hAnsi="Verdana"/>
          <w:b/>
          <w:sz w:val="18"/>
          <w:szCs w:val="18"/>
        </w:rPr>
        <w:t>Caso Kimel Vs. Argentina. Fondo, Reparaciones y Costas. Sentencia de 2 de mayo de 2008. Serie C No. 177, párr.53</w:t>
      </w:r>
      <w:r w:rsidR="004A0CF5" w:rsidRPr="00D86945">
        <w:rPr>
          <w:rFonts w:ascii="Verdana" w:hAnsi="Verdana"/>
          <w:b/>
          <w:sz w:val="18"/>
          <w:szCs w:val="18"/>
        </w:rPr>
        <w:t>; Caso Lagos del Campo Vs. Perú. Excepciones Preliminares, Fondo, Reparaciones y Costas. Sentencia de 31 de agosto de 2017. Serie C No. 340, párr. 89</w:t>
      </w:r>
      <w:r w:rsidR="00982279" w:rsidRPr="00D86945">
        <w:rPr>
          <w:rFonts w:ascii="Verdana" w:hAnsi="Verdana"/>
          <w:b/>
          <w:sz w:val="18"/>
          <w:szCs w:val="18"/>
        </w:rPr>
        <w:t xml:space="preserve">; </w:t>
      </w:r>
      <w:r w:rsidR="00C909A0">
        <w:rPr>
          <w:rFonts w:ascii="Verdana" w:hAnsi="Verdana"/>
          <w:b/>
          <w:bCs/>
          <w:sz w:val="18"/>
          <w:szCs w:val="18"/>
          <w:lang w:val="es-CL"/>
        </w:rPr>
        <w:t>y</w:t>
      </w:r>
      <w:r w:rsidR="00982279" w:rsidRPr="00D86945">
        <w:rPr>
          <w:rFonts w:ascii="Verdana" w:hAnsi="Verdana"/>
          <w:b/>
          <w:bCs/>
          <w:sz w:val="18"/>
          <w:szCs w:val="18"/>
          <w:lang w:val="es-CL"/>
        </w:rPr>
        <w:t xml:space="preserve"> Caso Carvajal </w:t>
      </w:r>
      <w:proofErr w:type="spellStart"/>
      <w:r w:rsidR="00982279" w:rsidRPr="00D86945">
        <w:rPr>
          <w:rFonts w:ascii="Verdana" w:hAnsi="Verdana"/>
          <w:b/>
          <w:bCs/>
          <w:sz w:val="18"/>
          <w:szCs w:val="18"/>
          <w:lang w:val="es-CL"/>
        </w:rPr>
        <w:t>Carvajal</w:t>
      </w:r>
      <w:proofErr w:type="spellEnd"/>
      <w:r w:rsidR="00982279" w:rsidRPr="00D86945">
        <w:rPr>
          <w:rFonts w:ascii="Verdana" w:hAnsi="Verdana"/>
          <w:b/>
          <w:bCs/>
          <w:sz w:val="18"/>
          <w:szCs w:val="18"/>
          <w:lang w:val="es-CL"/>
        </w:rPr>
        <w:t xml:space="preserve"> y otros Vs. Colombia. Fondo, Reparaciones y Costas. Sentencia de 13 de marzo de 2018. Serie C No. 352</w:t>
      </w:r>
      <w:r w:rsidR="00982279" w:rsidRPr="00D86945">
        <w:rPr>
          <w:rFonts w:ascii="Verdana" w:hAnsi="Verdana"/>
          <w:b/>
          <w:sz w:val="18"/>
          <w:szCs w:val="18"/>
          <w:lang w:val="es-CL"/>
        </w:rPr>
        <w:t>, párr. 72</w:t>
      </w:r>
      <w:r w:rsidR="00C909A0">
        <w:rPr>
          <w:rFonts w:ascii="Verdana" w:hAnsi="Verdana"/>
          <w:b/>
          <w:sz w:val="18"/>
          <w:szCs w:val="18"/>
          <w:lang w:val="es-CL"/>
        </w:rPr>
        <w:t>]</w:t>
      </w:r>
      <w:r w:rsidRPr="00D86945">
        <w:rPr>
          <w:rFonts w:ascii="Verdana" w:hAnsi="Verdana"/>
          <w:b/>
          <w:sz w:val="18"/>
          <w:szCs w:val="18"/>
        </w:rPr>
        <w:t>.</w:t>
      </w:r>
    </w:p>
    <w:p w14:paraId="3905CFA4" w14:textId="2DC41EA0" w:rsidR="00987FF9" w:rsidRPr="00D86945" w:rsidRDefault="00987FF9" w:rsidP="004F4FE7">
      <w:pPr>
        <w:spacing w:line="240" w:lineRule="auto"/>
        <w:ind w:right="49"/>
        <w:jc w:val="both"/>
        <w:rPr>
          <w:rFonts w:ascii="Verdana" w:hAnsi="Verdana" w:cs="Times New Roman"/>
          <w:sz w:val="18"/>
          <w:szCs w:val="18"/>
          <w:lang w:val="es-ES"/>
        </w:rPr>
      </w:pPr>
      <w:r w:rsidRPr="00D86945">
        <w:rPr>
          <w:rFonts w:ascii="Verdana" w:hAnsi="Verdana" w:cs="Times New Roman"/>
          <w:sz w:val="20"/>
          <w:szCs w:val="20"/>
          <w:lang w:val="es-ES"/>
        </w:rPr>
        <w:t xml:space="preserve">31. </w:t>
      </w:r>
      <w:r w:rsidRPr="00D86945">
        <w:rPr>
          <w:rFonts w:ascii="Verdana" w:hAnsi="Verdana" w:cs="Times New Roman"/>
          <w:sz w:val="20"/>
          <w:szCs w:val="20"/>
          <w:lang w:val="es-ES"/>
        </w:rPr>
        <w:tab/>
        <w:t xml:space="preserve">En su dimensión individual, la libertad de expresión no se agota en el reconocimiento teórico del derecho a hablar o escribir, sino que comprende además, inseparablemente, el derecho a utilizar cualquier medio apropiado para difundir el pensamiento y hacerlo llegar al mayor número de destinatarios. Cuando la Convención proclama que la libertad de pensamiento y expresión comprende el derecho de difundir informaciones e ideas "por cualquier... procedimiento", está subrayando que la expresión y la difusión del pensamiento y de la información son indivisibles, de modo que una restricción de las posibilidades de divulgación representa directamente, y en la misma medida, un límite al derecho de expresarse libremente. De allí la importancia del régimen legal aplicable a la prensa y al status de quienes se dediquen profesionalmente a ella. </w:t>
      </w:r>
      <w:r w:rsidR="00C909A0">
        <w:rPr>
          <w:rFonts w:ascii="Verdana" w:hAnsi="Verdana" w:cs="Times New Roman"/>
          <w:b/>
          <w:bCs/>
          <w:sz w:val="20"/>
          <w:szCs w:val="20"/>
          <w:lang w:val="es-ES"/>
        </w:rPr>
        <w:t>[</w:t>
      </w:r>
      <w:r w:rsidR="002A5747">
        <w:rPr>
          <w:rFonts w:ascii="Verdana" w:hAnsi="Verdana" w:cs="Times New Roman"/>
          <w:b/>
          <w:sz w:val="18"/>
          <w:szCs w:val="18"/>
          <w:lang w:val="es-ES"/>
        </w:rPr>
        <w:t>En similar sentido, ver entre otros:</w:t>
      </w:r>
      <w:r w:rsidRPr="00D86945">
        <w:rPr>
          <w:rFonts w:ascii="Verdana" w:hAnsi="Verdana" w:cs="Times New Roman"/>
          <w:sz w:val="18"/>
          <w:szCs w:val="18"/>
          <w:lang w:val="es-ES"/>
        </w:rPr>
        <w:t xml:space="preserve"> </w:t>
      </w:r>
      <w:r w:rsidRPr="00D86945">
        <w:rPr>
          <w:rFonts w:ascii="Verdana" w:hAnsi="Verdana" w:cs="Times New Roman"/>
          <w:b/>
          <w:sz w:val="18"/>
          <w:szCs w:val="18"/>
          <w:lang w:val="es-ES"/>
        </w:rPr>
        <w:t xml:space="preserve">Caso "La Última Tentación de Cristo" (Olmedo Bustos y otros) Vs. Chile. Fondo, Reparaciones y Costas. Sentencia de 5 de febrero de 2001. Serie C No. 73, párr.65; </w:t>
      </w:r>
      <w:r w:rsidRPr="00D86945">
        <w:rPr>
          <w:rFonts w:ascii="Verdana" w:hAnsi="Verdana" w:cs="Times New Roman"/>
          <w:b/>
          <w:sz w:val="18"/>
          <w:szCs w:val="18"/>
          <w:lang w:val="es-ES"/>
        </w:rPr>
        <w:lastRenderedPageBreak/>
        <w:t xml:space="preserve">Caso </w:t>
      </w:r>
      <w:proofErr w:type="spellStart"/>
      <w:r w:rsidRPr="00D86945">
        <w:rPr>
          <w:rFonts w:ascii="Verdana" w:hAnsi="Verdana" w:cs="Times New Roman"/>
          <w:b/>
          <w:sz w:val="18"/>
          <w:szCs w:val="18"/>
          <w:lang w:val="es-ES"/>
        </w:rPr>
        <w:t>Ivcher</w:t>
      </w:r>
      <w:proofErr w:type="spellEnd"/>
      <w:r w:rsidRPr="00D86945">
        <w:rPr>
          <w:rFonts w:ascii="Verdana" w:hAnsi="Verdana" w:cs="Times New Roman"/>
          <w:b/>
          <w:sz w:val="18"/>
          <w:szCs w:val="18"/>
          <w:lang w:val="es-ES"/>
        </w:rPr>
        <w:t xml:space="preserve"> </w:t>
      </w:r>
      <w:proofErr w:type="spellStart"/>
      <w:r w:rsidRPr="00D86945">
        <w:rPr>
          <w:rFonts w:ascii="Verdana" w:hAnsi="Verdana" w:cs="Times New Roman"/>
          <w:b/>
          <w:sz w:val="18"/>
          <w:szCs w:val="18"/>
          <w:lang w:val="es-ES"/>
        </w:rPr>
        <w:t>Bronstein</w:t>
      </w:r>
      <w:proofErr w:type="spellEnd"/>
      <w:r w:rsidRPr="00D86945">
        <w:rPr>
          <w:rFonts w:ascii="Verdana" w:hAnsi="Verdana" w:cs="Times New Roman"/>
          <w:b/>
          <w:sz w:val="18"/>
          <w:szCs w:val="18"/>
          <w:lang w:val="es-ES"/>
        </w:rPr>
        <w:t xml:space="preserve"> Vs. Perú. Fondo, Reparaciones y Costas. Sentencia de 6 de febrero de 2001. Serie C No. 74, párr.147; Caso Herrera Ulloa Vs. Costa Rica. Excepciones Preliminares, Fondo, Reparaciones y Costas. Sentencia de 2 de julio de 2004. Serie C No. 109; Caso Ricardo </w:t>
      </w:r>
      <w:proofErr w:type="spellStart"/>
      <w:r w:rsidRPr="00D86945">
        <w:rPr>
          <w:rFonts w:ascii="Verdana" w:hAnsi="Verdana" w:cs="Times New Roman"/>
          <w:b/>
          <w:sz w:val="18"/>
          <w:szCs w:val="18"/>
          <w:lang w:val="es-ES"/>
        </w:rPr>
        <w:t>Canese</w:t>
      </w:r>
      <w:proofErr w:type="spellEnd"/>
      <w:r w:rsidRPr="00D86945">
        <w:rPr>
          <w:rFonts w:ascii="Verdana" w:hAnsi="Verdana" w:cs="Times New Roman"/>
          <w:b/>
          <w:sz w:val="18"/>
          <w:szCs w:val="18"/>
          <w:lang w:val="es-ES"/>
        </w:rPr>
        <w:t xml:space="preserve"> Vs. Paraguay. Fondo, Reparaciones y Costas. Sentencia de 31 de agosto de 2004. Serie C No. 111, párr.78; </w:t>
      </w:r>
      <w:r w:rsidR="00011742">
        <w:rPr>
          <w:rFonts w:ascii="Verdana" w:hAnsi="Verdana" w:cs="Times New Roman"/>
          <w:b/>
          <w:sz w:val="18"/>
          <w:szCs w:val="18"/>
          <w:lang w:val="es-ES"/>
        </w:rPr>
        <w:t xml:space="preserve">y </w:t>
      </w:r>
      <w:r w:rsidRPr="00D86945">
        <w:rPr>
          <w:rFonts w:ascii="Verdana" w:hAnsi="Verdana" w:cs="Times New Roman"/>
          <w:b/>
          <w:sz w:val="18"/>
          <w:szCs w:val="18"/>
          <w:lang w:val="es-ES"/>
        </w:rPr>
        <w:t>Caso Norín Catrimán y otros (Dirigentes, miembros y activista del Pueblo Indígena Mapuche) Vs. Chile. Fondo, Reparaciones y Costas. Sentencia de 29 de mayo de 2014. Serie C No. 279, párr.372</w:t>
      </w:r>
      <w:r w:rsidR="00C909A0">
        <w:rPr>
          <w:rFonts w:ascii="Verdana" w:hAnsi="Verdana" w:cs="Times New Roman"/>
          <w:b/>
          <w:sz w:val="18"/>
          <w:szCs w:val="18"/>
          <w:lang w:val="es-ES"/>
        </w:rPr>
        <w:t>]</w:t>
      </w:r>
      <w:r w:rsidRPr="00D86945">
        <w:rPr>
          <w:rFonts w:ascii="Verdana" w:hAnsi="Verdana" w:cs="Times New Roman"/>
          <w:b/>
          <w:sz w:val="18"/>
          <w:szCs w:val="18"/>
          <w:lang w:val="es-ES"/>
        </w:rPr>
        <w:t>.</w:t>
      </w:r>
    </w:p>
    <w:p w14:paraId="0A2A1A6A" w14:textId="0898FAD5" w:rsidR="00987FF9" w:rsidRPr="00D86945" w:rsidRDefault="00987FF9" w:rsidP="004F4FE7">
      <w:pPr>
        <w:spacing w:line="240" w:lineRule="auto"/>
        <w:ind w:right="49"/>
        <w:jc w:val="both"/>
        <w:rPr>
          <w:rFonts w:ascii="Verdana" w:hAnsi="Verdana" w:cs="Times New Roman"/>
          <w:b/>
          <w:sz w:val="18"/>
          <w:szCs w:val="18"/>
          <w:lang w:val="es-ES"/>
        </w:rPr>
      </w:pPr>
      <w:r w:rsidRPr="00D86945">
        <w:rPr>
          <w:rFonts w:ascii="Verdana" w:hAnsi="Verdana" w:cs="Times New Roman"/>
          <w:sz w:val="20"/>
          <w:szCs w:val="20"/>
          <w:lang w:val="es-ES"/>
        </w:rPr>
        <w:t xml:space="preserve">32. </w:t>
      </w:r>
      <w:r w:rsidRPr="00D86945">
        <w:rPr>
          <w:rFonts w:ascii="Verdana" w:hAnsi="Verdana" w:cs="Times New Roman"/>
          <w:sz w:val="20"/>
          <w:szCs w:val="20"/>
          <w:lang w:val="es-ES"/>
        </w:rPr>
        <w:tab/>
        <w:t xml:space="preserve">En su dimensión social la libertad de expresión es un medio para el intercambio de ideas e informaciones y para la comunicación masiva entre los seres humanos. Así como comprende el derecho de cada uno a tratar de comunicar a los otros sus propios puntos de vista implica también el derecho de todos a conocer opiniones y noticias. Para el ciudadano común tiene tanta importancia el conocimiento de la opinión ajena o de la información de que disponen otros como el derecho a difundir la propia. </w:t>
      </w:r>
      <w:r w:rsidR="00C909A0">
        <w:rPr>
          <w:rFonts w:ascii="Verdana" w:hAnsi="Verdana" w:cs="Times New Roman"/>
          <w:b/>
          <w:bCs/>
          <w:sz w:val="20"/>
          <w:szCs w:val="20"/>
          <w:lang w:val="es-ES"/>
        </w:rPr>
        <w:t>[</w:t>
      </w:r>
      <w:r w:rsidR="002A5747">
        <w:rPr>
          <w:rFonts w:ascii="Verdana" w:hAnsi="Verdana" w:cs="Times New Roman"/>
          <w:b/>
          <w:sz w:val="18"/>
          <w:szCs w:val="18"/>
          <w:lang w:val="es-ES"/>
        </w:rPr>
        <w:t>En similar sentido, ver entre otros:</w:t>
      </w:r>
      <w:r w:rsidRPr="00D86945">
        <w:rPr>
          <w:rFonts w:ascii="Verdana" w:hAnsi="Verdana" w:cs="Times New Roman"/>
          <w:sz w:val="18"/>
          <w:szCs w:val="18"/>
          <w:lang w:val="es-ES"/>
        </w:rPr>
        <w:t xml:space="preserve"> </w:t>
      </w:r>
      <w:r w:rsidRPr="00D86945">
        <w:rPr>
          <w:rFonts w:ascii="Verdana" w:hAnsi="Verdana" w:cs="Times New Roman"/>
          <w:b/>
          <w:sz w:val="18"/>
          <w:szCs w:val="18"/>
          <w:lang w:val="es-ES"/>
        </w:rPr>
        <w:t xml:space="preserve">Caso "La Última Tentación de Cristo" (Olmedo Bustos y otros) Vs. Chile. Fondo, Reparaciones y Costas. Sentencia de 5 de febrero de 2001. Serie C No. 73, párr.66; Caso </w:t>
      </w:r>
      <w:proofErr w:type="spellStart"/>
      <w:r w:rsidRPr="00D86945">
        <w:rPr>
          <w:rFonts w:ascii="Verdana" w:hAnsi="Verdana" w:cs="Times New Roman"/>
          <w:b/>
          <w:sz w:val="18"/>
          <w:szCs w:val="18"/>
          <w:lang w:val="es-ES"/>
        </w:rPr>
        <w:t>Ivcher</w:t>
      </w:r>
      <w:proofErr w:type="spellEnd"/>
      <w:r w:rsidRPr="00D86945">
        <w:rPr>
          <w:rFonts w:ascii="Verdana" w:hAnsi="Verdana" w:cs="Times New Roman"/>
          <w:b/>
          <w:sz w:val="18"/>
          <w:szCs w:val="18"/>
          <w:lang w:val="es-ES"/>
        </w:rPr>
        <w:t xml:space="preserve"> </w:t>
      </w:r>
      <w:proofErr w:type="spellStart"/>
      <w:r w:rsidRPr="00D86945">
        <w:rPr>
          <w:rFonts w:ascii="Verdana" w:hAnsi="Verdana" w:cs="Times New Roman"/>
          <w:b/>
          <w:sz w:val="18"/>
          <w:szCs w:val="18"/>
          <w:lang w:val="es-ES"/>
        </w:rPr>
        <w:t>Bronstein</w:t>
      </w:r>
      <w:proofErr w:type="spellEnd"/>
      <w:r w:rsidRPr="00D86945">
        <w:rPr>
          <w:rFonts w:ascii="Verdana" w:hAnsi="Verdana" w:cs="Times New Roman"/>
          <w:b/>
          <w:sz w:val="18"/>
          <w:szCs w:val="18"/>
          <w:lang w:val="es-ES"/>
        </w:rPr>
        <w:t xml:space="preserve"> Vs. Perú. Fondo, Reparaciones y Costas. Sentencia de 6 de febrero de 2001. Serie C No. 74, párr.148; Corte IDH. Caso Herrera Ulloa Vs. Costa Rica. Excepciones Preliminares, Fondo, Reparaciones y Costas. Sentencia de 2 de julio de 2004. Serie C No. 110; </w:t>
      </w:r>
      <w:r w:rsidR="00011742">
        <w:rPr>
          <w:rFonts w:ascii="Verdana" w:hAnsi="Verdana" w:cs="Times New Roman"/>
          <w:b/>
          <w:sz w:val="18"/>
          <w:szCs w:val="18"/>
          <w:lang w:val="es-ES"/>
        </w:rPr>
        <w:t xml:space="preserve">y </w:t>
      </w:r>
      <w:r w:rsidRPr="00D86945">
        <w:rPr>
          <w:rFonts w:ascii="Verdana" w:hAnsi="Verdana" w:cs="Times New Roman"/>
          <w:b/>
          <w:sz w:val="18"/>
          <w:szCs w:val="18"/>
          <w:lang w:val="es-ES"/>
        </w:rPr>
        <w:t xml:space="preserve">Caso Ricardo </w:t>
      </w:r>
      <w:proofErr w:type="spellStart"/>
      <w:r w:rsidRPr="00D86945">
        <w:rPr>
          <w:rFonts w:ascii="Verdana" w:hAnsi="Verdana" w:cs="Times New Roman"/>
          <w:b/>
          <w:sz w:val="18"/>
          <w:szCs w:val="18"/>
          <w:lang w:val="es-ES"/>
        </w:rPr>
        <w:t>Canese</w:t>
      </w:r>
      <w:proofErr w:type="spellEnd"/>
      <w:r w:rsidRPr="00D86945">
        <w:rPr>
          <w:rFonts w:ascii="Verdana" w:hAnsi="Verdana" w:cs="Times New Roman"/>
          <w:b/>
          <w:sz w:val="18"/>
          <w:szCs w:val="18"/>
          <w:lang w:val="es-ES"/>
        </w:rPr>
        <w:t xml:space="preserve"> Vs. Paraguay. Fondo, Reparaciones y Costas. Sentencia de 31 de agosto de 2004. Serie C No. 111, párr.79</w:t>
      </w:r>
      <w:r w:rsidR="00C909A0">
        <w:rPr>
          <w:rFonts w:ascii="Verdana" w:hAnsi="Verdana" w:cs="Times New Roman"/>
          <w:b/>
          <w:sz w:val="18"/>
          <w:szCs w:val="18"/>
          <w:lang w:val="es-ES"/>
        </w:rPr>
        <w:t>]</w:t>
      </w:r>
      <w:r w:rsidRPr="00D86945">
        <w:rPr>
          <w:rFonts w:ascii="Verdana" w:hAnsi="Verdana" w:cs="Times New Roman"/>
          <w:b/>
          <w:sz w:val="18"/>
          <w:szCs w:val="18"/>
          <w:lang w:val="es-ES"/>
        </w:rPr>
        <w:t>.</w:t>
      </w:r>
    </w:p>
    <w:p w14:paraId="75A45C56" w14:textId="14D2D59C" w:rsidR="00987FF9" w:rsidRPr="00D86945" w:rsidRDefault="00987FF9" w:rsidP="004F4FE7">
      <w:pPr>
        <w:spacing w:line="240" w:lineRule="auto"/>
        <w:ind w:right="49"/>
        <w:jc w:val="both"/>
        <w:rPr>
          <w:rFonts w:ascii="Verdana" w:hAnsi="Verdana" w:cs="Times New Roman"/>
          <w:b/>
          <w:sz w:val="20"/>
          <w:szCs w:val="20"/>
          <w:lang w:val="es-ES"/>
        </w:rPr>
      </w:pPr>
      <w:r w:rsidRPr="00D86945">
        <w:rPr>
          <w:rFonts w:ascii="Verdana" w:hAnsi="Verdana" w:cs="Times New Roman"/>
          <w:b/>
          <w:sz w:val="20"/>
          <w:szCs w:val="20"/>
          <w:lang w:val="es-ES"/>
        </w:rPr>
        <w:t>Corte IDH. Caso "La Última Tentación de Cristo" (Olmedo Bustos y otros) Vs. Chile. Fondo, Reparaciones y Costas. Sentencia de 5 de febrero de 2001. Serie C No. 73</w:t>
      </w:r>
      <w:r w:rsidR="00C909A0">
        <w:rPr>
          <w:rFonts w:ascii="Verdana" w:hAnsi="Verdana" w:cs="Times New Roman"/>
          <w:b/>
          <w:sz w:val="20"/>
          <w:szCs w:val="20"/>
          <w:lang w:val="es-ES"/>
        </w:rPr>
        <w:t>.</w:t>
      </w:r>
    </w:p>
    <w:p w14:paraId="4333AA67" w14:textId="4E660BAC" w:rsidR="00987FF9" w:rsidRPr="00D86945" w:rsidRDefault="00987FF9" w:rsidP="004F4FE7">
      <w:pPr>
        <w:spacing w:line="240" w:lineRule="auto"/>
        <w:ind w:right="49"/>
        <w:jc w:val="both"/>
        <w:rPr>
          <w:rFonts w:ascii="Verdana" w:hAnsi="Verdana" w:cs="Times New Roman"/>
          <w:b/>
          <w:i/>
          <w:sz w:val="20"/>
          <w:szCs w:val="20"/>
        </w:rPr>
      </w:pPr>
      <w:r w:rsidRPr="00D86945">
        <w:rPr>
          <w:rFonts w:ascii="Verdana" w:hAnsi="Verdana" w:cs="Times New Roman"/>
          <w:sz w:val="20"/>
          <w:szCs w:val="20"/>
        </w:rPr>
        <w:t>67.</w:t>
      </w:r>
      <w:r w:rsidRPr="00D86945">
        <w:rPr>
          <w:rFonts w:ascii="Verdana" w:hAnsi="Verdana" w:cs="Times New Roman"/>
          <w:sz w:val="20"/>
          <w:szCs w:val="20"/>
        </w:rPr>
        <w:tab/>
        <w:t>La Corte considera que ambas dimensiones poseen igual importancia y deben ser garantizadas en forma simultánea para dar efectividad total al derecho a la libertad de pensamiento y de expresión en los términos previstos</w:t>
      </w:r>
      <w:r w:rsidRPr="00D86945">
        <w:rPr>
          <w:rFonts w:ascii="Verdana" w:hAnsi="Verdana" w:cs="Times New Roman"/>
          <w:b/>
          <w:sz w:val="20"/>
          <w:szCs w:val="20"/>
        </w:rPr>
        <w:t xml:space="preserve"> </w:t>
      </w:r>
      <w:r w:rsidRPr="00D86945">
        <w:rPr>
          <w:rFonts w:ascii="Verdana" w:hAnsi="Verdana" w:cs="Times New Roman"/>
          <w:sz w:val="20"/>
          <w:szCs w:val="20"/>
        </w:rPr>
        <w:t xml:space="preserve">por el artículo 13 de la Convención. </w:t>
      </w:r>
      <w:r w:rsidR="00C909A0">
        <w:rPr>
          <w:rFonts w:ascii="Verdana" w:hAnsi="Verdana" w:cs="Times New Roman"/>
          <w:b/>
          <w:bCs/>
          <w:sz w:val="20"/>
          <w:szCs w:val="20"/>
        </w:rPr>
        <w:t>[</w:t>
      </w:r>
      <w:r w:rsidR="002A5747">
        <w:rPr>
          <w:rFonts w:ascii="Verdana" w:hAnsi="Verdana" w:cs="Times New Roman"/>
          <w:b/>
          <w:sz w:val="18"/>
          <w:szCs w:val="18"/>
        </w:rPr>
        <w:t>En similar sentido, ver entre otros:</w:t>
      </w:r>
      <w:r w:rsidRPr="00D86945">
        <w:rPr>
          <w:rFonts w:ascii="Verdana" w:hAnsi="Verdana" w:cs="Times New Roman"/>
          <w:sz w:val="18"/>
          <w:szCs w:val="18"/>
        </w:rPr>
        <w:t xml:space="preserve"> </w:t>
      </w:r>
      <w:r w:rsidRPr="00D86945">
        <w:rPr>
          <w:rFonts w:ascii="Verdana" w:hAnsi="Verdana" w:cs="Times New Roman"/>
          <w:b/>
          <w:sz w:val="18"/>
          <w:szCs w:val="18"/>
        </w:rPr>
        <w:t xml:space="preserve">Caso </w:t>
      </w:r>
      <w:proofErr w:type="spellStart"/>
      <w:r w:rsidRPr="00D86945">
        <w:rPr>
          <w:rFonts w:ascii="Verdana" w:hAnsi="Verdana" w:cs="Times New Roman"/>
          <w:b/>
          <w:sz w:val="18"/>
          <w:szCs w:val="18"/>
        </w:rPr>
        <w:t>Ivcher</w:t>
      </w:r>
      <w:proofErr w:type="spellEnd"/>
      <w:r w:rsidRPr="00D86945">
        <w:rPr>
          <w:rFonts w:ascii="Verdana" w:hAnsi="Verdana" w:cs="Times New Roman"/>
          <w:b/>
          <w:sz w:val="18"/>
          <w:szCs w:val="18"/>
        </w:rPr>
        <w:t xml:space="preserve"> </w:t>
      </w:r>
      <w:proofErr w:type="spellStart"/>
      <w:r w:rsidRPr="00D86945">
        <w:rPr>
          <w:rFonts w:ascii="Verdana" w:hAnsi="Verdana" w:cs="Times New Roman"/>
          <w:b/>
          <w:sz w:val="18"/>
          <w:szCs w:val="18"/>
        </w:rPr>
        <w:t>Bronstein</w:t>
      </w:r>
      <w:proofErr w:type="spellEnd"/>
      <w:r w:rsidRPr="00D86945">
        <w:rPr>
          <w:rFonts w:ascii="Verdana" w:hAnsi="Verdana" w:cs="Times New Roman"/>
          <w:b/>
          <w:sz w:val="18"/>
          <w:szCs w:val="18"/>
        </w:rPr>
        <w:t xml:space="preserve"> Vs. Perú. Fondo, Reparaciones y Costas. Sentencia de 6 de febrero de 2001. Serie C No. 74, párr.146 y 149; Caso Herrera Ulloa Vs. Costa Rica. Excepciones Preliminares, Fondo, Reparaciones y Costas. Sentencia de 2 de julio de 2004. Serie C No. 107, párr.111; Caso Ricardo </w:t>
      </w:r>
      <w:proofErr w:type="spellStart"/>
      <w:r w:rsidRPr="00D86945">
        <w:rPr>
          <w:rFonts w:ascii="Verdana" w:hAnsi="Verdana" w:cs="Times New Roman"/>
          <w:b/>
          <w:sz w:val="18"/>
          <w:szCs w:val="18"/>
        </w:rPr>
        <w:t>Canese</w:t>
      </w:r>
      <w:proofErr w:type="spellEnd"/>
      <w:r w:rsidRPr="00D86945">
        <w:rPr>
          <w:rFonts w:ascii="Verdana" w:hAnsi="Verdana" w:cs="Times New Roman"/>
          <w:b/>
          <w:sz w:val="18"/>
          <w:szCs w:val="18"/>
        </w:rPr>
        <w:t xml:space="preserve"> Vs. Paraguay. Fondo, Reparaciones y Costas. Sentencia de 31 de agosto de 2004. Serie C No. 111, párr.80; Caso Vélez Restrepo y familiares Vs. Colombia. Excepción Preliminar, Fondo, Reparaciones y Costas. Sentencia de 3 de septiembre de 2012. Serie C No. 248, párr.137; Caso </w:t>
      </w:r>
      <w:proofErr w:type="spellStart"/>
      <w:r w:rsidRPr="00D86945">
        <w:rPr>
          <w:rFonts w:ascii="Verdana" w:hAnsi="Verdana" w:cs="Times New Roman"/>
          <w:b/>
          <w:sz w:val="18"/>
          <w:szCs w:val="18"/>
        </w:rPr>
        <w:t>Granier</w:t>
      </w:r>
      <w:proofErr w:type="spellEnd"/>
      <w:r w:rsidRPr="00D86945">
        <w:rPr>
          <w:rFonts w:ascii="Verdana" w:hAnsi="Verdana" w:cs="Times New Roman"/>
          <w:b/>
          <w:sz w:val="18"/>
          <w:szCs w:val="18"/>
        </w:rPr>
        <w:t xml:space="preserve"> y otros (Radio Caracas Televisión) Vs. Venezuela. Excepciones Preliminares, Fondo, Reparaciones y Costas. Sentencia de 22 de junio de 2015. Serie C No. 293, párr.135</w:t>
      </w:r>
      <w:r w:rsidR="004A0CF5" w:rsidRPr="00D86945">
        <w:rPr>
          <w:rFonts w:ascii="Verdana" w:hAnsi="Verdana" w:cs="Times New Roman"/>
          <w:b/>
          <w:sz w:val="18"/>
          <w:szCs w:val="18"/>
        </w:rPr>
        <w:t xml:space="preserve">; </w:t>
      </w:r>
      <w:r w:rsidR="00011742">
        <w:rPr>
          <w:rFonts w:ascii="Verdana" w:hAnsi="Verdana" w:cs="Times New Roman"/>
          <w:b/>
          <w:sz w:val="18"/>
          <w:szCs w:val="18"/>
        </w:rPr>
        <w:t xml:space="preserve">y </w:t>
      </w:r>
      <w:r w:rsidR="004A0CF5" w:rsidRPr="00D86945">
        <w:rPr>
          <w:rFonts w:ascii="Verdana" w:hAnsi="Verdana"/>
          <w:b/>
          <w:sz w:val="18"/>
          <w:szCs w:val="18"/>
        </w:rPr>
        <w:t>Caso Lagos del Campo Vs. Perú. Excepciones Preliminares, Fondo, Reparaciones y Costas. Sentencia de 31 de agosto de 2017. Serie C No. 340, párr. 89</w:t>
      </w:r>
      <w:r w:rsidR="00C909A0">
        <w:rPr>
          <w:rFonts w:ascii="Verdana" w:hAnsi="Verdana"/>
          <w:b/>
          <w:sz w:val="18"/>
          <w:szCs w:val="18"/>
        </w:rPr>
        <w:t>]</w:t>
      </w:r>
      <w:r w:rsidRPr="00D86945">
        <w:rPr>
          <w:rFonts w:ascii="Verdana" w:hAnsi="Verdana" w:cs="Times New Roman"/>
          <w:b/>
          <w:sz w:val="18"/>
          <w:szCs w:val="18"/>
        </w:rPr>
        <w:t>.</w:t>
      </w:r>
    </w:p>
    <w:p w14:paraId="301D0231" w14:textId="1EE810ED"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84. </w:t>
      </w:r>
      <w:r w:rsidRPr="00D86945">
        <w:rPr>
          <w:rFonts w:ascii="Verdana" w:hAnsi="Verdana" w:cs="Times New Roman"/>
          <w:sz w:val="20"/>
          <w:szCs w:val="20"/>
          <w:lang w:val="es-ES"/>
        </w:rPr>
        <w:tab/>
        <w:t xml:space="preserve">Según las disposiciones citadas, la Ley No. 4420 autoriza el ejercicio del periodismo remunerado solamente a quienes sean miembros del Colegio, con algunas excepciones que no tienen entidad suficiente a los efectos del presente análisis. Dicha ley restringe igualmente el acceso al Colegio a quienes sean egresados de determinada escuela universitaria. Este régimen contradice la Convención por cuanto impone una restricción no justificada, según el artículo 13.2 de la misma, a la libertad de pensamiento y expresión como derecho que corresponde a todo ser humano; y, además, porque restringe también indebidamente el derecho de la colectividad en general de recibir sin trabas información de cualquier fuente. </w:t>
      </w:r>
    </w:p>
    <w:p w14:paraId="57903E73" w14:textId="77777777" w:rsidR="00987FF9" w:rsidRPr="00D86945" w:rsidRDefault="00987FF9" w:rsidP="004F4FE7">
      <w:pPr>
        <w:spacing w:line="240" w:lineRule="auto"/>
        <w:ind w:right="49"/>
        <w:jc w:val="both"/>
        <w:rPr>
          <w:rFonts w:ascii="Verdana" w:hAnsi="Verdana" w:cs="Times New Roman"/>
          <w:b/>
          <w:i/>
          <w:sz w:val="20"/>
          <w:szCs w:val="20"/>
        </w:rPr>
      </w:pPr>
    </w:p>
    <w:p w14:paraId="237881EE" w14:textId="42A4B6EC"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b/>
          <w:sz w:val="20"/>
          <w:szCs w:val="20"/>
        </w:rPr>
        <w:lastRenderedPageBreak/>
        <w:t xml:space="preserve">Corte IDH. Caso Ricardo </w:t>
      </w:r>
      <w:proofErr w:type="spellStart"/>
      <w:r w:rsidRPr="00D86945">
        <w:rPr>
          <w:rFonts w:ascii="Verdana" w:hAnsi="Verdana" w:cs="Times New Roman"/>
          <w:b/>
          <w:sz w:val="20"/>
          <w:szCs w:val="20"/>
        </w:rPr>
        <w:t>Canese</w:t>
      </w:r>
      <w:proofErr w:type="spellEnd"/>
      <w:r w:rsidRPr="00D86945">
        <w:rPr>
          <w:rFonts w:ascii="Verdana" w:hAnsi="Verdana" w:cs="Times New Roman"/>
          <w:b/>
          <w:sz w:val="20"/>
          <w:szCs w:val="20"/>
        </w:rPr>
        <w:t xml:space="preserve"> Vs. Paraguay. Fondo, Reparaciones y Costas. Sentencia de 31 de agosto de 2004. Serie C No. 111</w:t>
      </w:r>
      <w:r w:rsidRPr="00D86945">
        <w:rPr>
          <w:rFonts w:ascii="Verdana" w:hAnsi="Verdana" w:cs="Times New Roman"/>
          <w:sz w:val="20"/>
          <w:szCs w:val="20"/>
        </w:rPr>
        <w:t>.</w:t>
      </w:r>
      <w:r w:rsidRPr="00D86945">
        <w:rPr>
          <w:rStyle w:val="Refdenotaalpie"/>
          <w:rFonts w:ascii="Verdana" w:hAnsi="Verdana"/>
          <w:b/>
          <w:bCs/>
          <w:sz w:val="20"/>
          <w:szCs w:val="20"/>
        </w:rPr>
        <w:footnoteReference w:id="11"/>
      </w:r>
    </w:p>
    <w:p w14:paraId="53B8A01C" w14:textId="611D46B3" w:rsidR="00987FF9" w:rsidRPr="00D86945" w:rsidRDefault="00987FF9" w:rsidP="004F4FE7">
      <w:pPr>
        <w:pStyle w:val="Textoindependiente"/>
        <w:spacing w:line="240" w:lineRule="auto"/>
        <w:ind w:right="49"/>
        <w:rPr>
          <w:rFonts w:ascii="Verdana" w:hAnsi="Verdana"/>
          <w:sz w:val="20"/>
        </w:rPr>
      </w:pPr>
      <w:r w:rsidRPr="00D86945">
        <w:rPr>
          <w:rFonts w:ascii="Verdana" w:hAnsi="Verdana"/>
          <w:sz w:val="20"/>
        </w:rPr>
        <w:t>81.</w:t>
      </w:r>
      <w:r w:rsidRPr="00D86945">
        <w:rPr>
          <w:rFonts w:ascii="Verdana" w:hAnsi="Verdana"/>
          <w:sz w:val="20"/>
        </w:rPr>
        <w:tab/>
        <w:t xml:space="preserve">En el presente caso, las declaraciones por las que el señor </w:t>
      </w:r>
      <w:proofErr w:type="spellStart"/>
      <w:r w:rsidRPr="00D86945">
        <w:rPr>
          <w:rFonts w:ascii="Verdana" w:hAnsi="Verdana"/>
          <w:sz w:val="20"/>
        </w:rPr>
        <w:t>Canese</w:t>
      </w:r>
      <w:proofErr w:type="spellEnd"/>
      <w:r w:rsidRPr="00D86945">
        <w:rPr>
          <w:rFonts w:ascii="Verdana" w:hAnsi="Verdana"/>
          <w:sz w:val="20"/>
        </w:rPr>
        <w:t xml:space="preserve"> fue querellado, efectuadas en el marco de la contienda electoral y publicadas en dos diarios paraguayos, permitían el ejercicio de la libertad de expresión en sus dos dimensiones. Por un lado permitían al señor </w:t>
      </w:r>
      <w:proofErr w:type="spellStart"/>
      <w:r w:rsidRPr="00D86945">
        <w:rPr>
          <w:rFonts w:ascii="Verdana" w:hAnsi="Verdana"/>
          <w:sz w:val="20"/>
        </w:rPr>
        <w:t>Canese</w:t>
      </w:r>
      <w:proofErr w:type="spellEnd"/>
      <w:r w:rsidRPr="00D86945">
        <w:rPr>
          <w:rFonts w:ascii="Verdana" w:hAnsi="Verdana"/>
          <w:sz w:val="20"/>
        </w:rPr>
        <w:t xml:space="preserve"> difundir la información con que contaba respecto de uno de los candidatos adversarios y, por otra parte, fomentaban el intercambio de información con los electores, brindándoles mayores elementos para la formación de su criterio y la toma de decisiones en relación con la elección del futuro Presidente de la República.</w:t>
      </w:r>
    </w:p>
    <w:p w14:paraId="032E421B" w14:textId="440A46F6"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b/>
          <w:sz w:val="20"/>
          <w:szCs w:val="20"/>
        </w:rPr>
        <w:t>Corte IDH. Caso Palamara Iribarne Vs. Chile. Fondo, Reparaciones y Costas. Sentencia de 22 de noviembre de 2005. Serie C No. 135</w:t>
      </w:r>
      <w:r w:rsidRPr="00D86945">
        <w:rPr>
          <w:rFonts w:ascii="Verdana" w:hAnsi="Verdana" w:cs="Times New Roman"/>
          <w:sz w:val="20"/>
          <w:szCs w:val="20"/>
        </w:rPr>
        <w:t>.</w:t>
      </w:r>
      <w:r w:rsidRPr="00D86945">
        <w:rPr>
          <w:rStyle w:val="Refdenotaalpie"/>
          <w:rFonts w:ascii="Verdana" w:hAnsi="Verdana"/>
          <w:b/>
          <w:sz w:val="20"/>
          <w:szCs w:val="20"/>
        </w:rPr>
        <w:footnoteReference w:id="12"/>
      </w:r>
    </w:p>
    <w:p w14:paraId="2B707430" w14:textId="597C6A0C" w:rsidR="00987FF9" w:rsidRPr="00D86945" w:rsidRDefault="00987FF9" w:rsidP="004F4FE7">
      <w:pPr>
        <w:pStyle w:val="Textoindependiente"/>
        <w:tabs>
          <w:tab w:val="left" w:pos="360"/>
        </w:tabs>
        <w:spacing w:line="240" w:lineRule="auto"/>
        <w:ind w:right="49"/>
        <w:rPr>
          <w:rFonts w:ascii="Verdana" w:hAnsi="Verdana"/>
          <w:sz w:val="20"/>
          <w:lang w:val="es-ES_tradnl"/>
        </w:rPr>
      </w:pPr>
      <w:r w:rsidRPr="00D86945">
        <w:rPr>
          <w:rFonts w:ascii="Verdana" w:hAnsi="Verdana"/>
          <w:sz w:val="20"/>
          <w:lang w:val="es-ES_tradnl"/>
        </w:rPr>
        <w:t>69.</w:t>
      </w:r>
      <w:r w:rsidRPr="00D86945">
        <w:rPr>
          <w:rFonts w:ascii="Verdana" w:hAnsi="Verdana"/>
          <w:sz w:val="20"/>
          <w:lang w:val="es-ES_tradnl"/>
        </w:rPr>
        <w:tab/>
        <w:t>El libro “Ética y Servicios de Inteligencia”, así como las declaraciones efectuadas por el señor Palamara Iribarne que fueron publicadas en medios de comunicación, implicaban el ejercicio del derecho a la libertad de pensamiento y de expresión, mediante la difusión de sus pensamientos e ideas sobre aspectos relacionados con la necesidad de que el “personal de inteligencia”, en aras de evitar violaciones a los derechos humanos, se rigiera por “conductas éticas”, así como permitían expresar sus puntos de vista sobre los procesos o el trato de las autoridades al que se vieron sometidos él y su familia.</w:t>
      </w:r>
      <w:r w:rsidR="00D35646" w:rsidRPr="00D86945">
        <w:rPr>
          <w:rFonts w:ascii="Verdana" w:hAnsi="Verdana"/>
          <w:sz w:val="20"/>
          <w:lang w:val="es-ES_tradnl"/>
        </w:rPr>
        <w:t xml:space="preserve"> </w:t>
      </w:r>
      <w:r w:rsidRPr="00D86945">
        <w:rPr>
          <w:rFonts w:ascii="Verdana" w:hAnsi="Verdana"/>
          <w:sz w:val="20"/>
          <w:lang w:val="es-ES_tradnl"/>
        </w:rPr>
        <w:t>Por otra parte, también fomentaban la dimensión social de dicho derecho, mediante el acceso de los lectores a la información contenida en el libro y a las referidas opiniones e ideas vertidas por el señor Palamara Iribarne.</w:t>
      </w:r>
      <w:r w:rsidR="00D35646" w:rsidRPr="00D86945">
        <w:rPr>
          <w:rFonts w:ascii="Verdana" w:hAnsi="Verdana"/>
          <w:sz w:val="20"/>
          <w:lang w:val="es-ES_tradnl"/>
        </w:rPr>
        <w:t xml:space="preserve"> </w:t>
      </w:r>
      <w:r w:rsidRPr="00D86945">
        <w:rPr>
          <w:rFonts w:ascii="Verdana" w:hAnsi="Verdana"/>
          <w:sz w:val="20"/>
          <w:lang w:val="es-ES_tradnl"/>
        </w:rPr>
        <w:t>El concepto de la doble dimensión individual y social de la libertad de pensamiento y de expresión, así como su interdependencia, han sido desarrollados en reiteradas ocasiones por la Corte.</w:t>
      </w:r>
    </w:p>
    <w:p w14:paraId="27A29361" w14:textId="77777777" w:rsidR="00C909A0" w:rsidRDefault="00C909A0" w:rsidP="004F4FE7">
      <w:pPr>
        <w:spacing w:line="240" w:lineRule="auto"/>
        <w:ind w:right="49"/>
        <w:jc w:val="both"/>
        <w:rPr>
          <w:rFonts w:ascii="Verdana" w:hAnsi="Verdana"/>
          <w:b/>
          <w:sz w:val="20"/>
          <w:szCs w:val="20"/>
        </w:rPr>
      </w:pPr>
    </w:p>
    <w:p w14:paraId="55D2FF18" w14:textId="77777777" w:rsidR="00C909A0" w:rsidRDefault="00C909A0" w:rsidP="004F4FE7">
      <w:pPr>
        <w:spacing w:line="240" w:lineRule="auto"/>
        <w:ind w:right="49"/>
        <w:jc w:val="both"/>
        <w:rPr>
          <w:rFonts w:ascii="Verdana" w:hAnsi="Verdana"/>
          <w:b/>
          <w:sz w:val="20"/>
          <w:szCs w:val="20"/>
        </w:rPr>
      </w:pPr>
    </w:p>
    <w:p w14:paraId="4B735AEE" w14:textId="77777777" w:rsidR="00C909A0" w:rsidRDefault="00C909A0" w:rsidP="004F4FE7">
      <w:pPr>
        <w:spacing w:line="240" w:lineRule="auto"/>
        <w:ind w:right="49"/>
        <w:jc w:val="both"/>
        <w:rPr>
          <w:rFonts w:ascii="Verdana" w:hAnsi="Verdana"/>
          <w:b/>
          <w:sz w:val="20"/>
          <w:szCs w:val="20"/>
        </w:rPr>
      </w:pPr>
    </w:p>
    <w:p w14:paraId="3DD52851" w14:textId="77777777" w:rsidR="00C909A0" w:rsidRDefault="00C909A0" w:rsidP="004F4FE7">
      <w:pPr>
        <w:spacing w:line="240" w:lineRule="auto"/>
        <w:ind w:right="49"/>
        <w:jc w:val="both"/>
        <w:rPr>
          <w:rFonts w:ascii="Verdana" w:hAnsi="Verdana"/>
          <w:b/>
          <w:sz w:val="20"/>
          <w:szCs w:val="20"/>
        </w:rPr>
      </w:pPr>
    </w:p>
    <w:p w14:paraId="69476E46" w14:textId="77777777" w:rsidR="00C909A0" w:rsidRDefault="00C909A0" w:rsidP="004F4FE7">
      <w:pPr>
        <w:spacing w:line="240" w:lineRule="auto"/>
        <w:ind w:right="49"/>
        <w:jc w:val="both"/>
        <w:rPr>
          <w:rFonts w:ascii="Verdana" w:hAnsi="Verdana"/>
          <w:b/>
          <w:sz w:val="20"/>
          <w:szCs w:val="20"/>
        </w:rPr>
      </w:pPr>
    </w:p>
    <w:p w14:paraId="62AFCBC0" w14:textId="77777777" w:rsidR="00C909A0" w:rsidRDefault="00C909A0" w:rsidP="004F4FE7">
      <w:pPr>
        <w:spacing w:line="240" w:lineRule="auto"/>
        <w:ind w:right="49"/>
        <w:jc w:val="both"/>
        <w:rPr>
          <w:rFonts w:ascii="Verdana" w:hAnsi="Verdana"/>
          <w:b/>
          <w:sz w:val="20"/>
          <w:szCs w:val="20"/>
        </w:rPr>
      </w:pPr>
    </w:p>
    <w:p w14:paraId="47CA9E9C" w14:textId="745E5A01"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lastRenderedPageBreak/>
        <w:t>Corte IDH. Caso Vélez Restrepo y familiares Vs. Colombia. Excepción Preliminar, Fondo, Reparaciones y Costas. Sentencia de 3 de septiembre de 2012. Serie C No. 248.</w:t>
      </w:r>
      <w:r w:rsidRPr="00D86945">
        <w:rPr>
          <w:rStyle w:val="Refdenotaalpie"/>
          <w:rFonts w:ascii="Verdana" w:hAnsi="Verdana"/>
          <w:b/>
          <w:sz w:val="20"/>
          <w:szCs w:val="20"/>
        </w:rPr>
        <w:footnoteReference w:id="13"/>
      </w:r>
    </w:p>
    <w:p w14:paraId="3FB7A134" w14:textId="4ECE316D" w:rsidR="00987FF9" w:rsidRPr="00D86945" w:rsidRDefault="00987FF9" w:rsidP="004F4FE7">
      <w:pPr>
        <w:spacing w:line="240" w:lineRule="auto"/>
        <w:ind w:right="49"/>
        <w:jc w:val="both"/>
        <w:rPr>
          <w:rFonts w:ascii="Verdana" w:hAnsi="Verdana"/>
          <w:b/>
          <w:sz w:val="18"/>
          <w:szCs w:val="18"/>
          <w:lang w:val="es-CL"/>
        </w:rPr>
      </w:pPr>
      <w:r w:rsidRPr="00D86945">
        <w:rPr>
          <w:rFonts w:ascii="Verdana" w:hAnsi="Verdana"/>
          <w:sz w:val="20"/>
          <w:szCs w:val="20"/>
        </w:rPr>
        <w:t>138.</w:t>
      </w:r>
      <w:r w:rsidRPr="00D86945">
        <w:rPr>
          <w:rFonts w:ascii="Verdana" w:hAnsi="Verdana"/>
          <w:sz w:val="20"/>
          <w:szCs w:val="20"/>
        </w:rPr>
        <w:tab/>
        <w:t xml:space="preserve"> La primera dimensión de la libertad de expresión comprende el derecho a utilizar cualquier medio apropiado para difundir opiniones, ideas e información y hacerlo llegar al mayor número de destinatarios. En este sentido, la expresión y la difusión son indivisibles, de modo que una restricción de las posibilidades de divulgación representa directamente, y en la misma medida, un límite al derecho de expresarse libremente</w:t>
      </w:r>
      <w:r w:rsidR="00215583">
        <w:rPr>
          <w:rFonts w:ascii="Verdana" w:hAnsi="Verdana"/>
          <w:sz w:val="20"/>
          <w:szCs w:val="20"/>
        </w:rPr>
        <w:t>.</w:t>
      </w:r>
      <w:r w:rsidRPr="00D86945">
        <w:rPr>
          <w:rFonts w:ascii="Verdana" w:hAnsi="Verdana"/>
          <w:sz w:val="20"/>
          <w:szCs w:val="20"/>
        </w:rPr>
        <w:t xml:space="preserve"> Con respecto a la segunda dimensión del derecho a la libertad de expresión esto es, la social, la Corte ha señalado que la libertad de expresión implica también el derecho de todos a conocer opiniones, relatos y noticias vertidas por terceros. Para el ciudadano común tiene tanta importancia el conocimiento de la opinión ajena o de la información de que disponen otros como el derecho a difundir la propia. Es por ello que a la luz de ambas dimensiones, la libertad de expresión requiere, por un lado, que nadie sea arbitrariamente menoscabado o impedido de manifestar su propio pensamiento y representa, por tanto, un derecho de cada individuo; pero implica también, por otro lado, un derecho colectivo a recibir cualquier información y a conocer la expresión del pensamiento ajeno</w:t>
      </w:r>
      <w:r w:rsidRPr="00D86945">
        <w:rPr>
          <w:rFonts w:ascii="Verdana" w:hAnsi="Verdana"/>
          <w:b/>
          <w:sz w:val="20"/>
          <w:szCs w:val="20"/>
        </w:rPr>
        <w:t xml:space="preserve">. </w:t>
      </w:r>
      <w:r w:rsidR="00C909A0">
        <w:rPr>
          <w:rFonts w:ascii="Verdana" w:hAnsi="Verdana"/>
          <w:b/>
          <w:sz w:val="20"/>
          <w:szCs w:val="20"/>
        </w:rPr>
        <w:t>[</w:t>
      </w:r>
      <w:r w:rsidR="002A5747">
        <w:rPr>
          <w:rFonts w:ascii="Verdana" w:hAnsi="Verdana"/>
          <w:b/>
          <w:sz w:val="18"/>
          <w:szCs w:val="18"/>
        </w:rPr>
        <w:t>En similar sentido, ver entre otros:</w:t>
      </w:r>
      <w:r w:rsidRPr="00D86945">
        <w:rPr>
          <w:rFonts w:ascii="Verdana" w:hAnsi="Verdana"/>
          <w:sz w:val="18"/>
          <w:szCs w:val="18"/>
        </w:rPr>
        <w:t xml:space="preserve"> </w:t>
      </w:r>
      <w:r w:rsidRPr="00D86945">
        <w:rPr>
          <w:rFonts w:ascii="Verdana" w:hAnsi="Verdana"/>
          <w:b/>
          <w:sz w:val="18"/>
          <w:szCs w:val="18"/>
        </w:rPr>
        <w:t xml:space="preserve">Caso </w:t>
      </w:r>
      <w:proofErr w:type="spellStart"/>
      <w:r w:rsidRPr="00D86945">
        <w:rPr>
          <w:rFonts w:ascii="Verdana" w:hAnsi="Verdana"/>
          <w:b/>
          <w:sz w:val="18"/>
          <w:szCs w:val="18"/>
        </w:rPr>
        <w:t>Mémoli</w:t>
      </w:r>
      <w:proofErr w:type="spellEnd"/>
      <w:r w:rsidRPr="00D86945">
        <w:rPr>
          <w:rFonts w:ascii="Verdana" w:hAnsi="Verdana"/>
          <w:b/>
          <w:sz w:val="18"/>
          <w:szCs w:val="18"/>
        </w:rPr>
        <w:t xml:space="preserve"> Vs. Argentina. Excepciones Preliminares, Fondo, Reparaciones y Costas. Sentencia de 22 de agosto de 2013. Serie C No. 265, párr.119; Caso Norín Catrimán y otros (Dirigentes, miembros y activista del Pueblo Indígena Mapuche) Vs. Chile. Fondo, Reparaciones y Costas. Sentencia de 29 de mayo de 2014. Serie C No. 279, párr.371; Caso </w:t>
      </w:r>
      <w:proofErr w:type="spellStart"/>
      <w:r w:rsidRPr="00D86945">
        <w:rPr>
          <w:rFonts w:ascii="Verdana" w:hAnsi="Verdana"/>
          <w:b/>
          <w:sz w:val="18"/>
          <w:szCs w:val="18"/>
        </w:rPr>
        <w:t>Granier</w:t>
      </w:r>
      <w:proofErr w:type="spellEnd"/>
      <w:r w:rsidRPr="00D86945">
        <w:rPr>
          <w:rFonts w:ascii="Verdana" w:hAnsi="Verdana"/>
          <w:b/>
          <w:sz w:val="18"/>
          <w:szCs w:val="18"/>
        </w:rPr>
        <w:t xml:space="preserve"> y otros (Radio Caracas Televisión) Vs. Venezuela. Excepciones Preliminares, Fondo, Reparaciones y Costas. Sentencia de 22 de junio de 2015. Serie C No. 293, párr.136; Caso López Lone y otros Vs. Honduras. Excepción Preliminar, Fondo, Reparaciones y Costas. Sentencia de 5 de octubre de 2015. Serie C No. 302, párr.166</w:t>
      </w:r>
      <w:r w:rsidR="004A0CF5" w:rsidRPr="00D86945">
        <w:rPr>
          <w:rFonts w:ascii="Verdana" w:hAnsi="Verdana"/>
          <w:b/>
          <w:sz w:val="18"/>
          <w:szCs w:val="18"/>
        </w:rPr>
        <w:t>; Caso Lagos del Campo Vs. Perú. Excepciones Preliminares, Fondo, Reparaciones y Costas. Sentencia de 31 de agosto de 2017. Serie C No. 340, párr. 89</w:t>
      </w:r>
      <w:r w:rsidR="00F676A3" w:rsidRPr="00D86945">
        <w:rPr>
          <w:rFonts w:ascii="Verdana" w:hAnsi="Verdana"/>
          <w:b/>
          <w:sz w:val="18"/>
          <w:szCs w:val="18"/>
        </w:rPr>
        <w:t xml:space="preserve">; </w:t>
      </w:r>
      <w:r w:rsidR="00011742">
        <w:rPr>
          <w:rFonts w:ascii="Verdana" w:hAnsi="Verdana"/>
          <w:b/>
          <w:bCs/>
          <w:sz w:val="18"/>
          <w:szCs w:val="18"/>
          <w:lang w:val="es-CL"/>
        </w:rPr>
        <w:t xml:space="preserve">y </w:t>
      </w:r>
      <w:r w:rsidR="00F676A3" w:rsidRPr="00D86945">
        <w:rPr>
          <w:rFonts w:ascii="Verdana" w:hAnsi="Verdana"/>
          <w:b/>
          <w:bCs/>
          <w:sz w:val="18"/>
          <w:szCs w:val="18"/>
          <w:lang w:val="es-CL"/>
        </w:rPr>
        <w:t xml:space="preserve">Caso Carvajal </w:t>
      </w:r>
      <w:proofErr w:type="spellStart"/>
      <w:r w:rsidR="00F676A3" w:rsidRPr="00D86945">
        <w:rPr>
          <w:rFonts w:ascii="Verdana" w:hAnsi="Verdana"/>
          <w:b/>
          <w:bCs/>
          <w:sz w:val="18"/>
          <w:szCs w:val="18"/>
          <w:lang w:val="es-CL"/>
        </w:rPr>
        <w:t>Carvajal</w:t>
      </w:r>
      <w:proofErr w:type="spellEnd"/>
      <w:r w:rsidR="00F676A3" w:rsidRPr="00D86945">
        <w:rPr>
          <w:rFonts w:ascii="Verdana" w:hAnsi="Verdana"/>
          <w:b/>
          <w:bCs/>
          <w:sz w:val="18"/>
          <w:szCs w:val="18"/>
          <w:lang w:val="es-CL"/>
        </w:rPr>
        <w:t xml:space="preserve"> y otros Vs. Colombia. Fondo, Reparaciones y Costas. Sentencia de 13 de marzo de 2018. Serie C No. 352</w:t>
      </w:r>
      <w:r w:rsidR="00F676A3" w:rsidRPr="00D86945">
        <w:rPr>
          <w:rFonts w:ascii="Verdana" w:hAnsi="Verdana"/>
          <w:b/>
          <w:sz w:val="18"/>
          <w:szCs w:val="18"/>
          <w:lang w:val="es-CL"/>
        </w:rPr>
        <w:t>, párr. 171</w:t>
      </w:r>
      <w:r w:rsidR="00C909A0">
        <w:rPr>
          <w:rFonts w:ascii="Verdana" w:hAnsi="Verdana"/>
          <w:b/>
          <w:sz w:val="18"/>
          <w:szCs w:val="18"/>
          <w:lang w:val="es-CL"/>
        </w:rPr>
        <w:t>]</w:t>
      </w:r>
      <w:r w:rsidRPr="00D86945">
        <w:rPr>
          <w:rFonts w:ascii="Verdana" w:hAnsi="Verdana"/>
          <w:b/>
          <w:sz w:val="18"/>
          <w:szCs w:val="18"/>
        </w:rPr>
        <w:t>.</w:t>
      </w:r>
    </w:p>
    <w:p w14:paraId="1BCCF913" w14:textId="63DC2B84" w:rsidR="00987FF9" w:rsidRPr="00D86945" w:rsidRDefault="00B109CC" w:rsidP="004F4FE7">
      <w:pPr>
        <w:spacing w:line="240" w:lineRule="auto"/>
        <w:ind w:right="51"/>
        <w:jc w:val="both"/>
        <w:rPr>
          <w:rFonts w:ascii="Verdana" w:hAnsi="Verdana" w:cs="Times New Roman"/>
          <w:b/>
          <w:bCs/>
          <w:sz w:val="20"/>
          <w:szCs w:val="20"/>
          <w:lang w:val="es-ES"/>
        </w:rPr>
      </w:pPr>
      <w:r w:rsidRPr="00D86945">
        <w:rPr>
          <w:rFonts w:ascii="Verdana" w:hAnsi="Verdana" w:cs="Times New Roman"/>
          <w:b/>
          <w:bCs/>
          <w:sz w:val="20"/>
          <w:szCs w:val="20"/>
          <w:lang w:val="es-ES"/>
        </w:rPr>
        <w:t>Corte IDH. Caso Álvarez Ramos Vs. Venezuela. Excepción Preliminar, Fondo, Reparaciones y Costas. Sentencia de 30 de agosto de 2019. Serie C No. 380.</w:t>
      </w:r>
      <w:r w:rsidR="00EA462A">
        <w:rPr>
          <w:rStyle w:val="Refdenotaalpie"/>
          <w:rFonts w:ascii="Verdana" w:hAnsi="Verdana" w:cs="Times New Roman"/>
          <w:b/>
          <w:bCs/>
          <w:sz w:val="20"/>
          <w:szCs w:val="20"/>
          <w:lang w:val="es-ES"/>
        </w:rPr>
        <w:footnoteReference w:id="14"/>
      </w:r>
    </w:p>
    <w:p w14:paraId="51A17901" w14:textId="271808A4" w:rsidR="00B109CC" w:rsidRPr="00D86945" w:rsidRDefault="00B109CC"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93. El derecho a la libertad de pensamiento y expresión está contemplado en el artículo 13 de la Convención. Asimismo, el artículo 4 de la Carta Democrática Interamericana,</w:t>
      </w:r>
      <w:r w:rsidR="00C909A0">
        <w:rPr>
          <w:rFonts w:ascii="Verdana" w:hAnsi="Verdana" w:cs="Times New Roman"/>
          <w:sz w:val="20"/>
          <w:szCs w:val="20"/>
          <w:lang w:val="es-ES"/>
        </w:rPr>
        <w:t xml:space="preserve"> </w:t>
      </w:r>
      <w:r w:rsidRPr="00D86945">
        <w:rPr>
          <w:rFonts w:ascii="Verdana" w:hAnsi="Verdana" w:cs="Times New Roman"/>
          <w:sz w:val="20"/>
          <w:szCs w:val="20"/>
          <w:lang w:val="es-ES"/>
        </w:rPr>
        <w:t>instrumento interpretativo de la Carta de la OEA y de la misma Convención, la considera como componente fundamental de la democracia.</w:t>
      </w:r>
    </w:p>
    <w:p w14:paraId="6156530F" w14:textId="067C866E" w:rsidR="00B109CC" w:rsidRPr="00D86945" w:rsidRDefault="00B109CC"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 xml:space="preserve">94. La Corte ha señalado anteriormente, respecto al contenido de la libertad de pensamiento y de expresión, que quienes están bajo la protección de la Convención tienen el derecho de buscar, recibir y difundir ideas e informaciones de toda índole, </w:t>
      </w:r>
      <w:r w:rsidRPr="00D86945">
        <w:rPr>
          <w:rFonts w:ascii="Verdana" w:hAnsi="Verdana" w:cs="Times New Roman"/>
          <w:sz w:val="20"/>
          <w:szCs w:val="20"/>
          <w:lang w:val="es-ES"/>
        </w:rPr>
        <w:lastRenderedPageBreak/>
        <w:t xml:space="preserve">así como también el de recibir y conocer las informaciones e ideas difundidas por los demás98. Es por ello </w:t>
      </w:r>
      <w:proofErr w:type="gramStart"/>
      <w:r w:rsidRPr="00D86945">
        <w:rPr>
          <w:rFonts w:ascii="Verdana" w:hAnsi="Verdana" w:cs="Times New Roman"/>
          <w:sz w:val="20"/>
          <w:szCs w:val="20"/>
          <w:lang w:val="es-ES"/>
        </w:rPr>
        <w:t>que</w:t>
      </w:r>
      <w:proofErr w:type="gramEnd"/>
      <w:r w:rsidRPr="00D86945">
        <w:rPr>
          <w:rFonts w:ascii="Verdana" w:hAnsi="Verdana" w:cs="Times New Roman"/>
          <w:sz w:val="20"/>
          <w:szCs w:val="20"/>
          <w:lang w:val="es-ES"/>
        </w:rPr>
        <w:t xml:space="preserve"> la libertad de expresión tiene una dimensión individual y una dimensión social:</w:t>
      </w:r>
    </w:p>
    <w:p w14:paraId="74DEED6D" w14:textId="4A5152E8" w:rsidR="00B109CC" w:rsidRPr="00D86945" w:rsidRDefault="00B109CC" w:rsidP="004F4FE7">
      <w:pPr>
        <w:spacing w:line="240" w:lineRule="auto"/>
        <w:ind w:left="1416" w:right="51"/>
        <w:jc w:val="both"/>
        <w:rPr>
          <w:rFonts w:ascii="Verdana" w:hAnsi="Verdana" w:cs="Times New Roman"/>
          <w:sz w:val="18"/>
          <w:szCs w:val="18"/>
          <w:lang w:val="es-ES"/>
        </w:rPr>
      </w:pPr>
      <w:r w:rsidRPr="00D86945">
        <w:rPr>
          <w:rFonts w:ascii="Verdana" w:hAnsi="Verdana" w:cs="Times New Roman"/>
          <w:sz w:val="18"/>
          <w:szCs w:val="18"/>
          <w:lang w:val="es-ES"/>
        </w:rPr>
        <w:t>[é]</w:t>
      </w:r>
      <w:proofErr w:type="spellStart"/>
      <w:r w:rsidRPr="00D86945">
        <w:rPr>
          <w:rFonts w:ascii="Verdana" w:hAnsi="Verdana" w:cs="Times New Roman"/>
          <w:sz w:val="18"/>
          <w:szCs w:val="18"/>
          <w:lang w:val="es-ES"/>
        </w:rPr>
        <w:t>sta</w:t>
      </w:r>
      <w:proofErr w:type="spellEnd"/>
      <w:r w:rsidRPr="00D86945">
        <w:rPr>
          <w:rFonts w:ascii="Verdana" w:hAnsi="Verdana" w:cs="Times New Roman"/>
          <w:sz w:val="18"/>
          <w:szCs w:val="18"/>
          <w:lang w:val="es-ES"/>
        </w:rPr>
        <w:t xml:space="preserve"> requiere, por un lado, que nadie sea arbitrariamente menoscabado o impedido de manifestar su propio pensamiento y representa, por tanto, un derecho de cada individuo; pero implica también, por otro lado, un derecho colectivo a recibir cualquier información y a conocer la expresión del pensamiento ajeno. </w:t>
      </w:r>
      <w:r w:rsidRPr="00C909A0">
        <w:rPr>
          <w:rFonts w:ascii="Verdana" w:hAnsi="Verdana" w:cs="Times New Roman"/>
          <w:b/>
          <w:bCs/>
          <w:sz w:val="18"/>
          <w:szCs w:val="18"/>
          <w:lang w:val="es-ES"/>
        </w:rPr>
        <w:t>[</w:t>
      </w:r>
      <w:r w:rsidRPr="00D86945">
        <w:rPr>
          <w:rFonts w:ascii="Verdana" w:hAnsi="Verdana" w:cs="Times New Roman"/>
          <w:b/>
          <w:bCs/>
          <w:sz w:val="16"/>
          <w:szCs w:val="16"/>
          <w:lang w:val="es-ES"/>
        </w:rPr>
        <w:t xml:space="preserve">En un sentido similar: La Colegiación Obligatoria de Periodistas (arts. 13 y 29 Convención Americana sobre Derechos Humanos). Opinión Consultiva OC-5/85 del 13 de noviembre de 1985. Serie A, No. 5, párr. 30; y Caso Carvajal </w:t>
      </w:r>
      <w:proofErr w:type="spellStart"/>
      <w:r w:rsidRPr="00D86945">
        <w:rPr>
          <w:rFonts w:ascii="Verdana" w:hAnsi="Verdana" w:cs="Times New Roman"/>
          <w:b/>
          <w:bCs/>
          <w:sz w:val="16"/>
          <w:szCs w:val="16"/>
          <w:lang w:val="es-ES"/>
        </w:rPr>
        <w:t>Carvajal</w:t>
      </w:r>
      <w:proofErr w:type="spellEnd"/>
      <w:r w:rsidRPr="00D86945">
        <w:rPr>
          <w:rFonts w:ascii="Verdana" w:hAnsi="Verdana" w:cs="Times New Roman"/>
          <w:b/>
          <w:bCs/>
          <w:sz w:val="16"/>
          <w:szCs w:val="16"/>
          <w:lang w:val="es-ES"/>
        </w:rPr>
        <w:t xml:space="preserve"> y otros Vs. Colombia. Fondo, Reparaciones y Costas. Sentencia de 13 de marzo de 2018, Serie C, No. 352, párr. 172</w:t>
      </w:r>
      <w:r w:rsidR="007A6631" w:rsidRPr="00D86945">
        <w:rPr>
          <w:rFonts w:ascii="Verdana" w:hAnsi="Verdana" w:cs="Times New Roman"/>
          <w:b/>
          <w:bCs/>
          <w:sz w:val="16"/>
          <w:szCs w:val="16"/>
          <w:lang w:val="es-ES"/>
        </w:rPr>
        <w:t xml:space="preserve"> y</w:t>
      </w:r>
      <w:r w:rsidR="0054279F" w:rsidRPr="00D86945">
        <w:rPr>
          <w:rFonts w:ascii="Verdana" w:hAnsi="Verdana" w:cs="Times New Roman"/>
          <w:b/>
          <w:bCs/>
          <w:sz w:val="16"/>
          <w:szCs w:val="16"/>
          <w:lang w:val="es-ES"/>
        </w:rPr>
        <w:t xml:space="preserve"> Caso Urrutia Laubreaux Vs. Chile. Excepciones Preliminares, Fondo, Reparaciones y Costas. Sentencia de 27 de agosto de 2020. Serie C No. 409, párr. </w:t>
      </w:r>
      <w:r w:rsidR="007A6631" w:rsidRPr="00D86945">
        <w:rPr>
          <w:rFonts w:ascii="Verdana" w:hAnsi="Verdana" w:cs="Times New Roman"/>
          <w:b/>
          <w:bCs/>
          <w:sz w:val="16"/>
          <w:szCs w:val="16"/>
          <w:lang w:val="es-ES"/>
        </w:rPr>
        <w:t>76</w:t>
      </w:r>
      <w:r w:rsidRPr="00D86945">
        <w:rPr>
          <w:rFonts w:ascii="Verdana" w:hAnsi="Verdana" w:cs="Times New Roman"/>
          <w:sz w:val="18"/>
          <w:szCs w:val="18"/>
          <w:lang w:val="es-ES"/>
        </w:rPr>
        <w:t>].</w:t>
      </w:r>
    </w:p>
    <w:p w14:paraId="5B7629FA" w14:textId="77777777" w:rsidR="00B109CC" w:rsidRPr="00D86945" w:rsidRDefault="00B109CC"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 xml:space="preserve">95. Además, la Corte reitera que existe: </w:t>
      </w:r>
    </w:p>
    <w:p w14:paraId="391AF9CA" w14:textId="169C6F1A" w:rsidR="00B109CC" w:rsidRPr="00D86945" w:rsidRDefault="00B109CC" w:rsidP="004F4FE7">
      <w:pPr>
        <w:spacing w:line="240" w:lineRule="auto"/>
        <w:ind w:left="1416" w:right="51"/>
        <w:jc w:val="both"/>
        <w:rPr>
          <w:rFonts w:ascii="Verdana" w:hAnsi="Verdana" w:cs="Times New Roman"/>
          <w:sz w:val="18"/>
          <w:szCs w:val="18"/>
          <w:lang w:val="es-ES"/>
        </w:rPr>
      </w:pPr>
      <w:r w:rsidRPr="00D86945">
        <w:rPr>
          <w:rFonts w:ascii="Verdana" w:hAnsi="Verdana" w:cs="Times New Roman"/>
          <w:sz w:val="18"/>
          <w:szCs w:val="18"/>
          <w:lang w:val="es-ES"/>
        </w:rPr>
        <w:t>una coincidencia en los diferentes sistemas regionales de protección a los derechos humanos y en el universal, en cuanto al papel esencial que juega la libertad de expresión en la consolidación y dinámica de una sociedad democrática. Sin una efectiva libertad de expresión, materializada en todos sus términos, la democracia se desvanece, el pluralismo y la tolerancia empiezan a quebrantarse, los mecanismos de control y denuncia ciudadana se empiezan a tornar inoperantes y, en definitiva, se empieza a crear el campo fértil para que sistemas autoritarios se arraiguen en la sociedad.</w:t>
      </w:r>
      <w:r w:rsidRPr="00D86945">
        <w:rPr>
          <w:rFonts w:ascii="Verdana" w:hAnsi="Verdana" w:cs="Times New Roman"/>
          <w:b/>
          <w:bCs/>
          <w:sz w:val="16"/>
          <w:szCs w:val="16"/>
          <w:lang w:val="es-ES"/>
        </w:rPr>
        <w:t xml:space="preserve"> [En un sentido similar: Caso Herrera Ulloa Vs. Costa Rica, Sentencia de 2 de julio de 2004, Serie C, No. 107, párr. 116</w:t>
      </w:r>
      <w:r w:rsidR="007A6631" w:rsidRPr="00D86945">
        <w:rPr>
          <w:rFonts w:ascii="Verdana" w:hAnsi="Verdana" w:cs="Times New Roman"/>
          <w:b/>
          <w:bCs/>
          <w:sz w:val="16"/>
          <w:szCs w:val="16"/>
          <w:lang w:val="es-ES"/>
        </w:rPr>
        <w:t xml:space="preserve"> y Caso Urrutia Laubreaux Vs. Chile. Excepciones Preliminares, Fondo, Reparaciones y Costas. Sentencia de 27 de agosto de 2020. Serie C No. 409, párr. 77</w:t>
      </w:r>
      <w:r w:rsidRPr="00D86945">
        <w:rPr>
          <w:rFonts w:ascii="Verdana" w:hAnsi="Verdana" w:cs="Times New Roman"/>
          <w:b/>
          <w:bCs/>
          <w:sz w:val="16"/>
          <w:szCs w:val="16"/>
          <w:lang w:val="es-ES"/>
        </w:rPr>
        <w:t>].</w:t>
      </w:r>
    </w:p>
    <w:p w14:paraId="5663FCF9" w14:textId="1CF3ABCF" w:rsidR="00B109CC" w:rsidRPr="00D86945" w:rsidRDefault="00B109CC"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96. Al respecto, la Corte ha indicado que la primera dimensión de la libertad de expresión “no se agota en el reconocimiento teórico del derecho a hablar o escribir, sino que comprende además, inseparablemente, el derecho a utilizar cualquier medio apropiado para difundir el pensamiento y hacerlo llegar al mayor número de destinatarios”. En este sentido, la expresión y la difusión de pensamientos e ideas son indivisibles, de modo que una restricción de las posibilidades de divulgación representa directamente, y en la misma medida, un límite al derecho de expresarse libremente.</w:t>
      </w:r>
      <w:r w:rsidR="007A6631" w:rsidRPr="00D86945">
        <w:rPr>
          <w:rFonts w:ascii="Verdana" w:hAnsi="Verdana" w:cs="Times New Roman"/>
          <w:sz w:val="20"/>
          <w:szCs w:val="20"/>
          <w:lang w:val="es-ES"/>
        </w:rPr>
        <w:t xml:space="preserve"> </w:t>
      </w:r>
      <w:r w:rsidR="007A6631" w:rsidRPr="00D86945">
        <w:rPr>
          <w:rFonts w:ascii="Verdana" w:hAnsi="Verdana" w:cs="Times New Roman"/>
          <w:b/>
          <w:bCs/>
          <w:sz w:val="18"/>
          <w:szCs w:val="18"/>
          <w:lang w:val="es-ES"/>
        </w:rPr>
        <w:t>[En un sentido similar:</w:t>
      </w:r>
      <w:r w:rsidR="007A6631" w:rsidRPr="00D86945">
        <w:rPr>
          <w:rFonts w:ascii="Verdana" w:hAnsi="Verdana" w:cs="Times New Roman"/>
          <w:sz w:val="18"/>
          <w:szCs w:val="18"/>
          <w:lang w:val="es-ES"/>
        </w:rPr>
        <w:t xml:space="preserve"> </w:t>
      </w:r>
      <w:r w:rsidR="007A6631" w:rsidRPr="00D86945">
        <w:rPr>
          <w:rFonts w:ascii="Verdana" w:hAnsi="Verdana" w:cs="Times New Roman"/>
          <w:b/>
          <w:bCs/>
          <w:sz w:val="18"/>
          <w:szCs w:val="18"/>
          <w:lang w:val="es-ES"/>
        </w:rPr>
        <w:t>Caso Urrutia Laubreaux Vs. Chile. Excepciones Preliminares, Fondo, Reparaciones y Costas. Sentencia de 27 de agosto de 2020. Serie C No. 409, párr. 78]</w:t>
      </w:r>
    </w:p>
    <w:p w14:paraId="62249206" w14:textId="0C24CB08" w:rsidR="00B109CC" w:rsidRPr="00D86945" w:rsidRDefault="00B109CC"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97. Con respecto a la segunda dimensión del derecho a la libertad de expresión esto es, la social, es menester señalar que la libertad de expresión es un medio para el intercambio de ideas e informaciones entre las personas; comprende su derecho a tratar de comunicar a otras sus puntos de vista, pero implica también el derecho de todos a conocer opiniones, relatos y noticias vertidas por terceros. Para el ciudadano común tiene tanta importancia el conocimiento de la opinión ajena o de la información de que disponen otros como el derecho a difundir la propia.</w:t>
      </w:r>
      <w:r w:rsidR="007A6631" w:rsidRPr="00D86945">
        <w:rPr>
          <w:rFonts w:ascii="Verdana" w:hAnsi="Verdana" w:cs="Times New Roman"/>
          <w:sz w:val="20"/>
          <w:szCs w:val="20"/>
          <w:lang w:val="es-ES"/>
        </w:rPr>
        <w:t xml:space="preserve"> </w:t>
      </w:r>
      <w:r w:rsidR="007A6631" w:rsidRPr="00D86945">
        <w:rPr>
          <w:rFonts w:ascii="Verdana" w:hAnsi="Verdana" w:cs="Times New Roman"/>
          <w:b/>
          <w:bCs/>
          <w:sz w:val="18"/>
          <w:szCs w:val="18"/>
          <w:lang w:val="es-ES"/>
        </w:rPr>
        <w:t>[En un sentido similar:</w:t>
      </w:r>
      <w:r w:rsidR="007A6631" w:rsidRPr="00D86945">
        <w:rPr>
          <w:rFonts w:ascii="Verdana" w:hAnsi="Verdana" w:cs="Times New Roman"/>
          <w:sz w:val="18"/>
          <w:szCs w:val="18"/>
          <w:lang w:val="es-ES"/>
        </w:rPr>
        <w:t xml:space="preserve"> </w:t>
      </w:r>
      <w:r w:rsidR="007A6631" w:rsidRPr="00D86945">
        <w:rPr>
          <w:rFonts w:ascii="Verdana" w:hAnsi="Verdana" w:cs="Times New Roman"/>
          <w:b/>
          <w:bCs/>
          <w:sz w:val="18"/>
          <w:szCs w:val="18"/>
          <w:lang w:val="es-ES"/>
        </w:rPr>
        <w:t>Caso Urrutia Laubreaux Vs. Chile. Excepciones Preliminares, Fondo, Reparaciones y Costas. Sentencia de 27 de agosto de 2020. Serie C No. 409, párr. 79]</w:t>
      </w:r>
    </w:p>
    <w:p w14:paraId="6E9A6468" w14:textId="7E5CCE5A" w:rsidR="00B109CC" w:rsidRPr="00D86945" w:rsidRDefault="00B109CC"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98. La Convención Americana garantiza este derecho a toda persona, independientemente de cualquier otra consideración, por lo que no cabe considerarla ni restringirla a una determinada profesión o grupo de personas. La libertad de expresión es un componente esencial de la libertad de prensa, sin que por ello sean sinónimos o el ejercicio de la primera esté condicionado a la segunda.</w:t>
      </w:r>
    </w:p>
    <w:p w14:paraId="6C9E7A83" w14:textId="18B6F5F7" w:rsidR="00B109CC" w:rsidRPr="00D86945" w:rsidRDefault="00B109CC"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 xml:space="preserve">99. Dada la importancia de la libertad de expresión en una sociedad democrática, el Estado no sólo debe minimizar las restricciones a la circulación de la información sino también equilibrar, en la mayor medida de lo posible, la participación de las </w:t>
      </w:r>
      <w:r w:rsidRPr="00D86945">
        <w:rPr>
          <w:rFonts w:ascii="Verdana" w:hAnsi="Verdana" w:cs="Times New Roman"/>
          <w:sz w:val="20"/>
          <w:szCs w:val="20"/>
          <w:lang w:val="es-ES"/>
        </w:rPr>
        <w:lastRenderedPageBreak/>
        <w:t>distintas informaciones en el debate público, impulsando el pluralismo informativo. En consecuencia, la equidad debe regir el flujo informativo.</w:t>
      </w:r>
    </w:p>
    <w:p w14:paraId="75D1662C" w14:textId="189DDBAB" w:rsidR="00B109CC" w:rsidRPr="00D86945" w:rsidRDefault="00B109CC"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100. Igualmente, la Corte ha entendido que ambas dimensiones poseen igual importancia y deben ser garantizadas en forma simultánea para dar efectividad total al derecho a la libertad de pensamiento y de expresión en los términos previstos del artículo 13 de la Convención.</w:t>
      </w:r>
      <w:r w:rsidR="007A6631" w:rsidRPr="00D86945">
        <w:rPr>
          <w:rFonts w:ascii="Verdana" w:hAnsi="Verdana" w:cs="Times New Roman"/>
          <w:sz w:val="20"/>
          <w:szCs w:val="20"/>
          <w:lang w:val="es-ES"/>
        </w:rPr>
        <w:t xml:space="preserve"> </w:t>
      </w:r>
      <w:r w:rsidR="007A6631" w:rsidRPr="00D86945">
        <w:rPr>
          <w:rFonts w:ascii="Verdana" w:hAnsi="Verdana" w:cs="Times New Roman"/>
          <w:b/>
          <w:bCs/>
          <w:sz w:val="18"/>
          <w:szCs w:val="18"/>
          <w:lang w:val="es-ES"/>
        </w:rPr>
        <w:t>[En un sentido similar:</w:t>
      </w:r>
      <w:r w:rsidR="007A6631" w:rsidRPr="00D86945">
        <w:rPr>
          <w:rFonts w:ascii="Verdana" w:hAnsi="Verdana" w:cs="Times New Roman"/>
          <w:sz w:val="18"/>
          <w:szCs w:val="18"/>
          <w:lang w:val="es-ES"/>
        </w:rPr>
        <w:t xml:space="preserve"> </w:t>
      </w:r>
      <w:r w:rsidR="007A6631" w:rsidRPr="00D86945">
        <w:rPr>
          <w:rFonts w:ascii="Verdana" w:hAnsi="Verdana" w:cs="Times New Roman"/>
          <w:b/>
          <w:bCs/>
          <w:sz w:val="18"/>
          <w:szCs w:val="18"/>
          <w:lang w:val="es-ES"/>
        </w:rPr>
        <w:t>Caso Urrutia Laubreaux Vs. Chile. Excepciones Preliminares, Fondo, Reparaciones y Costas. Sentencia de 27 de agosto de 2020. Serie C No. 409, párr. 80]</w:t>
      </w:r>
    </w:p>
    <w:p w14:paraId="217C1589" w14:textId="268711BE" w:rsidR="00987FF9" w:rsidRPr="00D86945" w:rsidRDefault="00987FF9" w:rsidP="00BF3BF6">
      <w:pPr>
        <w:pStyle w:val="Ttulo2"/>
      </w:pPr>
      <w:bookmarkStart w:id="6" w:name="_Toc89691458"/>
      <w:r w:rsidRPr="00D86945">
        <w:t>Contenido del derecho</w:t>
      </w:r>
      <w:bookmarkEnd w:id="6"/>
    </w:p>
    <w:p w14:paraId="7828C98F" w14:textId="07DD82CB" w:rsidR="00987FF9" w:rsidRPr="00D86945" w:rsidRDefault="00904DBE" w:rsidP="00BF3BF6">
      <w:pPr>
        <w:pStyle w:val="Ttulo3"/>
      </w:pPr>
      <w:bookmarkStart w:id="7" w:name="_Toc89691459"/>
      <w:r w:rsidRPr="00D86945">
        <w:t xml:space="preserve">A) </w:t>
      </w:r>
      <w:r w:rsidR="00BF3BF6">
        <w:t>E</w:t>
      </w:r>
      <w:r w:rsidR="00BF3BF6" w:rsidRPr="00D86945">
        <w:t>xpresar y difundir</w:t>
      </w:r>
      <w:bookmarkEnd w:id="7"/>
    </w:p>
    <w:p w14:paraId="0F079AAD" w14:textId="0C8E43C2"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b/>
          <w:sz w:val="20"/>
          <w:szCs w:val="20"/>
        </w:rPr>
        <w:t>Corte IDH. Caso Palamara Iribarne Vs. Chile. Fondo, Reparaciones y Costas. Sentencia de 22 de noviembre de 2005. Serie C No. 135</w:t>
      </w:r>
      <w:r w:rsidRPr="00D86945">
        <w:rPr>
          <w:rFonts w:ascii="Verdana" w:hAnsi="Verdana" w:cs="Times New Roman"/>
          <w:sz w:val="20"/>
          <w:szCs w:val="20"/>
        </w:rPr>
        <w:t>.</w:t>
      </w:r>
    </w:p>
    <w:p w14:paraId="11682737" w14:textId="4FC5C42B" w:rsidR="00987FF9" w:rsidRPr="00D86945" w:rsidRDefault="00987FF9" w:rsidP="004F4FE7">
      <w:pPr>
        <w:tabs>
          <w:tab w:val="left" w:pos="360"/>
        </w:tabs>
        <w:spacing w:line="240" w:lineRule="auto"/>
        <w:ind w:right="49"/>
        <w:jc w:val="both"/>
        <w:rPr>
          <w:rFonts w:ascii="Verdana" w:hAnsi="Verdana" w:cs="Times New Roman"/>
          <w:b/>
          <w:sz w:val="20"/>
          <w:szCs w:val="20"/>
        </w:rPr>
      </w:pPr>
      <w:r w:rsidRPr="00D86945">
        <w:rPr>
          <w:rFonts w:ascii="Verdana" w:hAnsi="Verdana" w:cs="Times New Roman"/>
          <w:sz w:val="20"/>
          <w:szCs w:val="20"/>
        </w:rPr>
        <w:t>71.</w:t>
      </w:r>
      <w:r w:rsidRPr="00D86945">
        <w:rPr>
          <w:rFonts w:ascii="Verdana" w:hAnsi="Verdana" w:cs="Times New Roman"/>
          <w:sz w:val="20"/>
          <w:szCs w:val="20"/>
        </w:rPr>
        <w:tab/>
        <w:t>De conformidad con lo dispuesto en el artículo 13 de la Convención, los Estados no pueden impedir ni restringir, más allá de lo legítimamente permitido, el derecho de las personas a “buscar, recibir y difundir informaciones e ideas de toda índole, […] ya sea oralmente, por escrito o en forma impresa o artística o por cualquier otro procedimiento de su elección”.</w:t>
      </w:r>
      <w:r w:rsidR="00D35646" w:rsidRPr="00D86945">
        <w:rPr>
          <w:rFonts w:ascii="Verdana" w:hAnsi="Verdana" w:cs="Times New Roman"/>
          <w:sz w:val="20"/>
          <w:szCs w:val="20"/>
        </w:rPr>
        <w:t xml:space="preserve"> </w:t>
      </w:r>
      <w:r w:rsidRPr="00D86945">
        <w:rPr>
          <w:rFonts w:ascii="Verdana" w:hAnsi="Verdana" w:cs="Times New Roman"/>
          <w:sz w:val="20"/>
          <w:szCs w:val="20"/>
        </w:rPr>
        <w:t>Además, dicha norma establece los supuestos en los que se pueden realizar restricciones a esos derechos, así como regula lo relativo a la censura previa. En varias oportunidades el Tribunal se ha pronunciado sobre los medios a través de los cuales pueden establecerse legítimamente restricciones a la libertad de expresión, y sobre lo dispuesto en el artículo 13 en materia de censura previa.</w:t>
      </w:r>
      <w:r w:rsidRPr="00D86945">
        <w:rPr>
          <w:rFonts w:ascii="Verdana" w:hAnsi="Verdana" w:cs="Times New Roman"/>
          <w:b/>
          <w:sz w:val="20"/>
          <w:szCs w:val="20"/>
        </w:rPr>
        <w:t xml:space="preserve"> </w:t>
      </w:r>
    </w:p>
    <w:p w14:paraId="54130C44" w14:textId="1F3D6F37" w:rsidR="00987FF9" w:rsidRPr="00D86945" w:rsidRDefault="00987FF9" w:rsidP="004F4FE7">
      <w:pPr>
        <w:tabs>
          <w:tab w:val="left" w:pos="360"/>
        </w:tabs>
        <w:spacing w:line="240" w:lineRule="auto"/>
        <w:ind w:right="49"/>
        <w:jc w:val="both"/>
        <w:rPr>
          <w:rFonts w:ascii="Verdana" w:hAnsi="Verdana" w:cs="Times New Roman"/>
          <w:sz w:val="20"/>
          <w:szCs w:val="20"/>
        </w:rPr>
      </w:pPr>
      <w:r w:rsidRPr="00D86945">
        <w:rPr>
          <w:rFonts w:ascii="Verdana" w:hAnsi="Verdana" w:cs="Times New Roman"/>
          <w:sz w:val="20"/>
          <w:szCs w:val="20"/>
        </w:rPr>
        <w:t>72.</w:t>
      </w:r>
      <w:r w:rsidRPr="00D86945">
        <w:rPr>
          <w:rFonts w:ascii="Verdana" w:hAnsi="Verdana" w:cs="Times New Roman"/>
          <w:sz w:val="20"/>
          <w:szCs w:val="20"/>
        </w:rPr>
        <w:tab/>
        <w:t>Tal como ha establecido la Corte, “la expresión y la difusión del pensamiento son indivisibles”, por lo que para garantizar efectivamente el derecho a la libertad de pensamiento y de expresión el Estado no puede limitar indebidamente el derecho a difundir las ideas y opiniones.</w:t>
      </w:r>
      <w:r w:rsidR="00D35646" w:rsidRPr="00D86945">
        <w:rPr>
          <w:rFonts w:ascii="Verdana" w:hAnsi="Verdana" w:cs="Times New Roman"/>
          <w:sz w:val="20"/>
          <w:szCs w:val="20"/>
        </w:rPr>
        <w:t xml:space="preserve"> </w:t>
      </w:r>
    </w:p>
    <w:p w14:paraId="79CA6B56" w14:textId="7D29AE09" w:rsidR="00987FF9" w:rsidRDefault="00987FF9" w:rsidP="004F4FE7">
      <w:pPr>
        <w:tabs>
          <w:tab w:val="left" w:pos="360"/>
        </w:tabs>
        <w:spacing w:line="240" w:lineRule="auto"/>
        <w:ind w:right="49"/>
        <w:jc w:val="both"/>
        <w:rPr>
          <w:rFonts w:ascii="Verdana" w:hAnsi="Verdana" w:cs="Times New Roman"/>
          <w:sz w:val="20"/>
          <w:szCs w:val="20"/>
        </w:rPr>
      </w:pPr>
      <w:r w:rsidRPr="00D86945">
        <w:rPr>
          <w:rFonts w:ascii="Verdana" w:hAnsi="Verdana" w:cs="Times New Roman"/>
          <w:sz w:val="20"/>
          <w:szCs w:val="20"/>
        </w:rPr>
        <w:t>73.</w:t>
      </w:r>
      <w:r w:rsidRPr="00D86945">
        <w:rPr>
          <w:rFonts w:ascii="Verdana" w:hAnsi="Verdana" w:cs="Times New Roman"/>
          <w:sz w:val="20"/>
          <w:szCs w:val="20"/>
        </w:rPr>
        <w:tab/>
        <w:t xml:space="preserve">En el presente caso, para que el Estado garantizara efectivamente el ejercicio del derecho a la libertad de pensamiento y de expresión del señor Palamara Iribarne no bastaba con que permitiera que escribiera sus ideas y opiniones, sino que tal protección comprendía el deber de no restringir su difusión, de forma tal que pudiera distribuir el libro utilizando cualquier medio apropiado para hacer llegar tales ideas y opiniones al mayor número de destinatarios, y que éstos pudieran recibir tal información. </w:t>
      </w:r>
    </w:p>
    <w:p w14:paraId="430677B8" w14:textId="792D1477" w:rsidR="00134085" w:rsidRDefault="00134085" w:rsidP="004F4FE7">
      <w:pPr>
        <w:tabs>
          <w:tab w:val="left" w:pos="360"/>
        </w:tabs>
        <w:spacing w:line="240" w:lineRule="auto"/>
        <w:ind w:right="49"/>
        <w:jc w:val="both"/>
        <w:rPr>
          <w:rFonts w:ascii="Verdana" w:hAnsi="Verdana" w:cs="Times New Roman"/>
          <w:sz w:val="20"/>
          <w:szCs w:val="20"/>
        </w:rPr>
      </w:pPr>
    </w:p>
    <w:p w14:paraId="51770FEB" w14:textId="5FAA796B" w:rsidR="00134085" w:rsidRDefault="00134085" w:rsidP="004F4FE7">
      <w:pPr>
        <w:tabs>
          <w:tab w:val="left" w:pos="360"/>
        </w:tabs>
        <w:spacing w:line="240" w:lineRule="auto"/>
        <w:ind w:right="49"/>
        <w:jc w:val="both"/>
        <w:rPr>
          <w:rFonts w:ascii="Verdana" w:hAnsi="Verdana" w:cs="Times New Roman"/>
          <w:sz w:val="20"/>
          <w:szCs w:val="20"/>
        </w:rPr>
      </w:pPr>
    </w:p>
    <w:p w14:paraId="2A00EFEA" w14:textId="0100A905" w:rsidR="00134085" w:rsidRDefault="00134085" w:rsidP="004F4FE7">
      <w:pPr>
        <w:tabs>
          <w:tab w:val="left" w:pos="360"/>
        </w:tabs>
        <w:spacing w:line="240" w:lineRule="auto"/>
        <w:ind w:right="49"/>
        <w:jc w:val="both"/>
        <w:rPr>
          <w:rFonts w:ascii="Verdana" w:hAnsi="Verdana" w:cs="Times New Roman"/>
          <w:sz w:val="20"/>
          <w:szCs w:val="20"/>
        </w:rPr>
      </w:pPr>
    </w:p>
    <w:p w14:paraId="1160E376" w14:textId="4D02D3A6" w:rsidR="00134085" w:rsidRDefault="00134085" w:rsidP="004F4FE7">
      <w:pPr>
        <w:tabs>
          <w:tab w:val="left" w:pos="360"/>
        </w:tabs>
        <w:spacing w:line="240" w:lineRule="auto"/>
        <w:ind w:right="49"/>
        <w:jc w:val="both"/>
        <w:rPr>
          <w:rFonts w:ascii="Verdana" w:hAnsi="Verdana" w:cs="Times New Roman"/>
          <w:sz w:val="20"/>
          <w:szCs w:val="20"/>
        </w:rPr>
      </w:pPr>
    </w:p>
    <w:p w14:paraId="007E6BFA" w14:textId="0D00F764" w:rsidR="00134085" w:rsidRDefault="00134085" w:rsidP="004F4FE7">
      <w:pPr>
        <w:tabs>
          <w:tab w:val="left" w:pos="360"/>
        </w:tabs>
        <w:spacing w:line="240" w:lineRule="auto"/>
        <w:ind w:right="49"/>
        <w:jc w:val="both"/>
        <w:rPr>
          <w:rFonts w:ascii="Verdana" w:hAnsi="Verdana" w:cs="Times New Roman"/>
          <w:sz w:val="20"/>
          <w:szCs w:val="20"/>
        </w:rPr>
      </w:pPr>
    </w:p>
    <w:p w14:paraId="791F7930" w14:textId="77777777" w:rsidR="00134085" w:rsidRPr="00D86945" w:rsidRDefault="00134085" w:rsidP="004F4FE7">
      <w:pPr>
        <w:tabs>
          <w:tab w:val="left" w:pos="360"/>
        </w:tabs>
        <w:spacing w:line="240" w:lineRule="auto"/>
        <w:ind w:right="49"/>
        <w:jc w:val="both"/>
        <w:rPr>
          <w:rFonts w:ascii="Verdana" w:hAnsi="Verdana" w:cs="Times New Roman"/>
          <w:sz w:val="20"/>
          <w:szCs w:val="20"/>
        </w:rPr>
      </w:pPr>
    </w:p>
    <w:p w14:paraId="2F66E206" w14:textId="48F6845D" w:rsidR="00987FF9" w:rsidRPr="00D86945" w:rsidRDefault="00987FF9" w:rsidP="004F4FE7">
      <w:pPr>
        <w:spacing w:line="240" w:lineRule="auto"/>
        <w:ind w:right="49"/>
        <w:jc w:val="both"/>
        <w:rPr>
          <w:rFonts w:ascii="Verdana" w:eastAsia="Times New Roman" w:hAnsi="Verdana" w:cs="Times New Roman"/>
          <w:sz w:val="20"/>
          <w:szCs w:val="20"/>
          <w:lang w:eastAsia="es-ES_tradnl"/>
        </w:rPr>
      </w:pPr>
      <w:r w:rsidRPr="00D86945">
        <w:rPr>
          <w:rFonts w:ascii="Verdana" w:eastAsia="Times New Roman" w:hAnsi="Verdana" w:cs="Times New Roman"/>
          <w:b/>
          <w:bCs/>
          <w:sz w:val="20"/>
          <w:szCs w:val="20"/>
          <w:shd w:val="clear" w:color="auto" w:fill="FFFFFF"/>
          <w:lang w:eastAsia="es-ES_tradnl"/>
        </w:rPr>
        <w:lastRenderedPageBreak/>
        <w:t>Corte IDH. Caso López Álvarez Vs. Honduras. Fondo, Reparaciones y Costas. Sentencia de 1 de febrero de 2006. Serie C No. 141.</w:t>
      </w:r>
      <w:r w:rsidRPr="00D86945">
        <w:rPr>
          <w:rStyle w:val="Refdenotaalpie"/>
          <w:rFonts w:ascii="Verdana" w:eastAsia="Times New Roman" w:hAnsi="Verdana" w:cs="Times New Roman"/>
          <w:b/>
          <w:bCs/>
          <w:sz w:val="20"/>
          <w:szCs w:val="20"/>
          <w:shd w:val="clear" w:color="auto" w:fill="FFFFFF"/>
          <w:lang w:eastAsia="es-ES_tradnl"/>
        </w:rPr>
        <w:footnoteReference w:id="15"/>
      </w:r>
    </w:p>
    <w:p w14:paraId="2A969C29" w14:textId="3440B6A8" w:rsidR="00987FF9" w:rsidRPr="00D86945" w:rsidRDefault="00987FF9" w:rsidP="004F4FE7">
      <w:pPr>
        <w:pStyle w:val="Textoindependiente"/>
        <w:spacing w:line="240" w:lineRule="auto"/>
        <w:ind w:right="49"/>
        <w:rPr>
          <w:rFonts w:ascii="Verdana" w:hAnsi="Verdana"/>
          <w:b/>
          <w:sz w:val="20"/>
        </w:rPr>
      </w:pPr>
      <w:r w:rsidRPr="00D86945">
        <w:rPr>
          <w:rFonts w:ascii="Verdana" w:hAnsi="Verdana"/>
          <w:sz w:val="20"/>
        </w:rPr>
        <w:t>164.</w:t>
      </w:r>
      <w:r w:rsidRPr="00D86945">
        <w:rPr>
          <w:rFonts w:ascii="Verdana" w:hAnsi="Verdana"/>
          <w:sz w:val="20"/>
        </w:rPr>
        <w:tab/>
        <w:t>El artículo 13.1 consagra expresamente la libertad de difundir oralmente la información.</w:t>
      </w:r>
      <w:r w:rsidR="00D35646" w:rsidRPr="00D86945">
        <w:rPr>
          <w:rFonts w:ascii="Verdana" w:hAnsi="Verdana"/>
          <w:sz w:val="20"/>
        </w:rPr>
        <w:t xml:space="preserve"> </w:t>
      </w:r>
      <w:r w:rsidRPr="00D86945">
        <w:rPr>
          <w:rFonts w:ascii="Verdana" w:hAnsi="Verdana"/>
          <w:sz w:val="20"/>
        </w:rPr>
        <w:t>La Corte considera que uno de los pilares de la libertad de expresión es precisamente el derecho a hablar, y que éste implica necesariamente el derecho de las personas a utilizar el idioma de su elección en la expresión de su pensamiento.</w:t>
      </w:r>
      <w:r w:rsidR="00D35646" w:rsidRPr="00D86945">
        <w:rPr>
          <w:rFonts w:ascii="Verdana" w:hAnsi="Verdana"/>
          <w:sz w:val="20"/>
        </w:rPr>
        <w:t xml:space="preserve"> </w:t>
      </w:r>
      <w:r w:rsidRPr="00D86945">
        <w:rPr>
          <w:rFonts w:ascii="Verdana" w:hAnsi="Verdana"/>
          <w:sz w:val="20"/>
        </w:rPr>
        <w:t>La expresión y la difusión de pensamientos e ideas son indivisibles, de modo que una restricción de las posibilidades de divulgación representa directamente, y en la misma medida, un límite al derecho de expresarse libremente.</w:t>
      </w:r>
      <w:r w:rsidR="00D35646" w:rsidRPr="00D86945">
        <w:rPr>
          <w:rFonts w:ascii="Verdana" w:hAnsi="Verdana"/>
          <w:b/>
          <w:sz w:val="20"/>
        </w:rPr>
        <w:t xml:space="preserve"> </w:t>
      </w:r>
    </w:p>
    <w:p w14:paraId="041908B8" w14:textId="17446B72"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t>Corte IDH. Caso López Lone y otros Vs. Honduras. Excepción Preliminar, Fondo, Reparaciones y Costas. Sentencia de 5 de octubre de 2015. Serie C No. 302.</w:t>
      </w:r>
      <w:r w:rsidRPr="00D86945">
        <w:rPr>
          <w:rStyle w:val="Refdenotaalpie"/>
          <w:rFonts w:ascii="Verdana" w:hAnsi="Verdana"/>
          <w:b/>
          <w:sz w:val="20"/>
          <w:szCs w:val="20"/>
        </w:rPr>
        <w:footnoteReference w:id="16"/>
      </w:r>
    </w:p>
    <w:p w14:paraId="75C6DE8D" w14:textId="61A93EBC" w:rsidR="00987FF9"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167.</w:t>
      </w:r>
      <w:r w:rsidRPr="00D86945">
        <w:rPr>
          <w:rFonts w:ascii="Verdana" w:hAnsi="Verdana"/>
          <w:sz w:val="20"/>
          <w:szCs w:val="20"/>
          <w:lang w:val="es-CR"/>
        </w:rPr>
        <w:tab/>
        <w:t>De forma similar, el artículo 15 de la Convención Americana “reconoce el derecho de reunión pacífica y sin armas”. Este derecho abarca tanto reuniones privadas como reuniones en la vía pública, ya sean estáticas o con desplazamientos. La posibilidad de manifestarse pública y pacíficamente es una de las maneras más accesibles de ejercer el derecho a la libertad de expresión, por medio de la cual se puede reclamar la protección de otros derechos. Por tanto, el derecho de reunión es un derecho fundamental en una sociedad democrática y no debe ser interpretado restrictivamente. Al respecto, el Tribunal Europeo de Derechos Humanos (en adelante el “Tribunal Europeo”) ha señalado que el derecho de reunión es de tal importancia que una persona no puede ser sancionada, incluso por una sanción disciplinaria menor, por la participación en una manifestación que no había sido prohibida, siempre y cuando no cometa actos reprochables durante la misma.</w:t>
      </w:r>
    </w:p>
    <w:p w14:paraId="34D89EA5" w14:textId="09FBF47F" w:rsidR="00CD4AD0" w:rsidRPr="00CD4AD0" w:rsidRDefault="00CD4AD0" w:rsidP="004F4FE7">
      <w:pPr>
        <w:spacing w:line="240" w:lineRule="auto"/>
        <w:ind w:right="49"/>
        <w:jc w:val="both"/>
        <w:rPr>
          <w:rFonts w:ascii="Verdana" w:hAnsi="Verdana"/>
          <w:b/>
          <w:bCs/>
          <w:sz w:val="20"/>
          <w:szCs w:val="20"/>
          <w:lang w:val="es-CR"/>
        </w:rPr>
      </w:pPr>
      <w:r w:rsidRPr="00CD4AD0">
        <w:rPr>
          <w:rFonts w:ascii="Verdana" w:hAnsi="Verdana"/>
          <w:b/>
          <w:bCs/>
          <w:sz w:val="20"/>
          <w:szCs w:val="20"/>
          <w:lang w:val="es-CR"/>
        </w:rPr>
        <w:t>Corte IDH. Caso Grijalva Bueno Vs. Ecuador. Excepción Preliminar, Fondo, Reparaciones y Costas. Sentencia de 3 de junio de 2021. Serie C No. 426.</w:t>
      </w:r>
      <w:r w:rsidR="00F72389">
        <w:rPr>
          <w:rStyle w:val="Refdenotaalpie"/>
          <w:rFonts w:ascii="Verdana" w:hAnsi="Verdana"/>
          <w:b/>
          <w:bCs/>
          <w:sz w:val="20"/>
          <w:szCs w:val="20"/>
          <w:lang w:val="es-CR"/>
        </w:rPr>
        <w:footnoteReference w:id="17"/>
      </w:r>
    </w:p>
    <w:p w14:paraId="4E33F34C" w14:textId="22CCDEB6" w:rsidR="00CD4AD0" w:rsidRDefault="00CD4AD0" w:rsidP="004F4FE7">
      <w:pPr>
        <w:spacing w:line="240" w:lineRule="auto"/>
        <w:ind w:right="49"/>
        <w:jc w:val="both"/>
        <w:rPr>
          <w:rFonts w:ascii="Verdana" w:hAnsi="Verdana"/>
          <w:sz w:val="20"/>
          <w:szCs w:val="20"/>
          <w:lang w:val="es-CR"/>
        </w:rPr>
      </w:pPr>
      <w:r w:rsidRPr="00CD4AD0">
        <w:rPr>
          <w:rFonts w:ascii="Verdana" w:hAnsi="Verdana"/>
          <w:sz w:val="20"/>
          <w:szCs w:val="20"/>
          <w:lang w:val="es-CR"/>
        </w:rPr>
        <w:t xml:space="preserve">156. Para efectos del </w:t>
      </w:r>
      <w:proofErr w:type="spellStart"/>
      <w:r w:rsidRPr="00CD4AD0">
        <w:rPr>
          <w:rFonts w:ascii="Verdana" w:hAnsi="Verdana"/>
          <w:sz w:val="20"/>
          <w:szCs w:val="20"/>
          <w:lang w:val="es-CR"/>
        </w:rPr>
        <w:t>análisis</w:t>
      </w:r>
      <w:proofErr w:type="spellEnd"/>
      <w:r w:rsidRPr="00CD4AD0">
        <w:rPr>
          <w:rFonts w:ascii="Verdana" w:hAnsi="Verdana"/>
          <w:sz w:val="20"/>
          <w:szCs w:val="20"/>
          <w:lang w:val="es-CR"/>
        </w:rPr>
        <w:t xml:space="preserve"> correspondiente, se debe examinar si por la naturaleza de las denuncias de graves violaciones de derechos humanos realizadas por el </w:t>
      </w:r>
      <w:proofErr w:type="spellStart"/>
      <w:r w:rsidRPr="00CD4AD0">
        <w:rPr>
          <w:rFonts w:ascii="Verdana" w:hAnsi="Verdana"/>
          <w:sz w:val="20"/>
          <w:szCs w:val="20"/>
          <w:lang w:val="es-CR"/>
        </w:rPr>
        <w:t>señor</w:t>
      </w:r>
      <w:proofErr w:type="spellEnd"/>
      <w:r w:rsidRPr="00CD4AD0">
        <w:rPr>
          <w:rFonts w:ascii="Verdana" w:hAnsi="Verdana"/>
          <w:sz w:val="20"/>
          <w:szCs w:val="20"/>
          <w:lang w:val="es-CR"/>
        </w:rPr>
        <w:t xml:space="preserve"> </w:t>
      </w:r>
      <w:r w:rsidRPr="00CD4AD0">
        <w:rPr>
          <w:rFonts w:ascii="Verdana" w:hAnsi="Verdana"/>
          <w:sz w:val="20"/>
          <w:szCs w:val="20"/>
          <w:lang w:val="es-CR"/>
        </w:rPr>
        <w:lastRenderedPageBreak/>
        <w:t xml:space="preserve">Grijalva Bueno y con </w:t>
      </w:r>
      <w:proofErr w:type="spellStart"/>
      <w:r w:rsidRPr="00CD4AD0">
        <w:rPr>
          <w:rFonts w:ascii="Verdana" w:hAnsi="Verdana"/>
          <w:sz w:val="20"/>
          <w:szCs w:val="20"/>
          <w:lang w:val="es-CR"/>
        </w:rPr>
        <w:t>ocasión</w:t>
      </w:r>
      <w:proofErr w:type="spellEnd"/>
      <w:r w:rsidRPr="00CD4AD0">
        <w:rPr>
          <w:rFonts w:ascii="Verdana" w:hAnsi="Verdana"/>
          <w:sz w:val="20"/>
          <w:szCs w:val="20"/>
          <w:lang w:val="es-CR"/>
        </w:rPr>
        <w:t xml:space="preserve"> del proceso de </w:t>
      </w:r>
      <w:proofErr w:type="spellStart"/>
      <w:r w:rsidRPr="00CD4AD0">
        <w:rPr>
          <w:rFonts w:ascii="Verdana" w:hAnsi="Verdana"/>
          <w:sz w:val="20"/>
          <w:szCs w:val="20"/>
          <w:lang w:val="es-CR"/>
        </w:rPr>
        <w:t>destitución</w:t>
      </w:r>
      <w:proofErr w:type="spellEnd"/>
      <w:r w:rsidRPr="00CD4AD0">
        <w:rPr>
          <w:rFonts w:ascii="Verdana" w:hAnsi="Verdana"/>
          <w:sz w:val="20"/>
          <w:szCs w:val="20"/>
          <w:lang w:val="es-CR"/>
        </w:rPr>
        <w:t xml:space="preserve"> y el proceso penal militar al que fue sometido se vulneró su libertad de </w:t>
      </w:r>
      <w:proofErr w:type="spellStart"/>
      <w:r w:rsidRPr="00CD4AD0">
        <w:rPr>
          <w:rFonts w:ascii="Verdana" w:hAnsi="Verdana"/>
          <w:sz w:val="20"/>
          <w:szCs w:val="20"/>
          <w:lang w:val="es-CR"/>
        </w:rPr>
        <w:t>expresión</w:t>
      </w:r>
      <w:proofErr w:type="spellEnd"/>
      <w:r w:rsidRPr="00CD4AD0">
        <w:rPr>
          <w:rFonts w:ascii="Verdana" w:hAnsi="Verdana"/>
          <w:sz w:val="20"/>
          <w:szCs w:val="20"/>
          <w:lang w:val="es-CR"/>
        </w:rPr>
        <w:t xml:space="preserve">. Al respecto, cabe </w:t>
      </w:r>
      <w:proofErr w:type="spellStart"/>
      <w:r w:rsidRPr="00CD4AD0">
        <w:rPr>
          <w:rFonts w:ascii="Verdana" w:hAnsi="Verdana"/>
          <w:sz w:val="20"/>
          <w:szCs w:val="20"/>
          <w:lang w:val="es-CR"/>
        </w:rPr>
        <w:t>señalar</w:t>
      </w:r>
      <w:proofErr w:type="spellEnd"/>
      <w:r w:rsidRPr="00CD4AD0">
        <w:rPr>
          <w:rFonts w:ascii="Verdana" w:hAnsi="Verdana"/>
          <w:sz w:val="20"/>
          <w:szCs w:val="20"/>
          <w:lang w:val="es-CR"/>
        </w:rPr>
        <w:t xml:space="preserve"> que el Estado </w:t>
      </w:r>
      <w:proofErr w:type="spellStart"/>
      <w:r w:rsidRPr="00CD4AD0">
        <w:rPr>
          <w:rFonts w:ascii="Verdana" w:hAnsi="Verdana"/>
          <w:sz w:val="20"/>
          <w:szCs w:val="20"/>
          <w:lang w:val="es-CR"/>
        </w:rPr>
        <w:t>insistio</w:t>
      </w:r>
      <w:proofErr w:type="spellEnd"/>
      <w:r w:rsidRPr="00CD4AD0">
        <w:rPr>
          <w:rFonts w:ascii="Verdana" w:hAnsi="Verdana"/>
          <w:sz w:val="20"/>
          <w:szCs w:val="20"/>
          <w:lang w:val="es-CR"/>
        </w:rPr>
        <w:t xml:space="preserve">́ en que de ninguna forma el proceso penal militar fue un acto de represalia en contra del </w:t>
      </w:r>
      <w:proofErr w:type="spellStart"/>
      <w:r w:rsidRPr="00CD4AD0">
        <w:rPr>
          <w:rFonts w:ascii="Verdana" w:hAnsi="Verdana"/>
          <w:sz w:val="20"/>
          <w:szCs w:val="20"/>
          <w:lang w:val="es-CR"/>
        </w:rPr>
        <w:t>señor</w:t>
      </w:r>
      <w:proofErr w:type="spellEnd"/>
      <w:r w:rsidRPr="00CD4AD0">
        <w:rPr>
          <w:rFonts w:ascii="Verdana" w:hAnsi="Verdana"/>
          <w:sz w:val="20"/>
          <w:szCs w:val="20"/>
          <w:lang w:val="es-CR"/>
        </w:rPr>
        <w:t xml:space="preserve"> Grijalva.</w:t>
      </w:r>
    </w:p>
    <w:p w14:paraId="287FACCF" w14:textId="77777777" w:rsidR="00CD4AD0" w:rsidRPr="00CD4AD0" w:rsidRDefault="00CD4AD0" w:rsidP="00CD4AD0">
      <w:pPr>
        <w:spacing w:line="240" w:lineRule="auto"/>
        <w:ind w:right="49"/>
        <w:jc w:val="both"/>
        <w:rPr>
          <w:rFonts w:ascii="Verdana" w:hAnsi="Verdana"/>
          <w:sz w:val="20"/>
          <w:szCs w:val="20"/>
          <w:lang w:val="es-CR"/>
        </w:rPr>
      </w:pPr>
      <w:r w:rsidRPr="00CD4AD0">
        <w:rPr>
          <w:rFonts w:ascii="Verdana" w:hAnsi="Verdana"/>
          <w:sz w:val="20"/>
          <w:szCs w:val="20"/>
          <w:lang w:val="es-CR"/>
        </w:rPr>
        <w:t xml:space="preserve">158. La Corte advierte que temporalmente coinciden las denuncias efectuadas por el </w:t>
      </w:r>
      <w:proofErr w:type="spellStart"/>
      <w:r w:rsidRPr="00CD4AD0">
        <w:rPr>
          <w:rFonts w:ascii="Verdana" w:hAnsi="Verdana"/>
          <w:sz w:val="20"/>
          <w:szCs w:val="20"/>
          <w:lang w:val="es-CR"/>
        </w:rPr>
        <w:t>señor</w:t>
      </w:r>
      <w:proofErr w:type="spellEnd"/>
      <w:r w:rsidRPr="00CD4AD0">
        <w:rPr>
          <w:rFonts w:ascii="Verdana" w:hAnsi="Verdana"/>
          <w:sz w:val="20"/>
          <w:szCs w:val="20"/>
          <w:lang w:val="es-CR"/>
        </w:rPr>
        <w:t xml:space="preserve"> Grijalva y las distintas actuaciones realizadas por el Estado en el proceso administrativo de </w:t>
      </w:r>
      <w:proofErr w:type="spellStart"/>
      <w:r w:rsidRPr="00CD4AD0">
        <w:rPr>
          <w:rFonts w:ascii="Verdana" w:hAnsi="Verdana"/>
          <w:sz w:val="20"/>
          <w:szCs w:val="20"/>
          <w:lang w:val="es-CR"/>
        </w:rPr>
        <w:t>destitución</w:t>
      </w:r>
      <w:proofErr w:type="spellEnd"/>
      <w:r w:rsidRPr="00CD4AD0">
        <w:rPr>
          <w:rFonts w:ascii="Verdana" w:hAnsi="Verdana"/>
          <w:sz w:val="20"/>
          <w:szCs w:val="20"/>
          <w:lang w:val="es-CR"/>
        </w:rPr>
        <w:t xml:space="preserve"> y en el proceso penal militar. Ambos procesos se iniciaron poco tiempo </w:t>
      </w:r>
      <w:proofErr w:type="spellStart"/>
      <w:r w:rsidRPr="00CD4AD0">
        <w:rPr>
          <w:rFonts w:ascii="Verdana" w:hAnsi="Verdana"/>
          <w:sz w:val="20"/>
          <w:szCs w:val="20"/>
          <w:lang w:val="es-CR"/>
        </w:rPr>
        <w:t>después</w:t>
      </w:r>
      <w:proofErr w:type="spellEnd"/>
      <w:r w:rsidRPr="00CD4AD0">
        <w:rPr>
          <w:rFonts w:ascii="Verdana" w:hAnsi="Verdana"/>
          <w:sz w:val="20"/>
          <w:szCs w:val="20"/>
          <w:lang w:val="es-CR"/>
        </w:rPr>
        <w:t xml:space="preserve"> de que la presunta </w:t>
      </w:r>
      <w:proofErr w:type="spellStart"/>
      <w:r w:rsidRPr="00CD4AD0">
        <w:rPr>
          <w:rFonts w:ascii="Verdana" w:hAnsi="Verdana"/>
          <w:sz w:val="20"/>
          <w:szCs w:val="20"/>
          <w:lang w:val="es-CR"/>
        </w:rPr>
        <w:t>víctima</w:t>
      </w:r>
      <w:proofErr w:type="spellEnd"/>
      <w:r w:rsidRPr="00CD4AD0">
        <w:rPr>
          <w:rFonts w:ascii="Verdana" w:hAnsi="Verdana"/>
          <w:sz w:val="20"/>
          <w:szCs w:val="20"/>
          <w:lang w:val="es-CR"/>
        </w:rPr>
        <w:t xml:space="preserve"> realizara denuncias sobre la </w:t>
      </w:r>
      <w:proofErr w:type="spellStart"/>
      <w:r w:rsidRPr="00CD4AD0">
        <w:rPr>
          <w:rFonts w:ascii="Verdana" w:hAnsi="Verdana"/>
          <w:sz w:val="20"/>
          <w:szCs w:val="20"/>
          <w:lang w:val="es-CR"/>
        </w:rPr>
        <w:t>participación</w:t>
      </w:r>
      <w:proofErr w:type="spellEnd"/>
      <w:r w:rsidRPr="00CD4AD0">
        <w:rPr>
          <w:rFonts w:ascii="Verdana" w:hAnsi="Verdana"/>
          <w:sz w:val="20"/>
          <w:szCs w:val="20"/>
          <w:lang w:val="es-CR"/>
        </w:rPr>
        <w:t xml:space="preserve"> de militares en graves violaciones de derechos humanos. </w:t>
      </w:r>
      <w:proofErr w:type="spellStart"/>
      <w:r w:rsidRPr="00CD4AD0">
        <w:rPr>
          <w:rFonts w:ascii="Verdana" w:hAnsi="Verdana"/>
          <w:sz w:val="20"/>
          <w:szCs w:val="20"/>
          <w:lang w:val="es-CR"/>
        </w:rPr>
        <w:t>Asi</w:t>
      </w:r>
      <w:proofErr w:type="spellEnd"/>
      <w:r w:rsidRPr="00CD4AD0">
        <w:rPr>
          <w:rFonts w:ascii="Verdana" w:hAnsi="Verdana"/>
          <w:sz w:val="20"/>
          <w:szCs w:val="20"/>
          <w:lang w:val="es-CR"/>
        </w:rPr>
        <w:t xml:space="preserve">́ se </w:t>
      </w:r>
      <w:proofErr w:type="spellStart"/>
      <w:r w:rsidRPr="00CD4AD0">
        <w:rPr>
          <w:rFonts w:ascii="Verdana" w:hAnsi="Verdana"/>
          <w:sz w:val="20"/>
          <w:szCs w:val="20"/>
          <w:lang w:val="es-CR"/>
        </w:rPr>
        <w:t>abrio</w:t>
      </w:r>
      <w:proofErr w:type="spellEnd"/>
      <w:r w:rsidRPr="00CD4AD0">
        <w:rPr>
          <w:rFonts w:ascii="Verdana" w:hAnsi="Verdana"/>
          <w:sz w:val="20"/>
          <w:szCs w:val="20"/>
          <w:lang w:val="es-CR"/>
        </w:rPr>
        <w:t xml:space="preserve">́ un proceso administrativo arbitrario e inconvencional que, como fue reconocido por el Estado, resultó en la </w:t>
      </w:r>
      <w:proofErr w:type="spellStart"/>
      <w:r w:rsidRPr="00CD4AD0">
        <w:rPr>
          <w:rFonts w:ascii="Verdana" w:hAnsi="Verdana"/>
          <w:sz w:val="20"/>
          <w:szCs w:val="20"/>
          <w:lang w:val="es-CR"/>
        </w:rPr>
        <w:t>destitución</w:t>
      </w:r>
      <w:proofErr w:type="spellEnd"/>
      <w:r w:rsidRPr="00CD4AD0">
        <w:rPr>
          <w:rFonts w:ascii="Verdana" w:hAnsi="Verdana"/>
          <w:sz w:val="20"/>
          <w:szCs w:val="20"/>
          <w:lang w:val="es-CR"/>
        </w:rPr>
        <w:t xml:space="preserve"> del </w:t>
      </w:r>
      <w:proofErr w:type="spellStart"/>
      <w:r w:rsidRPr="00CD4AD0">
        <w:rPr>
          <w:rFonts w:ascii="Verdana" w:hAnsi="Verdana"/>
          <w:sz w:val="20"/>
          <w:szCs w:val="20"/>
          <w:lang w:val="es-CR"/>
        </w:rPr>
        <w:t>señor</w:t>
      </w:r>
      <w:proofErr w:type="spellEnd"/>
      <w:r w:rsidRPr="00CD4AD0">
        <w:rPr>
          <w:rFonts w:ascii="Verdana" w:hAnsi="Verdana"/>
          <w:sz w:val="20"/>
          <w:szCs w:val="20"/>
          <w:lang w:val="es-CR"/>
        </w:rPr>
        <w:t xml:space="preserve"> Grijalva, y con base en los mismos argumentos se instauró el proceso penal militar, en el cual también se vulneraron las </w:t>
      </w:r>
      <w:proofErr w:type="spellStart"/>
      <w:r w:rsidRPr="00CD4AD0">
        <w:rPr>
          <w:rFonts w:ascii="Verdana" w:hAnsi="Verdana"/>
          <w:sz w:val="20"/>
          <w:szCs w:val="20"/>
          <w:lang w:val="es-CR"/>
        </w:rPr>
        <w:t>garantías</w:t>
      </w:r>
      <w:proofErr w:type="spellEnd"/>
      <w:r w:rsidRPr="00CD4AD0">
        <w:rPr>
          <w:rFonts w:ascii="Verdana" w:hAnsi="Verdana"/>
          <w:sz w:val="20"/>
          <w:szCs w:val="20"/>
          <w:lang w:val="es-CR"/>
        </w:rPr>
        <w:t xml:space="preserve"> judiciales, el cual culminó con una sentencia condenatoria en contra de la presunta </w:t>
      </w:r>
      <w:proofErr w:type="spellStart"/>
      <w:r w:rsidRPr="00CD4AD0">
        <w:rPr>
          <w:rFonts w:ascii="Verdana" w:hAnsi="Verdana"/>
          <w:sz w:val="20"/>
          <w:szCs w:val="20"/>
          <w:lang w:val="es-CR"/>
        </w:rPr>
        <w:t>víctima</w:t>
      </w:r>
      <w:proofErr w:type="spellEnd"/>
      <w:r w:rsidRPr="00CD4AD0">
        <w:rPr>
          <w:rFonts w:ascii="Verdana" w:hAnsi="Verdana"/>
          <w:sz w:val="20"/>
          <w:szCs w:val="20"/>
          <w:lang w:val="es-CR"/>
        </w:rPr>
        <w:t xml:space="preserve">. Los procesos estuvieron viciados por distintas irregularidades violatorias de las </w:t>
      </w:r>
      <w:proofErr w:type="spellStart"/>
      <w:r w:rsidRPr="00CD4AD0">
        <w:rPr>
          <w:rFonts w:ascii="Verdana" w:hAnsi="Verdana"/>
          <w:sz w:val="20"/>
          <w:szCs w:val="20"/>
          <w:lang w:val="es-CR"/>
        </w:rPr>
        <w:t>garantías</w:t>
      </w:r>
      <w:proofErr w:type="spellEnd"/>
      <w:r w:rsidRPr="00CD4AD0">
        <w:rPr>
          <w:rFonts w:ascii="Verdana" w:hAnsi="Verdana"/>
          <w:sz w:val="20"/>
          <w:szCs w:val="20"/>
          <w:lang w:val="es-CR"/>
        </w:rPr>
        <w:t xml:space="preserve"> procesales del </w:t>
      </w:r>
      <w:proofErr w:type="spellStart"/>
      <w:r w:rsidRPr="00CD4AD0">
        <w:rPr>
          <w:rFonts w:ascii="Verdana" w:hAnsi="Verdana"/>
          <w:sz w:val="20"/>
          <w:szCs w:val="20"/>
          <w:lang w:val="es-CR"/>
        </w:rPr>
        <w:t>señor</w:t>
      </w:r>
      <w:proofErr w:type="spellEnd"/>
      <w:r w:rsidRPr="00CD4AD0">
        <w:rPr>
          <w:rFonts w:ascii="Verdana" w:hAnsi="Verdana"/>
          <w:sz w:val="20"/>
          <w:szCs w:val="20"/>
          <w:lang w:val="es-CR"/>
        </w:rPr>
        <w:t xml:space="preserve"> Grijalva, entre ellas los informes que fueron utilizados en los que se incluyeron testimonios de oficiales que </w:t>
      </w:r>
      <w:proofErr w:type="spellStart"/>
      <w:r w:rsidRPr="00CD4AD0">
        <w:rPr>
          <w:rFonts w:ascii="Verdana" w:hAnsi="Verdana"/>
          <w:sz w:val="20"/>
          <w:szCs w:val="20"/>
          <w:lang w:val="es-CR"/>
        </w:rPr>
        <w:t>habrían</w:t>
      </w:r>
      <w:proofErr w:type="spellEnd"/>
      <w:r w:rsidRPr="00CD4AD0">
        <w:rPr>
          <w:rFonts w:ascii="Verdana" w:hAnsi="Verdana"/>
          <w:sz w:val="20"/>
          <w:szCs w:val="20"/>
          <w:lang w:val="es-CR"/>
        </w:rPr>
        <w:t xml:space="preserve"> sido coaccionados o torturados para que declararan contra el </w:t>
      </w:r>
      <w:proofErr w:type="spellStart"/>
      <w:r w:rsidRPr="00CD4AD0">
        <w:rPr>
          <w:rFonts w:ascii="Verdana" w:hAnsi="Verdana"/>
          <w:sz w:val="20"/>
          <w:szCs w:val="20"/>
          <w:lang w:val="es-CR"/>
        </w:rPr>
        <w:t>señor</w:t>
      </w:r>
      <w:proofErr w:type="spellEnd"/>
      <w:r w:rsidRPr="00CD4AD0">
        <w:rPr>
          <w:rFonts w:ascii="Verdana" w:hAnsi="Verdana"/>
          <w:sz w:val="20"/>
          <w:szCs w:val="20"/>
          <w:lang w:val="es-CR"/>
        </w:rPr>
        <w:t xml:space="preserve"> Grijalva, lo cual demuestra que </w:t>
      </w:r>
      <w:proofErr w:type="spellStart"/>
      <w:r w:rsidRPr="00CD4AD0">
        <w:rPr>
          <w:rFonts w:ascii="Verdana" w:hAnsi="Verdana"/>
          <w:sz w:val="20"/>
          <w:szCs w:val="20"/>
          <w:lang w:val="es-CR"/>
        </w:rPr>
        <w:t>existía</w:t>
      </w:r>
      <w:proofErr w:type="spellEnd"/>
      <w:r w:rsidRPr="00CD4AD0">
        <w:rPr>
          <w:rFonts w:ascii="Verdana" w:hAnsi="Verdana"/>
          <w:sz w:val="20"/>
          <w:szCs w:val="20"/>
          <w:lang w:val="es-CR"/>
        </w:rPr>
        <w:t xml:space="preserve"> un </w:t>
      </w:r>
      <w:proofErr w:type="spellStart"/>
      <w:r w:rsidRPr="00CD4AD0">
        <w:rPr>
          <w:rFonts w:ascii="Verdana" w:hAnsi="Verdana"/>
          <w:sz w:val="20"/>
          <w:szCs w:val="20"/>
          <w:lang w:val="es-CR"/>
        </w:rPr>
        <w:t>ánimo</w:t>
      </w:r>
      <w:proofErr w:type="spellEnd"/>
      <w:r w:rsidRPr="00CD4AD0">
        <w:rPr>
          <w:rFonts w:ascii="Verdana" w:hAnsi="Verdana"/>
          <w:sz w:val="20"/>
          <w:szCs w:val="20"/>
          <w:lang w:val="es-CR"/>
        </w:rPr>
        <w:t xml:space="preserve"> de </w:t>
      </w:r>
      <w:proofErr w:type="spellStart"/>
      <w:r w:rsidRPr="00CD4AD0">
        <w:rPr>
          <w:rFonts w:ascii="Verdana" w:hAnsi="Verdana"/>
          <w:sz w:val="20"/>
          <w:szCs w:val="20"/>
          <w:lang w:val="es-CR"/>
        </w:rPr>
        <w:t>retaliación</w:t>
      </w:r>
      <w:proofErr w:type="spellEnd"/>
      <w:r w:rsidRPr="00CD4AD0">
        <w:rPr>
          <w:rFonts w:ascii="Verdana" w:hAnsi="Verdana"/>
          <w:sz w:val="20"/>
          <w:szCs w:val="20"/>
          <w:lang w:val="es-CR"/>
        </w:rPr>
        <w:t xml:space="preserve"> en contra de la presunta </w:t>
      </w:r>
      <w:proofErr w:type="spellStart"/>
      <w:r w:rsidRPr="00CD4AD0">
        <w:rPr>
          <w:rFonts w:ascii="Verdana" w:hAnsi="Verdana"/>
          <w:sz w:val="20"/>
          <w:szCs w:val="20"/>
          <w:lang w:val="es-CR"/>
        </w:rPr>
        <w:t>víctima</w:t>
      </w:r>
      <w:proofErr w:type="spellEnd"/>
      <w:r w:rsidRPr="00CD4AD0">
        <w:rPr>
          <w:rFonts w:ascii="Verdana" w:hAnsi="Verdana"/>
          <w:sz w:val="20"/>
          <w:szCs w:val="20"/>
          <w:lang w:val="es-CR"/>
        </w:rPr>
        <w:t xml:space="preserve"> y el </w:t>
      </w:r>
      <w:proofErr w:type="spellStart"/>
      <w:r w:rsidRPr="00CD4AD0">
        <w:rPr>
          <w:rFonts w:ascii="Verdana" w:hAnsi="Verdana"/>
          <w:sz w:val="20"/>
          <w:szCs w:val="20"/>
          <w:lang w:val="es-CR"/>
        </w:rPr>
        <w:t>propósito</w:t>
      </w:r>
      <w:proofErr w:type="spellEnd"/>
      <w:r w:rsidRPr="00CD4AD0">
        <w:rPr>
          <w:rFonts w:ascii="Verdana" w:hAnsi="Verdana"/>
          <w:sz w:val="20"/>
          <w:szCs w:val="20"/>
          <w:lang w:val="es-CR"/>
        </w:rPr>
        <w:t xml:space="preserve"> de silenciarlo por las denuncias de graves violaciones de derechos humanos que </w:t>
      </w:r>
      <w:proofErr w:type="spellStart"/>
      <w:r w:rsidRPr="00CD4AD0">
        <w:rPr>
          <w:rFonts w:ascii="Verdana" w:hAnsi="Verdana"/>
          <w:sz w:val="20"/>
          <w:szCs w:val="20"/>
          <w:lang w:val="es-CR"/>
        </w:rPr>
        <w:t>había</w:t>
      </w:r>
      <w:proofErr w:type="spellEnd"/>
      <w:r w:rsidRPr="00CD4AD0">
        <w:rPr>
          <w:rFonts w:ascii="Verdana" w:hAnsi="Verdana"/>
          <w:sz w:val="20"/>
          <w:szCs w:val="20"/>
          <w:lang w:val="es-CR"/>
        </w:rPr>
        <w:t xml:space="preserve"> hecho contra integrantes de la </w:t>
      </w:r>
      <w:proofErr w:type="spellStart"/>
      <w:r w:rsidRPr="00CD4AD0">
        <w:rPr>
          <w:rFonts w:ascii="Verdana" w:hAnsi="Verdana"/>
          <w:sz w:val="20"/>
          <w:szCs w:val="20"/>
          <w:lang w:val="es-CR"/>
        </w:rPr>
        <w:t>institución</w:t>
      </w:r>
      <w:proofErr w:type="spellEnd"/>
      <w:r w:rsidRPr="00CD4AD0">
        <w:rPr>
          <w:rFonts w:ascii="Verdana" w:hAnsi="Verdana"/>
          <w:sz w:val="20"/>
          <w:szCs w:val="20"/>
          <w:lang w:val="es-CR"/>
        </w:rPr>
        <w:t xml:space="preserve"> a la cual </w:t>
      </w:r>
      <w:proofErr w:type="spellStart"/>
      <w:r w:rsidRPr="00CD4AD0">
        <w:rPr>
          <w:rFonts w:ascii="Verdana" w:hAnsi="Verdana"/>
          <w:sz w:val="20"/>
          <w:szCs w:val="20"/>
          <w:lang w:val="es-CR"/>
        </w:rPr>
        <w:t>pertenecía</w:t>
      </w:r>
      <w:proofErr w:type="spellEnd"/>
      <w:r w:rsidRPr="00CD4AD0">
        <w:rPr>
          <w:rFonts w:ascii="Verdana" w:hAnsi="Verdana"/>
          <w:sz w:val="20"/>
          <w:szCs w:val="20"/>
          <w:lang w:val="es-CR"/>
        </w:rPr>
        <w:t xml:space="preserve"> para de esta forma resguardar la institucionalidad militar. La respuesta corporativa de la </w:t>
      </w:r>
      <w:proofErr w:type="spellStart"/>
      <w:r w:rsidRPr="00CD4AD0">
        <w:rPr>
          <w:rFonts w:ascii="Verdana" w:hAnsi="Verdana"/>
          <w:sz w:val="20"/>
          <w:szCs w:val="20"/>
          <w:lang w:val="es-CR"/>
        </w:rPr>
        <w:t>institución</w:t>
      </w:r>
      <w:proofErr w:type="spellEnd"/>
      <w:r w:rsidRPr="00CD4AD0">
        <w:rPr>
          <w:rFonts w:ascii="Verdana" w:hAnsi="Verdana"/>
          <w:sz w:val="20"/>
          <w:szCs w:val="20"/>
          <w:lang w:val="es-CR"/>
        </w:rPr>
        <w:t xml:space="preserve"> militar </w:t>
      </w:r>
      <w:proofErr w:type="spellStart"/>
      <w:r w:rsidRPr="00CD4AD0">
        <w:rPr>
          <w:rFonts w:ascii="Verdana" w:hAnsi="Verdana"/>
          <w:sz w:val="20"/>
          <w:szCs w:val="20"/>
          <w:lang w:val="es-CR"/>
        </w:rPr>
        <w:t>consistio</w:t>
      </w:r>
      <w:proofErr w:type="spellEnd"/>
      <w:r w:rsidRPr="00CD4AD0">
        <w:rPr>
          <w:rFonts w:ascii="Verdana" w:hAnsi="Verdana"/>
          <w:sz w:val="20"/>
          <w:szCs w:val="20"/>
          <w:lang w:val="es-CR"/>
        </w:rPr>
        <w:t xml:space="preserve">́ en la </w:t>
      </w:r>
      <w:proofErr w:type="spellStart"/>
      <w:r w:rsidRPr="00CD4AD0">
        <w:rPr>
          <w:rFonts w:ascii="Verdana" w:hAnsi="Verdana"/>
          <w:sz w:val="20"/>
          <w:szCs w:val="20"/>
          <w:lang w:val="es-CR"/>
        </w:rPr>
        <w:t>exclusión</w:t>
      </w:r>
      <w:proofErr w:type="spellEnd"/>
      <w:r w:rsidRPr="00CD4AD0">
        <w:rPr>
          <w:rFonts w:ascii="Verdana" w:hAnsi="Verdana"/>
          <w:sz w:val="20"/>
          <w:szCs w:val="20"/>
          <w:lang w:val="es-CR"/>
        </w:rPr>
        <w:t xml:space="preserve"> del </w:t>
      </w:r>
      <w:proofErr w:type="spellStart"/>
      <w:r w:rsidRPr="00CD4AD0">
        <w:rPr>
          <w:rFonts w:ascii="Verdana" w:hAnsi="Verdana"/>
          <w:sz w:val="20"/>
          <w:szCs w:val="20"/>
          <w:lang w:val="es-CR"/>
        </w:rPr>
        <w:t>señor</w:t>
      </w:r>
      <w:proofErr w:type="spellEnd"/>
      <w:r w:rsidRPr="00CD4AD0">
        <w:rPr>
          <w:rFonts w:ascii="Verdana" w:hAnsi="Verdana"/>
          <w:sz w:val="20"/>
          <w:szCs w:val="20"/>
          <w:lang w:val="es-CR"/>
        </w:rPr>
        <w:t xml:space="preserve"> Grijalva de la misma.</w:t>
      </w:r>
    </w:p>
    <w:p w14:paraId="2888B2C7" w14:textId="26305F58" w:rsidR="00CD4AD0" w:rsidRPr="00D86945" w:rsidRDefault="00CD4AD0" w:rsidP="00CD4AD0">
      <w:pPr>
        <w:spacing w:line="240" w:lineRule="auto"/>
        <w:ind w:right="49"/>
        <w:jc w:val="both"/>
        <w:rPr>
          <w:rFonts w:ascii="Verdana" w:hAnsi="Verdana"/>
          <w:sz w:val="20"/>
          <w:szCs w:val="20"/>
          <w:lang w:val="es-CR"/>
        </w:rPr>
      </w:pPr>
      <w:r w:rsidRPr="00CD4AD0">
        <w:rPr>
          <w:rFonts w:ascii="Verdana" w:hAnsi="Verdana"/>
          <w:sz w:val="20"/>
          <w:szCs w:val="20"/>
          <w:lang w:val="es-CR"/>
        </w:rPr>
        <w:t xml:space="preserve">159. Asimismo, la Corte estima que, por la naturaleza de las graves violaciones de derechos humanos que denunció el </w:t>
      </w:r>
      <w:proofErr w:type="spellStart"/>
      <w:r w:rsidRPr="00CD4AD0">
        <w:rPr>
          <w:rFonts w:ascii="Verdana" w:hAnsi="Verdana"/>
          <w:sz w:val="20"/>
          <w:szCs w:val="20"/>
          <w:lang w:val="es-CR"/>
        </w:rPr>
        <w:t>señor</w:t>
      </w:r>
      <w:proofErr w:type="spellEnd"/>
      <w:r w:rsidRPr="00CD4AD0">
        <w:rPr>
          <w:rFonts w:ascii="Verdana" w:hAnsi="Verdana"/>
          <w:sz w:val="20"/>
          <w:szCs w:val="20"/>
          <w:lang w:val="es-CR"/>
        </w:rPr>
        <w:t xml:space="preserve"> Grijalva Bueno en su </w:t>
      </w:r>
      <w:proofErr w:type="spellStart"/>
      <w:r w:rsidRPr="00CD4AD0">
        <w:rPr>
          <w:rFonts w:ascii="Verdana" w:hAnsi="Verdana"/>
          <w:sz w:val="20"/>
          <w:szCs w:val="20"/>
          <w:lang w:val="es-CR"/>
        </w:rPr>
        <w:t>desempeño</w:t>
      </w:r>
      <w:proofErr w:type="spellEnd"/>
      <w:r w:rsidRPr="00CD4AD0">
        <w:rPr>
          <w:rFonts w:ascii="Verdana" w:hAnsi="Verdana"/>
          <w:sz w:val="20"/>
          <w:szCs w:val="20"/>
          <w:lang w:val="es-CR"/>
        </w:rPr>
        <w:t xml:space="preserve"> en el cargo naval y como funcionario </w:t>
      </w:r>
      <w:proofErr w:type="spellStart"/>
      <w:r w:rsidRPr="00CD4AD0">
        <w:rPr>
          <w:rFonts w:ascii="Verdana" w:hAnsi="Verdana"/>
          <w:sz w:val="20"/>
          <w:szCs w:val="20"/>
          <w:lang w:val="es-CR"/>
        </w:rPr>
        <w:t>público</w:t>
      </w:r>
      <w:proofErr w:type="spellEnd"/>
      <w:r w:rsidRPr="00CD4AD0">
        <w:rPr>
          <w:rFonts w:ascii="Verdana" w:hAnsi="Verdana"/>
          <w:sz w:val="20"/>
          <w:szCs w:val="20"/>
          <w:lang w:val="es-CR"/>
        </w:rPr>
        <w:t xml:space="preserve">, estaba ejerciendo su libertad de </w:t>
      </w:r>
      <w:proofErr w:type="spellStart"/>
      <w:r w:rsidRPr="00CD4AD0">
        <w:rPr>
          <w:rFonts w:ascii="Verdana" w:hAnsi="Verdana"/>
          <w:sz w:val="20"/>
          <w:szCs w:val="20"/>
          <w:lang w:val="es-CR"/>
        </w:rPr>
        <w:t>expresión</w:t>
      </w:r>
      <w:proofErr w:type="spellEnd"/>
      <w:r w:rsidRPr="00CD4AD0">
        <w:rPr>
          <w:rFonts w:ascii="Verdana" w:hAnsi="Verdana"/>
          <w:sz w:val="20"/>
          <w:szCs w:val="20"/>
          <w:lang w:val="es-CR"/>
        </w:rPr>
        <w:t xml:space="preserve">. En consecuencia, este Tribunal considera que los hechos </w:t>
      </w:r>
      <w:proofErr w:type="spellStart"/>
      <w:r w:rsidRPr="00CD4AD0">
        <w:rPr>
          <w:rFonts w:ascii="Verdana" w:hAnsi="Verdana"/>
          <w:sz w:val="20"/>
          <w:szCs w:val="20"/>
          <w:lang w:val="es-CR"/>
        </w:rPr>
        <w:t>ilícitos</w:t>
      </w:r>
      <w:proofErr w:type="spellEnd"/>
      <w:r w:rsidRPr="00CD4AD0">
        <w:rPr>
          <w:rFonts w:ascii="Verdana" w:hAnsi="Verdana"/>
          <w:sz w:val="20"/>
          <w:szCs w:val="20"/>
          <w:lang w:val="es-CR"/>
        </w:rPr>
        <w:t xml:space="preserve"> cometidos por autoridades militares denunciados por el </w:t>
      </w:r>
      <w:proofErr w:type="spellStart"/>
      <w:r w:rsidRPr="00CD4AD0">
        <w:rPr>
          <w:rFonts w:ascii="Verdana" w:hAnsi="Verdana"/>
          <w:sz w:val="20"/>
          <w:szCs w:val="20"/>
          <w:lang w:val="es-CR"/>
        </w:rPr>
        <w:t>señor</w:t>
      </w:r>
      <w:proofErr w:type="spellEnd"/>
      <w:r w:rsidRPr="00CD4AD0">
        <w:rPr>
          <w:rFonts w:ascii="Verdana" w:hAnsi="Verdana"/>
          <w:sz w:val="20"/>
          <w:szCs w:val="20"/>
          <w:lang w:val="es-CR"/>
        </w:rPr>
        <w:t xml:space="preserve"> Grijalva tanto en el </w:t>
      </w:r>
      <w:proofErr w:type="spellStart"/>
      <w:r w:rsidRPr="00CD4AD0">
        <w:rPr>
          <w:rFonts w:ascii="Verdana" w:hAnsi="Verdana"/>
          <w:sz w:val="20"/>
          <w:szCs w:val="20"/>
          <w:lang w:val="es-CR"/>
        </w:rPr>
        <w:t>ámbito</w:t>
      </w:r>
      <w:proofErr w:type="spellEnd"/>
      <w:r w:rsidRPr="00CD4AD0">
        <w:rPr>
          <w:rFonts w:ascii="Verdana" w:hAnsi="Verdana"/>
          <w:sz w:val="20"/>
          <w:szCs w:val="20"/>
          <w:lang w:val="es-CR"/>
        </w:rPr>
        <w:t xml:space="preserve"> institucional como </w:t>
      </w:r>
      <w:proofErr w:type="spellStart"/>
      <w:r w:rsidRPr="00CD4AD0">
        <w:rPr>
          <w:rFonts w:ascii="Verdana" w:hAnsi="Verdana"/>
          <w:sz w:val="20"/>
          <w:szCs w:val="20"/>
          <w:lang w:val="es-CR"/>
        </w:rPr>
        <w:t>públicamente</w:t>
      </w:r>
      <w:proofErr w:type="spellEnd"/>
      <w:r w:rsidRPr="00CD4AD0">
        <w:rPr>
          <w:rFonts w:ascii="Verdana" w:hAnsi="Verdana"/>
          <w:sz w:val="20"/>
          <w:szCs w:val="20"/>
          <w:lang w:val="es-CR"/>
        </w:rPr>
        <w:t xml:space="preserve">, </w:t>
      </w:r>
      <w:proofErr w:type="spellStart"/>
      <w:r w:rsidRPr="00CD4AD0">
        <w:rPr>
          <w:rFonts w:ascii="Verdana" w:hAnsi="Verdana"/>
          <w:sz w:val="20"/>
          <w:szCs w:val="20"/>
          <w:lang w:val="es-CR"/>
        </w:rPr>
        <w:t>asi</w:t>
      </w:r>
      <w:proofErr w:type="spellEnd"/>
      <w:r w:rsidRPr="00CD4AD0">
        <w:rPr>
          <w:rFonts w:ascii="Verdana" w:hAnsi="Verdana"/>
          <w:sz w:val="20"/>
          <w:szCs w:val="20"/>
          <w:lang w:val="es-CR"/>
        </w:rPr>
        <w:t xml:space="preserve">́ como que las violaciones a las </w:t>
      </w:r>
      <w:proofErr w:type="spellStart"/>
      <w:r w:rsidRPr="00CD4AD0">
        <w:rPr>
          <w:rFonts w:ascii="Verdana" w:hAnsi="Verdana"/>
          <w:sz w:val="20"/>
          <w:szCs w:val="20"/>
          <w:lang w:val="es-CR"/>
        </w:rPr>
        <w:t>garantías</w:t>
      </w:r>
      <w:proofErr w:type="spellEnd"/>
      <w:r w:rsidRPr="00CD4AD0">
        <w:rPr>
          <w:rFonts w:ascii="Verdana" w:hAnsi="Verdana"/>
          <w:sz w:val="20"/>
          <w:szCs w:val="20"/>
          <w:lang w:val="es-CR"/>
        </w:rPr>
        <w:t xml:space="preserve"> judiciales del proceso de </w:t>
      </w:r>
      <w:proofErr w:type="spellStart"/>
      <w:r w:rsidRPr="00CD4AD0">
        <w:rPr>
          <w:rFonts w:ascii="Verdana" w:hAnsi="Verdana"/>
          <w:sz w:val="20"/>
          <w:szCs w:val="20"/>
          <w:lang w:val="es-CR"/>
        </w:rPr>
        <w:t>destitución</w:t>
      </w:r>
      <w:proofErr w:type="spellEnd"/>
      <w:r w:rsidRPr="00CD4AD0">
        <w:rPr>
          <w:rFonts w:ascii="Verdana" w:hAnsi="Verdana"/>
          <w:sz w:val="20"/>
          <w:szCs w:val="20"/>
          <w:lang w:val="es-CR"/>
        </w:rPr>
        <w:t xml:space="preserve"> se trasladaron al proceso penal militar, pudieron haber generado un efecto intimidador o inhibidor en el libre y pleno ejercicio de su libertad de </w:t>
      </w:r>
      <w:proofErr w:type="spellStart"/>
      <w:r w:rsidRPr="00CD4AD0">
        <w:rPr>
          <w:rFonts w:ascii="Verdana" w:hAnsi="Verdana"/>
          <w:sz w:val="20"/>
          <w:szCs w:val="20"/>
          <w:lang w:val="es-CR"/>
        </w:rPr>
        <w:t>expresión</w:t>
      </w:r>
      <w:proofErr w:type="spellEnd"/>
      <w:r w:rsidRPr="00CD4AD0">
        <w:rPr>
          <w:rFonts w:ascii="Verdana" w:hAnsi="Verdana"/>
          <w:sz w:val="20"/>
          <w:szCs w:val="20"/>
          <w:lang w:val="es-CR"/>
        </w:rPr>
        <w:t>. A la vez pudieron tener un efecto intimidador respecto de las</w:t>
      </w:r>
      <w:r>
        <w:rPr>
          <w:rFonts w:ascii="Verdana" w:hAnsi="Verdana"/>
          <w:sz w:val="20"/>
          <w:szCs w:val="20"/>
          <w:lang w:val="es-CR"/>
        </w:rPr>
        <w:t xml:space="preserve"> </w:t>
      </w:r>
      <w:r w:rsidRPr="00CD4AD0">
        <w:rPr>
          <w:rFonts w:ascii="Verdana" w:hAnsi="Verdana"/>
          <w:sz w:val="20"/>
          <w:szCs w:val="20"/>
          <w:lang w:val="es-CR"/>
        </w:rPr>
        <w:t xml:space="preserve">denuncias de violaciones de derechos humanos realizadas por integrantes de las fuerzas armadas, lo que a su vez </w:t>
      </w:r>
      <w:proofErr w:type="spellStart"/>
      <w:r w:rsidRPr="00CD4AD0">
        <w:rPr>
          <w:rFonts w:ascii="Verdana" w:hAnsi="Verdana"/>
          <w:sz w:val="20"/>
          <w:szCs w:val="20"/>
          <w:lang w:val="es-CR"/>
        </w:rPr>
        <w:t>habría</w:t>
      </w:r>
      <w:proofErr w:type="spellEnd"/>
      <w:r w:rsidRPr="00CD4AD0">
        <w:rPr>
          <w:rFonts w:ascii="Verdana" w:hAnsi="Verdana"/>
          <w:sz w:val="20"/>
          <w:szCs w:val="20"/>
          <w:lang w:val="es-CR"/>
        </w:rPr>
        <w:t xml:space="preserve"> afectado la </w:t>
      </w:r>
      <w:proofErr w:type="spellStart"/>
      <w:r w:rsidRPr="00CD4AD0">
        <w:rPr>
          <w:rFonts w:ascii="Verdana" w:hAnsi="Verdana"/>
          <w:sz w:val="20"/>
          <w:szCs w:val="20"/>
          <w:lang w:val="es-CR"/>
        </w:rPr>
        <w:t>dimensión</w:t>
      </w:r>
      <w:proofErr w:type="spellEnd"/>
      <w:r w:rsidRPr="00CD4AD0">
        <w:rPr>
          <w:rFonts w:ascii="Verdana" w:hAnsi="Verdana"/>
          <w:sz w:val="20"/>
          <w:szCs w:val="20"/>
          <w:lang w:val="es-CR"/>
        </w:rPr>
        <w:t xml:space="preserve"> social del derecho a la libertad de </w:t>
      </w:r>
      <w:proofErr w:type="spellStart"/>
      <w:r w:rsidRPr="00CD4AD0">
        <w:rPr>
          <w:rFonts w:ascii="Verdana" w:hAnsi="Verdana"/>
          <w:sz w:val="20"/>
          <w:szCs w:val="20"/>
          <w:lang w:val="es-CR"/>
        </w:rPr>
        <w:t>expresión</w:t>
      </w:r>
      <w:proofErr w:type="spellEnd"/>
      <w:r w:rsidRPr="00CD4AD0">
        <w:rPr>
          <w:rFonts w:ascii="Verdana" w:hAnsi="Verdana"/>
          <w:sz w:val="20"/>
          <w:szCs w:val="20"/>
          <w:lang w:val="es-CR"/>
        </w:rPr>
        <w:t xml:space="preserve">. En consecuencia, la Corte estima que el Estado violó en perjuicio del </w:t>
      </w:r>
      <w:proofErr w:type="spellStart"/>
      <w:r w:rsidRPr="00CD4AD0">
        <w:rPr>
          <w:rFonts w:ascii="Verdana" w:hAnsi="Verdana"/>
          <w:sz w:val="20"/>
          <w:szCs w:val="20"/>
          <w:lang w:val="es-CR"/>
        </w:rPr>
        <w:t>señor</w:t>
      </w:r>
      <w:proofErr w:type="spellEnd"/>
      <w:r w:rsidRPr="00CD4AD0">
        <w:rPr>
          <w:rFonts w:ascii="Verdana" w:hAnsi="Verdana"/>
          <w:sz w:val="20"/>
          <w:szCs w:val="20"/>
          <w:lang w:val="es-CR"/>
        </w:rPr>
        <w:t xml:space="preserve"> Grijalva Bueno el artículo 13.1 de la Convención Americana.</w:t>
      </w:r>
    </w:p>
    <w:p w14:paraId="203CEBE4" w14:textId="542D7443" w:rsidR="00987FF9" w:rsidRPr="00D86945" w:rsidRDefault="00904DBE" w:rsidP="00BF3BF6">
      <w:pPr>
        <w:pStyle w:val="Ttulo3"/>
      </w:pPr>
      <w:bookmarkStart w:id="8" w:name="_Toc89691460"/>
      <w:r w:rsidRPr="00D86945">
        <w:t>B)</w:t>
      </w:r>
      <w:r w:rsidR="00987FF9" w:rsidRPr="00D86945">
        <w:t xml:space="preserve"> Buscar y recibir: acceso a la información</w:t>
      </w:r>
      <w:bookmarkEnd w:id="8"/>
    </w:p>
    <w:p w14:paraId="4D9C7E8D" w14:textId="7DBC1300" w:rsidR="00987FF9" w:rsidRPr="00D86945" w:rsidRDefault="00987FF9" w:rsidP="004F4FE7">
      <w:pPr>
        <w:spacing w:line="240" w:lineRule="auto"/>
        <w:ind w:right="49"/>
        <w:jc w:val="both"/>
        <w:rPr>
          <w:rFonts w:ascii="Verdana" w:eastAsia="Times New Roman" w:hAnsi="Verdana" w:cs="Times New Roman"/>
          <w:sz w:val="20"/>
          <w:szCs w:val="20"/>
          <w:lang w:eastAsia="es-ES_tradnl"/>
        </w:rPr>
      </w:pPr>
      <w:r w:rsidRPr="00D86945">
        <w:rPr>
          <w:rFonts w:ascii="Verdana" w:eastAsia="Times New Roman" w:hAnsi="Verdana" w:cs="Times New Roman"/>
          <w:b/>
          <w:bCs/>
          <w:sz w:val="20"/>
          <w:szCs w:val="20"/>
          <w:shd w:val="clear" w:color="auto" w:fill="FFFFFF"/>
          <w:lang w:eastAsia="es-ES_tradnl"/>
        </w:rPr>
        <w:t>Corte IDH. Caso Claude Reyes y otros Vs. Chile. Fondo, Reparaciones y Costas. Sentencia de 19 de septiembre de 2006. Serie C No. 151.</w:t>
      </w:r>
      <w:r w:rsidRPr="00D86945">
        <w:rPr>
          <w:rStyle w:val="Refdenotaalpie"/>
          <w:rFonts w:ascii="Verdana" w:hAnsi="Verdana"/>
          <w:b/>
          <w:sz w:val="20"/>
          <w:szCs w:val="20"/>
        </w:rPr>
        <w:footnoteReference w:id="18"/>
      </w:r>
    </w:p>
    <w:p w14:paraId="07AFBEE4" w14:textId="720B2EA2" w:rsidR="00987FF9" w:rsidRPr="00D86945" w:rsidRDefault="00987FF9" w:rsidP="004F4FE7">
      <w:pPr>
        <w:spacing w:line="240" w:lineRule="auto"/>
        <w:ind w:right="49"/>
        <w:jc w:val="both"/>
        <w:rPr>
          <w:rFonts w:ascii="Verdana" w:hAnsi="Verdana" w:cs="Times New Roman"/>
          <w:sz w:val="18"/>
          <w:szCs w:val="18"/>
        </w:rPr>
      </w:pPr>
      <w:r w:rsidRPr="00D86945">
        <w:rPr>
          <w:rFonts w:ascii="Verdana" w:hAnsi="Verdana" w:cs="Times New Roman"/>
          <w:sz w:val="20"/>
          <w:szCs w:val="20"/>
        </w:rPr>
        <w:t>76.</w:t>
      </w:r>
      <w:r w:rsidRPr="00D86945">
        <w:rPr>
          <w:rFonts w:ascii="Verdana" w:hAnsi="Verdana" w:cs="Times New Roman"/>
          <w:sz w:val="20"/>
          <w:szCs w:val="20"/>
        </w:rPr>
        <w:tab/>
        <w:t xml:space="preserve">En este sentido la Corte ha establecido que, de acuerdo a la protección que otorga la Convención Americana, el derecho a la libertad de pensamiento y de expresión comprende “no sólo el derecho y la libertad de expresar su propio pensamiento, sino también el derecho y la libertad de </w:t>
      </w:r>
      <w:r w:rsidRPr="00D86945">
        <w:rPr>
          <w:rFonts w:ascii="Verdana" w:hAnsi="Verdana" w:cs="Times New Roman"/>
          <w:i/>
          <w:iCs/>
          <w:sz w:val="20"/>
          <w:szCs w:val="20"/>
        </w:rPr>
        <w:t>buscar, recibir</w:t>
      </w:r>
      <w:r w:rsidRPr="00D86945">
        <w:rPr>
          <w:rFonts w:ascii="Verdana" w:hAnsi="Verdana" w:cs="Times New Roman"/>
          <w:sz w:val="20"/>
          <w:szCs w:val="20"/>
        </w:rPr>
        <w:t xml:space="preserve"> y difundir informaciones e ideas de toda índole”. Al igual que la Convención Americana, otros instrumentos internacionales de derechos humanos, tales como la Declaración Universal de Derechos Humanos y el Pacto Internacional de Derechos Civiles y </w:t>
      </w:r>
      <w:r w:rsidRPr="00D86945">
        <w:rPr>
          <w:rFonts w:ascii="Verdana" w:hAnsi="Verdana" w:cs="Times New Roman"/>
          <w:sz w:val="20"/>
          <w:szCs w:val="20"/>
        </w:rPr>
        <w:lastRenderedPageBreak/>
        <w:t>Políticos, establecen un derecho positivo a buscar y a recibir información.</w:t>
      </w:r>
      <w:r w:rsidR="00D35646" w:rsidRPr="00D86945">
        <w:rPr>
          <w:rFonts w:ascii="Verdana" w:hAnsi="Verdana" w:cs="Times New Roman"/>
          <w:sz w:val="20"/>
          <w:szCs w:val="20"/>
        </w:rPr>
        <w:t xml:space="preserve"> </w:t>
      </w:r>
      <w:r w:rsidR="000344B9" w:rsidRPr="000344B9">
        <w:rPr>
          <w:rFonts w:ascii="Verdana" w:hAnsi="Verdana" w:cs="Times New Roman"/>
          <w:b/>
          <w:bCs/>
          <w:sz w:val="18"/>
          <w:szCs w:val="18"/>
        </w:rPr>
        <w:t>[</w:t>
      </w:r>
      <w:r w:rsidR="002A5747">
        <w:rPr>
          <w:rFonts w:ascii="Verdana" w:hAnsi="Verdana" w:cs="Times New Roman"/>
          <w:b/>
          <w:sz w:val="18"/>
          <w:szCs w:val="18"/>
        </w:rPr>
        <w:t>En similar sentido, ver entre otros:</w:t>
      </w:r>
      <w:r w:rsidRPr="000344B9">
        <w:rPr>
          <w:rFonts w:ascii="Verdana" w:hAnsi="Verdana" w:cs="Times New Roman"/>
          <w:sz w:val="18"/>
          <w:szCs w:val="18"/>
        </w:rPr>
        <w:t xml:space="preserve"> </w:t>
      </w:r>
      <w:r w:rsidRPr="000344B9">
        <w:rPr>
          <w:rFonts w:ascii="Verdana" w:hAnsi="Verdana" w:cs="Times New Roman"/>
          <w:b/>
          <w:sz w:val="18"/>
          <w:szCs w:val="18"/>
        </w:rPr>
        <w:t xml:space="preserve">Caso Gomes </w:t>
      </w:r>
      <w:proofErr w:type="spellStart"/>
      <w:r w:rsidRPr="000344B9">
        <w:rPr>
          <w:rFonts w:ascii="Verdana" w:hAnsi="Verdana" w:cs="Times New Roman"/>
          <w:b/>
          <w:sz w:val="18"/>
          <w:szCs w:val="18"/>
        </w:rPr>
        <w:t>Lund</w:t>
      </w:r>
      <w:proofErr w:type="spellEnd"/>
      <w:r w:rsidRPr="000344B9">
        <w:rPr>
          <w:rFonts w:ascii="Verdana" w:hAnsi="Verdana" w:cs="Times New Roman"/>
          <w:b/>
          <w:sz w:val="18"/>
          <w:szCs w:val="18"/>
        </w:rPr>
        <w:t xml:space="preserve"> y otros ("</w:t>
      </w:r>
      <w:proofErr w:type="spellStart"/>
      <w:r w:rsidRPr="000344B9">
        <w:rPr>
          <w:rFonts w:ascii="Verdana" w:hAnsi="Verdana" w:cs="Times New Roman"/>
          <w:b/>
          <w:sz w:val="18"/>
          <w:szCs w:val="18"/>
        </w:rPr>
        <w:t>Guerrilha</w:t>
      </w:r>
      <w:proofErr w:type="spellEnd"/>
      <w:r w:rsidRPr="000344B9">
        <w:rPr>
          <w:rFonts w:ascii="Verdana" w:hAnsi="Verdana" w:cs="Times New Roman"/>
          <w:b/>
          <w:sz w:val="18"/>
          <w:szCs w:val="18"/>
        </w:rPr>
        <w:t xml:space="preserve"> do </w:t>
      </w:r>
      <w:proofErr w:type="spellStart"/>
      <w:r w:rsidRPr="000344B9">
        <w:rPr>
          <w:rFonts w:ascii="Verdana" w:hAnsi="Verdana" w:cs="Times New Roman"/>
          <w:b/>
          <w:sz w:val="18"/>
          <w:szCs w:val="18"/>
        </w:rPr>
        <w:t>Araguaia</w:t>
      </w:r>
      <w:proofErr w:type="spellEnd"/>
      <w:r w:rsidRPr="000344B9">
        <w:rPr>
          <w:rFonts w:ascii="Verdana" w:hAnsi="Verdana" w:cs="Times New Roman"/>
          <w:b/>
          <w:sz w:val="18"/>
          <w:szCs w:val="18"/>
        </w:rPr>
        <w:t>") Vs. Brasil. Excepciones Preliminares, Fondo, Reparaciones y Costas. Sentencia de 24 de noviembre de 2010. Serie C No. 219, párr.196</w:t>
      </w:r>
      <w:r w:rsidR="000344B9" w:rsidRPr="000344B9">
        <w:rPr>
          <w:rFonts w:ascii="Verdana" w:hAnsi="Verdana" w:cs="Times New Roman"/>
          <w:b/>
          <w:sz w:val="18"/>
          <w:szCs w:val="18"/>
        </w:rPr>
        <w:t>]</w:t>
      </w:r>
      <w:r w:rsidRPr="000344B9">
        <w:rPr>
          <w:rFonts w:ascii="Verdana" w:hAnsi="Verdana" w:cs="Times New Roman"/>
          <w:b/>
          <w:sz w:val="18"/>
          <w:szCs w:val="18"/>
        </w:rPr>
        <w:t>.</w:t>
      </w:r>
    </w:p>
    <w:p w14:paraId="6021A978" w14:textId="1D179CE3" w:rsidR="00987FF9" w:rsidRPr="00D86945" w:rsidRDefault="00987FF9" w:rsidP="004F4FE7">
      <w:pPr>
        <w:spacing w:line="240" w:lineRule="auto"/>
        <w:ind w:right="49"/>
        <w:jc w:val="both"/>
        <w:rPr>
          <w:rFonts w:ascii="Verdana" w:hAnsi="Verdana" w:cs="Times New Roman"/>
          <w:b/>
          <w:sz w:val="18"/>
          <w:szCs w:val="18"/>
        </w:rPr>
      </w:pPr>
      <w:r w:rsidRPr="00D86945">
        <w:rPr>
          <w:rFonts w:ascii="Verdana" w:hAnsi="Verdana" w:cs="Times New Roman"/>
          <w:sz w:val="20"/>
          <w:szCs w:val="20"/>
        </w:rPr>
        <w:t>77.</w:t>
      </w:r>
      <w:r w:rsidRPr="00D86945">
        <w:rPr>
          <w:rFonts w:ascii="Verdana" w:hAnsi="Verdana" w:cs="Times New Roman"/>
          <w:sz w:val="20"/>
          <w:szCs w:val="20"/>
        </w:rPr>
        <w:tab/>
        <w:t>En lo que respecta a los hechos del presente caso, la Corte estima que el artículo 13 de la Convención, al estipular expresamente los derechos a “buscar” y a “recibir” “informaciones”, protege el derecho que tiene toda persona a solicitar el acceso a la información bajo el control del Estado, con las salvedades permitidas bajo el régimen de restricciones de la Convención. Consecuentemente, dicho artículo ampara el derecho de las personas a recibir dicha información y la obligación positiva del Estado de suministrarla, de forma tal que la persona pueda tener acceso a conocer esa información o reciba una respuesta fundamentada cuando por algún motivo permitido por la Convención el Estado pueda limitar el acceso a la misma para el caso concreto. Dicha información debe ser entregada sin necesidad de acreditar un interés directo para su obtención o una afectación personal, salvo en los casos en que se aplique una legítima restricción.</w:t>
      </w:r>
      <w:r w:rsidR="00D35646" w:rsidRPr="00D86945">
        <w:rPr>
          <w:rFonts w:ascii="Verdana" w:hAnsi="Verdana" w:cs="Times New Roman"/>
          <w:sz w:val="20"/>
          <w:szCs w:val="20"/>
        </w:rPr>
        <w:t xml:space="preserve"> </w:t>
      </w:r>
      <w:r w:rsidRPr="00D86945">
        <w:rPr>
          <w:rFonts w:ascii="Verdana" w:hAnsi="Verdana" w:cs="Times New Roman"/>
          <w:sz w:val="20"/>
          <w:szCs w:val="20"/>
        </w:rPr>
        <w:t>Su entrega a una persona puede permitir a su vez que ésta circule en la sociedad de manera que pueda conocerla, acceder a ella y valorarla. De esta forma, el derecho a la libertad de pensamiento y de expresión contempla la protección del derecho de acceso a la información bajo el control del Estado, el cual también contiene de manera clara las dos dimensiones, individual y social, del derecho a la libertad de pensamiento y de expresión, las cuales deben ser garantizadas por el Estado de forma simultánea.</w:t>
      </w:r>
      <w:r w:rsidRPr="00D86945">
        <w:rPr>
          <w:rFonts w:ascii="Verdana" w:hAnsi="Verdana" w:cs="Times New Roman"/>
          <w:b/>
          <w:sz w:val="20"/>
          <w:szCs w:val="20"/>
        </w:rPr>
        <w:t xml:space="preserve"> </w:t>
      </w:r>
      <w:r w:rsidR="000344B9">
        <w:rPr>
          <w:rFonts w:ascii="Verdana" w:hAnsi="Verdana" w:cs="Times New Roman"/>
          <w:b/>
          <w:sz w:val="20"/>
          <w:szCs w:val="20"/>
        </w:rPr>
        <w:t>[</w:t>
      </w:r>
      <w:r w:rsidR="002A5747">
        <w:rPr>
          <w:rFonts w:ascii="Verdana" w:hAnsi="Verdana" w:cs="Times New Roman"/>
          <w:b/>
          <w:sz w:val="18"/>
          <w:szCs w:val="18"/>
        </w:rPr>
        <w:t>En similar sentido, ver entre otros:</w:t>
      </w:r>
      <w:r w:rsidRPr="00D86945">
        <w:rPr>
          <w:rFonts w:ascii="Verdana" w:hAnsi="Verdana" w:cs="Times New Roman"/>
          <w:b/>
          <w:sz w:val="18"/>
          <w:szCs w:val="18"/>
        </w:rPr>
        <w:t xml:space="preserve"> Caso Gomes </w:t>
      </w:r>
      <w:proofErr w:type="spellStart"/>
      <w:r w:rsidRPr="00D86945">
        <w:rPr>
          <w:rFonts w:ascii="Verdana" w:hAnsi="Verdana" w:cs="Times New Roman"/>
          <w:b/>
          <w:sz w:val="18"/>
          <w:szCs w:val="18"/>
        </w:rPr>
        <w:t>Lund</w:t>
      </w:r>
      <w:proofErr w:type="spellEnd"/>
      <w:r w:rsidRPr="00D86945">
        <w:rPr>
          <w:rFonts w:ascii="Verdana" w:hAnsi="Verdana" w:cs="Times New Roman"/>
          <w:b/>
          <w:sz w:val="18"/>
          <w:szCs w:val="18"/>
        </w:rPr>
        <w:t xml:space="preserve"> y otros ("</w:t>
      </w:r>
      <w:proofErr w:type="spellStart"/>
      <w:r w:rsidRPr="00D86945">
        <w:rPr>
          <w:rFonts w:ascii="Verdana" w:hAnsi="Verdana" w:cs="Times New Roman"/>
          <w:b/>
          <w:sz w:val="18"/>
          <w:szCs w:val="18"/>
        </w:rPr>
        <w:t>Guerrilha</w:t>
      </w:r>
      <w:proofErr w:type="spellEnd"/>
      <w:r w:rsidRPr="00D86945">
        <w:rPr>
          <w:rFonts w:ascii="Verdana" w:hAnsi="Verdana" w:cs="Times New Roman"/>
          <w:b/>
          <w:sz w:val="18"/>
          <w:szCs w:val="18"/>
        </w:rPr>
        <w:t xml:space="preserve"> do </w:t>
      </w:r>
      <w:proofErr w:type="spellStart"/>
      <w:r w:rsidRPr="00D86945">
        <w:rPr>
          <w:rFonts w:ascii="Verdana" w:hAnsi="Verdana" w:cs="Times New Roman"/>
          <w:b/>
          <w:sz w:val="18"/>
          <w:szCs w:val="18"/>
        </w:rPr>
        <w:t>Araguaia</w:t>
      </w:r>
      <w:proofErr w:type="spellEnd"/>
      <w:r w:rsidRPr="00D86945">
        <w:rPr>
          <w:rFonts w:ascii="Verdana" w:hAnsi="Verdana" w:cs="Times New Roman"/>
          <w:b/>
          <w:sz w:val="18"/>
          <w:szCs w:val="18"/>
        </w:rPr>
        <w:t xml:space="preserve">") Vs. Brasil. Excepciones Preliminares, Fondo, Reparaciones y Costas. Sentencia de 24 de noviembre de 2010. Serie C No. 219, párr.197; </w:t>
      </w:r>
      <w:r w:rsidR="000344B9">
        <w:rPr>
          <w:rFonts w:ascii="Verdana" w:hAnsi="Verdana" w:cs="Times New Roman"/>
          <w:b/>
          <w:sz w:val="18"/>
          <w:szCs w:val="18"/>
        </w:rPr>
        <w:t xml:space="preserve">y </w:t>
      </w:r>
      <w:r w:rsidRPr="00D86945">
        <w:rPr>
          <w:rFonts w:ascii="Verdana" w:hAnsi="Verdana" w:cs="Times New Roman"/>
          <w:b/>
          <w:sz w:val="18"/>
          <w:szCs w:val="18"/>
        </w:rPr>
        <w:t xml:space="preserve">Caso Pueblos </w:t>
      </w:r>
      <w:proofErr w:type="spellStart"/>
      <w:r w:rsidRPr="00D86945">
        <w:rPr>
          <w:rFonts w:ascii="Verdana" w:hAnsi="Verdana" w:cs="Times New Roman"/>
          <w:b/>
          <w:sz w:val="18"/>
          <w:szCs w:val="18"/>
        </w:rPr>
        <w:t>Kaliña</w:t>
      </w:r>
      <w:proofErr w:type="spellEnd"/>
      <w:r w:rsidRPr="00D86945">
        <w:rPr>
          <w:rFonts w:ascii="Verdana" w:hAnsi="Verdana" w:cs="Times New Roman"/>
          <w:b/>
          <w:sz w:val="18"/>
          <w:szCs w:val="18"/>
        </w:rPr>
        <w:t xml:space="preserve"> y </w:t>
      </w:r>
      <w:proofErr w:type="spellStart"/>
      <w:r w:rsidRPr="00D86945">
        <w:rPr>
          <w:rFonts w:ascii="Verdana" w:hAnsi="Verdana" w:cs="Times New Roman"/>
          <w:b/>
          <w:sz w:val="18"/>
          <w:szCs w:val="18"/>
        </w:rPr>
        <w:t>Lokono</w:t>
      </w:r>
      <w:proofErr w:type="spellEnd"/>
      <w:r w:rsidRPr="00D86945">
        <w:rPr>
          <w:rFonts w:ascii="Verdana" w:hAnsi="Verdana" w:cs="Times New Roman"/>
          <w:b/>
          <w:sz w:val="18"/>
          <w:szCs w:val="18"/>
        </w:rPr>
        <w:t xml:space="preserve"> Vs. Surinam. Fondo, Reparaciones y Costas. Sentencia de 25 de noviembre de 2015. Serie C No. 309, párr.261</w:t>
      </w:r>
      <w:r w:rsidR="000344B9">
        <w:rPr>
          <w:rFonts w:ascii="Verdana" w:hAnsi="Verdana" w:cs="Times New Roman"/>
          <w:b/>
          <w:sz w:val="18"/>
          <w:szCs w:val="18"/>
        </w:rPr>
        <w:t>]</w:t>
      </w:r>
      <w:r w:rsidRPr="00D86945">
        <w:rPr>
          <w:rFonts w:ascii="Verdana" w:hAnsi="Verdana" w:cs="Times New Roman"/>
          <w:b/>
          <w:sz w:val="18"/>
          <w:szCs w:val="18"/>
        </w:rPr>
        <w:t>.</w:t>
      </w:r>
    </w:p>
    <w:p w14:paraId="066F3B30" w14:textId="17FF9893" w:rsidR="00987FF9" w:rsidRPr="00D86945" w:rsidRDefault="00987FF9" w:rsidP="004F4FE7">
      <w:pPr>
        <w:spacing w:line="240" w:lineRule="auto"/>
        <w:ind w:right="49"/>
        <w:jc w:val="both"/>
        <w:rPr>
          <w:rFonts w:ascii="Verdana" w:hAnsi="Verdana" w:cs="Times New Roman"/>
          <w:sz w:val="18"/>
          <w:szCs w:val="18"/>
        </w:rPr>
      </w:pPr>
      <w:r w:rsidRPr="00D86945">
        <w:rPr>
          <w:rFonts w:ascii="Verdana" w:hAnsi="Verdana" w:cs="Times New Roman"/>
          <w:sz w:val="20"/>
          <w:szCs w:val="20"/>
        </w:rPr>
        <w:t>78.</w:t>
      </w:r>
      <w:r w:rsidRPr="00D86945">
        <w:rPr>
          <w:rFonts w:ascii="Verdana" w:hAnsi="Verdana" w:cs="Times New Roman"/>
          <w:sz w:val="20"/>
          <w:szCs w:val="20"/>
        </w:rPr>
        <w:tab/>
        <w:t>Al respecto, es importante destacar que existe un consenso regional de los Estados que integran la Organización de los Estados Americanos (en adelante “la OEA”) sobre la importancia del acceso a la información pública y la necesidad de su protección.</w:t>
      </w:r>
      <w:r w:rsidR="00D35646" w:rsidRPr="00D86945">
        <w:rPr>
          <w:rFonts w:ascii="Verdana" w:hAnsi="Verdana" w:cs="Times New Roman"/>
          <w:sz w:val="20"/>
          <w:szCs w:val="20"/>
        </w:rPr>
        <w:t xml:space="preserve"> </w:t>
      </w:r>
      <w:r w:rsidRPr="00D86945">
        <w:rPr>
          <w:rFonts w:ascii="Verdana" w:hAnsi="Verdana" w:cs="Times New Roman"/>
          <w:sz w:val="20"/>
          <w:szCs w:val="20"/>
        </w:rPr>
        <w:t xml:space="preserve">Dicho derecho ha sido objeto de resoluciones específicas emitidas por la Asamblea General de la OEA. </w:t>
      </w:r>
      <w:r w:rsidRPr="00D86945" w:rsidDel="002D55EC">
        <w:rPr>
          <w:rFonts w:ascii="Verdana" w:hAnsi="Verdana" w:cs="Times New Roman"/>
          <w:sz w:val="20"/>
          <w:szCs w:val="20"/>
        </w:rPr>
        <w:t>En la última Resolución de 3 de junio de 2006 la Asamblea General</w:t>
      </w:r>
      <w:r w:rsidRPr="00D86945">
        <w:rPr>
          <w:rFonts w:ascii="Verdana" w:hAnsi="Verdana" w:cs="Times New Roman"/>
          <w:sz w:val="20"/>
          <w:szCs w:val="20"/>
        </w:rPr>
        <w:t xml:space="preserve"> de la OEA “</w:t>
      </w:r>
      <w:proofErr w:type="spellStart"/>
      <w:r w:rsidRPr="00D86945">
        <w:rPr>
          <w:rFonts w:ascii="Verdana" w:hAnsi="Verdana" w:cs="Times New Roman"/>
          <w:sz w:val="20"/>
          <w:szCs w:val="20"/>
        </w:rPr>
        <w:t>inst</w:t>
      </w:r>
      <w:proofErr w:type="spellEnd"/>
      <w:r w:rsidRPr="00D86945">
        <w:rPr>
          <w:rFonts w:ascii="Verdana" w:hAnsi="Verdana" w:cs="Times New Roman"/>
          <w:sz w:val="20"/>
          <w:szCs w:val="20"/>
        </w:rPr>
        <w:t>[</w:t>
      </w:r>
      <w:proofErr w:type="spellStart"/>
      <w:r w:rsidRPr="00D86945">
        <w:rPr>
          <w:rFonts w:ascii="Verdana" w:hAnsi="Verdana" w:cs="Times New Roman"/>
          <w:sz w:val="20"/>
          <w:szCs w:val="20"/>
        </w:rPr>
        <w:t>ó</w:t>
      </w:r>
      <w:proofErr w:type="spellEnd"/>
      <w:r w:rsidRPr="00D86945">
        <w:rPr>
          <w:rFonts w:ascii="Verdana" w:hAnsi="Verdana" w:cs="Times New Roman"/>
          <w:sz w:val="20"/>
          <w:szCs w:val="20"/>
        </w:rPr>
        <w:t xml:space="preserve">] a los Estados a que respeten y hagan respetar el acceso a la información pública a todas las personas y [a] promover la adopción de disposiciones legislativas o de otro carácter que fueran necesarias para asegurar su reconocimiento y aplicación efectiva”. </w:t>
      </w:r>
      <w:r w:rsidR="000344B9">
        <w:rPr>
          <w:rFonts w:ascii="Verdana" w:hAnsi="Verdana" w:cs="Times New Roman"/>
          <w:b/>
          <w:bCs/>
          <w:sz w:val="20"/>
          <w:szCs w:val="20"/>
        </w:rPr>
        <w:t>[</w:t>
      </w:r>
      <w:r w:rsidR="002A5747">
        <w:rPr>
          <w:rFonts w:ascii="Verdana" w:hAnsi="Verdana" w:cs="Times New Roman"/>
          <w:b/>
          <w:sz w:val="18"/>
          <w:szCs w:val="18"/>
        </w:rPr>
        <w:t>En similar sentido, ver entre otros:</w:t>
      </w:r>
      <w:r w:rsidRPr="00D86945">
        <w:rPr>
          <w:rFonts w:ascii="Verdana" w:hAnsi="Verdana" w:cs="Times New Roman"/>
          <w:sz w:val="18"/>
          <w:szCs w:val="18"/>
        </w:rPr>
        <w:t xml:space="preserve"> </w:t>
      </w:r>
      <w:r w:rsidRPr="00D86945">
        <w:rPr>
          <w:rFonts w:ascii="Verdana" w:hAnsi="Verdana" w:cs="Times New Roman"/>
          <w:b/>
          <w:sz w:val="18"/>
          <w:szCs w:val="18"/>
        </w:rPr>
        <w:t xml:space="preserve">Caso Gomes </w:t>
      </w:r>
      <w:proofErr w:type="spellStart"/>
      <w:r w:rsidRPr="00D86945">
        <w:rPr>
          <w:rFonts w:ascii="Verdana" w:hAnsi="Verdana" w:cs="Times New Roman"/>
          <w:b/>
          <w:sz w:val="18"/>
          <w:szCs w:val="18"/>
        </w:rPr>
        <w:t>Lund</w:t>
      </w:r>
      <w:proofErr w:type="spellEnd"/>
      <w:r w:rsidRPr="00D86945">
        <w:rPr>
          <w:rFonts w:ascii="Verdana" w:hAnsi="Verdana" w:cs="Times New Roman"/>
          <w:b/>
          <w:sz w:val="18"/>
          <w:szCs w:val="18"/>
        </w:rPr>
        <w:t xml:space="preserve"> y otros ("</w:t>
      </w:r>
      <w:proofErr w:type="spellStart"/>
      <w:r w:rsidRPr="00D86945">
        <w:rPr>
          <w:rFonts w:ascii="Verdana" w:hAnsi="Verdana" w:cs="Times New Roman"/>
          <w:b/>
          <w:sz w:val="18"/>
          <w:szCs w:val="18"/>
        </w:rPr>
        <w:t>Guerrilha</w:t>
      </w:r>
      <w:proofErr w:type="spellEnd"/>
      <w:r w:rsidRPr="00D86945">
        <w:rPr>
          <w:rFonts w:ascii="Verdana" w:hAnsi="Verdana" w:cs="Times New Roman"/>
          <w:b/>
          <w:sz w:val="18"/>
          <w:szCs w:val="18"/>
        </w:rPr>
        <w:t xml:space="preserve"> do </w:t>
      </w:r>
      <w:proofErr w:type="spellStart"/>
      <w:r w:rsidRPr="00D86945">
        <w:rPr>
          <w:rFonts w:ascii="Verdana" w:hAnsi="Verdana" w:cs="Times New Roman"/>
          <w:b/>
          <w:sz w:val="18"/>
          <w:szCs w:val="18"/>
        </w:rPr>
        <w:t>Araguaia</w:t>
      </w:r>
      <w:proofErr w:type="spellEnd"/>
      <w:r w:rsidRPr="00D86945">
        <w:rPr>
          <w:rFonts w:ascii="Verdana" w:hAnsi="Verdana" w:cs="Times New Roman"/>
          <w:b/>
          <w:sz w:val="18"/>
          <w:szCs w:val="18"/>
        </w:rPr>
        <w:t>") Vs. Brasil. Excepciones Preliminares, Fondo, Reparaciones y Costas. Sentencia de 24 de noviembre de 2010. Serie C No. 219, párr.198</w:t>
      </w:r>
      <w:r w:rsidR="000344B9">
        <w:rPr>
          <w:rFonts w:ascii="Verdana" w:hAnsi="Verdana" w:cs="Times New Roman"/>
          <w:b/>
          <w:sz w:val="18"/>
          <w:szCs w:val="18"/>
        </w:rPr>
        <w:t>]</w:t>
      </w:r>
      <w:r w:rsidRPr="00D86945">
        <w:rPr>
          <w:rFonts w:ascii="Verdana" w:hAnsi="Verdana" w:cs="Times New Roman"/>
          <w:b/>
          <w:sz w:val="18"/>
          <w:szCs w:val="18"/>
        </w:rPr>
        <w:t>.</w:t>
      </w:r>
    </w:p>
    <w:p w14:paraId="743E44B3" w14:textId="491529A1"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79.</w:t>
      </w:r>
      <w:r w:rsidRPr="00D86945">
        <w:rPr>
          <w:rFonts w:ascii="Verdana" w:hAnsi="Verdana" w:cs="Times New Roman"/>
          <w:sz w:val="20"/>
          <w:szCs w:val="20"/>
        </w:rPr>
        <w:tab/>
        <w:t>La Carta Democrática Interamericana destaca en su artículo 4 la importancia de “la transparencia de las actividades gubernamentales, la probidad, la responsabilidad de los gobiernos en la gestión pública, el respeto por los derechos sociales y la libertad de expresión y de prensa” como componentes fundamentales del ejercicio de la democracia. Asimismo, en su artículo 6 la Carta afirma que “[l]a participación de la ciudadanía en las decisiones relativas a su propio desarrollo [… es] una condición necesaria para el pleno y efectivo ejercicio de la democracia”, por lo que invita a los Estados Parte a “[p]</w:t>
      </w:r>
      <w:proofErr w:type="spellStart"/>
      <w:r w:rsidRPr="00D86945">
        <w:rPr>
          <w:rFonts w:ascii="Verdana" w:hAnsi="Verdana" w:cs="Times New Roman"/>
          <w:sz w:val="20"/>
          <w:szCs w:val="20"/>
        </w:rPr>
        <w:t>romover</w:t>
      </w:r>
      <w:proofErr w:type="spellEnd"/>
      <w:r w:rsidRPr="00D86945">
        <w:rPr>
          <w:rFonts w:ascii="Verdana" w:hAnsi="Verdana" w:cs="Times New Roman"/>
          <w:sz w:val="20"/>
          <w:szCs w:val="20"/>
        </w:rPr>
        <w:t xml:space="preserve"> y fomentar diversas formas de participación [ciudadana]”.</w:t>
      </w:r>
    </w:p>
    <w:p w14:paraId="13DE83F0" w14:textId="31140DF1"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80.</w:t>
      </w:r>
      <w:r w:rsidRPr="00D86945">
        <w:rPr>
          <w:rFonts w:ascii="Verdana" w:hAnsi="Verdana" w:cs="Times New Roman"/>
          <w:sz w:val="20"/>
          <w:szCs w:val="20"/>
        </w:rPr>
        <w:tab/>
        <w:t>En la Declaración de Nuevo León, aprobada en el 2004, los Jefes de Estado de las Américas se comprometieron, entre otras cosas, “a contar con los marcos jurídicos y normativos, así como con las estructuras y condiciones necesarias para garantizar a nuestros ciudadanos el derecho al acceso a la información”, reconociendo que “[e]l acceso a la información en poder del Estado, con el debido respeto a las normas constitucionales y legales, incluidas las de privacidad y confidencialidad, es condición indispensable para la participación ciudadana [...]”.</w:t>
      </w:r>
    </w:p>
    <w:p w14:paraId="5A7839DF" w14:textId="7C451E82"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lastRenderedPageBreak/>
        <w:t>81.</w:t>
      </w:r>
      <w:r w:rsidRPr="00D86945">
        <w:rPr>
          <w:rFonts w:ascii="Verdana" w:hAnsi="Verdana" w:cs="Times New Roman"/>
          <w:sz w:val="20"/>
          <w:szCs w:val="20"/>
        </w:rPr>
        <w:tab/>
        <w:t xml:space="preserve">En igual sentido se debe destacar lo establecido en materia de acceso a la información en la Convención de Naciones Unidas contra la Corrupción y en la Declaración de Río sobre el Medio Ambiente y el Desarrollo. Asimismo, en </w:t>
      </w:r>
      <w:r w:rsidRPr="00D86945">
        <w:rPr>
          <w:rStyle w:val="documentbody1"/>
          <w:rFonts w:cs="Times New Roman"/>
          <w:sz w:val="20"/>
          <w:szCs w:val="20"/>
        </w:rPr>
        <w:t>el ámbito del Consejo de Europa, ya desde 1970 la Asamblea Parlamentaria realizó recomendaciones al Comité de Ministros del Consejo de Europa en materia de “derecho a la libertad de información”, así como también emitió una Declaración, en la cual estableció que respecto del derecho a la libertad de expresión debe existir “el correspondiente deber de las autoridades públicas de hacer accesible la información sobre asuntos de interés público dentro de los límites razonables […]”. Asimismo, se han adoptado recomendaciones y directivas, y en 1982 el Comité de Ministros adoptó una “Declaración sobre libertad de expresión e información”, en la cual expresó el objetivo de buscar una política de apertura de información en el sector público.</w:t>
      </w:r>
      <w:r w:rsidR="00D35646" w:rsidRPr="00D86945">
        <w:rPr>
          <w:rStyle w:val="documentbody1"/>
          <w:rFonts w:cs="Times New Roman"/>
          <w:sz w:val="20"/>
          <w:szCs w:val="20"/>
        </w:rPr>
        <w:t xml:space="preserve"> </w:t>
      </w:r>
      <w:r w:rsidRPr="00D86945">
        <w:rPr>
          <w:rStyle w:val="documentbody1"/>
          <w:rFonts w:cs="Times New Roman"/>
          <w:sz w:val="20"/>
          <w:szCs w:val="20"/>
        </w:rPr>
        <w:t>En 1998 se adoptó la “Convención sobre el acceso a la información, la participación del público en la toma de decisiones y el acceso a la justicia en asuntos ambientales”, en el marco de la Conferencia Ministerial “Medio Ambiente para Europa”, celebrada en Aarhus, Dinamarca.</w:t>
      </w:r>
      <w:r w:rsidR="00D35646" w:rsidRPr="00D86945">
        <w:rPr>
          <w:rStyle w:val="documentbody1"/>
          <w:rFonts w:cs="Times New Roman"/>
          <w:sz w:val="20"/>
          <w:szCs w:val="20"/>
        </w:rPr>
        <w:t xml:space="preserve"> </w:t>
      </w:r>
      <w:r w:rsidRPr="00D86945">
        <w:rPr>
          <w:rStyle w:val="documentbody1"/>
          <w:rFonts w:cs="Times New Roman"/>
          <w:sz w:val="20"/>
          <w:szCs w:val="20"/>
        </w:rPr>
        <w:t xml:space="preserve">Además, </w:t>
      </w:r>
      <w:r w:rsidRPr="00D86945">
        <w:rPr>
          <w:rFonts w:ascii="Verdana" w:hAnsi="Verdana" w:cs="Times New Roman"/>
          <w:sz w:val="20"/>
          <w:szCs w:val="20"/>
        </w:rPr>
        <w:t>el Comité de Ministros del Consejo de Europa emitió una recomendación sobre el derecho de acceso a documentos oficiales en poder de las autoridades públicas, en cuyo principio IV establece las posibles excepciones, señalando que “[dichas] restricciones deberán exponerse de manera precisa por ley, ser necesarias en una sociedad democrática y ser proporcionales al objetivo de protección”.</w:t>
      </w:r>
    </w:p>
    <w:p w14:paraId="3D9D13CB" w14:textId="0275C377" w:rsidR="00987FF9" w:rsidRPr="00D86945" w:rsidRDefault="00987FF9" w:rsidP="004F4FE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right="49"/>
        <w:jc w:val="both"/>
        <w:rPr>
          <w:rStyle w:val="documentbody1"/>
          <w:rFonts w:cs="Times New Roman"/>
          <w:sz w:val="20"/>
          <w:szCs w:val="20"/>
        </w:rPr>
      </w:pPr>
      <w:r w:rsidRPr="00D86945">
        <w:rPr>
          <w:rStyle w:val="documentbody1"/>
          <w:rFonts w:cs="Times New Roman"/>
          <w:sz w:val="20"/>
          <w:szCs w:val="20"/>
        </w:rPr>
        <w:t>82.</w:t>
      </w:r>
      <w:r w:rsidRPr="00D86945">
        <w:rPr>
          <w:rStyle w:val="documentbody1"/>
          <w:rFonts w:cs="Times New Roman"/>
          <w:sz w:val="20"/>
          <w:szCs w:val="20"/>
        </w:rPr>
        <w:tab/>
        <w:t xml:space="preserve">Asimismo, el Tribunal considera de especial relevancia que a nivel mundial, muchos países han adoptado normativa dirigida a proteger y regular el derecho de acceder a la información bajo el control del Estado. </w:t>
      </w:r>
    </w:p>
    <w:p w14:paraId="400843AC" w14:textId="11B30EE3" w:rsidR="00987FF9" w:rsidRPr="00D86945" w:rsidRDefault="00987FF9" w:rsidP="004F4FE7">
      <w:pPr>
        <w:spacing w:line="240" w:lineRule="auto"/>
        <w:ind w:right="49"/>
        <w:jc w:val="both"/>
        <w:rPr>
          <w:rFonts w:ascii="Verdana" w:hAnsi="Verdana" w:cs="Times New Roman"/>
          <w:sz w:val="18"/>
          <w:szCs w:val="18"/>
        </w:rPr>
      </w:pPr>
      <w:r w:rsidRPr="00D86945">
        <w:rPr>
          <w:rFonts w:ascii="Verdana" w:hAnsi="Verdana" w:cs="Times New Roman"/>
          <w:sz w:val="20"/>
          <w:szCs w:val="20"/>
        </w:rPr>
        <w:t>84.</w:t>
      </w:r>
      <w:r w:rsidRPr="00D86945">
        <w:rPr>
          <w:rFonts w:ascii="Verdana" w:hAnsi="Verdana" w:cs="Times New Roman"/>
          <w:sz w:val="20"/>
          <w:szCs w:val="20"/>
        </w:rPr>
        <w:tab/>
        <w:t>Este Tribunal ha expresado que “[l]a democracia representativa es determinante en todo el sistema del que la Convención forma parte”, y constituye “un ‘principio’ reafirmado por los Estados americanos en la Carta de la OEA, instrumento fundamental del Sistema Interamericano”. La Asamblea General de la OEA en diversas resoluciones consideró que el acceso a la información pública es un requisito indispensable para el funcionamiento mismo de la democracia, una mayor transparencia y una buena gestión pública, y que en un sistema democrático representativo y participativo, la ciudadanía ejerce sus derechos constitucionales, a través de una amplia libertad de expresión y de un libre acceso a la información.</w:t>
      </w:r>
      <w:r w:rsidR="00D35646" w:rsidRPr="00D86945">
        <w:rPr>
          <w:rFonts w:ascii="Verdana" w:hAnsi="Verdana" w:cs="Times New Roman"/>
          <w:sz w:val="20"/>
          <w:szCs w:val="20"/>
        </w:rPr>
        <w:t xml:space="preserve"> </w:t>
      </w:r>
      <w:r w:rsidR="000344B9">
        <w:rPr>
          <w:rFonts w:ascii="Verdana" w:hAnsi="Verdana" w:cs="Times New Roman"/>
          <w:b/>
          <w:bCs/>
          <w:sz w:val="20"/>
          <w:szCs w:val="20"/>
        </w:rPr>
        <w:t>[</w:t>
      </w:r>
      <w:r w:rsidR="002A5747">
        <w:rPr>
          <w:rFonts w:ascii="Verdana" w:hAnsi="Verdana" w:cs="Times New Roman"/>
          <w:b/>
          <w:sz w:val="18"/>
          <w:szCs w:val="18"/>
        </w:rPr>
        <w:t>En similar sentido, ver entre otros:</w:t>
      </w:r>
      <w:r w:rsidRPr="00D86945">
        <w:rPr>
          <w:rFonts w:ascii="Verdana" w:hAnsi="Verdana" w:cs="Times New Roman"/>
          <w:b/>
          <w:sz w:val="18"/>
          <w:szCs w:val="18"/>
        </w:rPr>
        <w:t xml:space="preserve"> Caso Gomes </w:t>
      </w:r>
      <w:proofErr w:type="spellStart"/>
      <w:r w:rsidRPr="00D86945">
        <w:rPr>
          <w:rFonts w:ascii="Verdana" w:hAnsi="Verdana" w:cs="Times New Roman"/>
          <w:b/>
          <w:sz w:val="18"/>
          <w:szCs w:val="18"/>
        </w:rPr>
        <w:t>Lund</w:t>
      </w:r>
      <w:proofErr w:type="spellEnd"/>
      <w:r w:rsidRPr="00D86945">
        <w:rPr>
          <w:rFonts w:ascii="Verdana" w:hAnsi="Verdana" w:cs="Times New Roman"/>
          <w:b/>
          <w:sz w:val="18"/>
          <w:szCs w:val="18"/>
        </w:rPr>
        <w:t xml:space="preserve"> y otros ("</w:t>
      </w:r>
      <w:proofErr w:type="spellStart"/>
      <w:r w:rsidRPr="00D86945">
        <w:rPr>
          <w:rFonts w:ascii="Verdana" w:hAnsi="Verdana" w:cs="Times New Roman"/>
          <w:b/>
          <w:sz w:val="18"/>
          <w:szCs w:val="18"/>
        </w:rPr>
        <w:t>Guerrilha</w:t>
      </w:r>
      <w:proofErr w:type="spellEnd"/>
      <w:r w:rsidRPr="00D86945">
        <w:rPr>
          <w:rFonts w:ascii="Verdana" w:hAnsi="Verdana" w:cs="Times New Roman"/>
          <w:b/>
          <w:sz w:val="18"/>
          <w:szCs w:val="18"/>
        </w:rPr>
        <w:t xml:space="preserve"> do </w:t>
      </w:r>
      <w:proofErr w:type="spellStart"/>
      <w:r w:rsidRPr="00D86945">
        <w:rPr>
          <w:rFonts w:ascii="Verdana" w:hAnsi="Verdana" w:cs="Times New Roman"/>
          <w:b/>
          <w:sz w:val="18"/>
          <w:szCs w:val="18"/>
        </w:rPr>
        <w:t>Araguaia</w:t>
      </w:r>
      <w:proofErr w:type="spellEnd"/>
      <w:r w:rsidRPr="00D86945">
        <w:rPr>
          <w:rFonts w:ascii="Verdana" w:hAnsi="Verdana" w:cs="Times New Roman"/>
          <w:b/>
          <w:sz w:val="18"/>
          <w:szCs w:val="18"/>
        </w:rPr>
        <w:t>") Vs. Brasil. Excepciones Preliminares, Fondo, Reparaciones y Costas. Sentencia de 24 de noviembre de 2010. Serie C No. 219, párr.198</w:t>
      </w:r>
      <w:r w:rsidR="000344B9">
        <w:rPr>
          <w:rFonts w:ascii="Verdana" w:hAnsi="Verdana" w:cs="Times New Roman"/>
          <w:b/>
          <w:sz w:val="18"/>
          <w:szCs w:val="18"/>
        </w:rPr>
        <w:t>]</w:t>
      </w:r>
      <w:r w:rsidRPr="00D86945">
        <w:rPr>
          <w:rFonts w:ascii="Verdana" w:hAnsi="Verdana" w:cs="Times New Roman"/>
          <w:b/>
          <w:sz w:val="18"/>
          <w:szCs w:val="18"/>
        </w:rPr>
        <w:t>.</w:t>
      </w:r>
    </w:p>
    <w:p w14:paraId="1818F348" w14:textId="5B972083"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86.</w:t>
      </w:r>
      <w:r w:rsidRPr="00D86945">
        <w:rPr>
          <w:rFonts w:ascii="Verdana" w:hAnsi="Verdana" w:cs="Times New Roman"/>
          <w:sz w:val="20"/>
          <w:szCs w:val="20"/>
        </w:rPr>
        <w:tab/>
        <w:t>En este sentido, el actuar del Estado debe encontrarse regido por los principios de publicidad y transparencia en la gestión pública, lo que hace posible que las personas que se encuentran bajo su jurisdicción ejerzan el control democrático de las gestiones estatales, de forma tal que puedan cuestionar, indagar y considerar si se está dando un adecuado cumplimiento de las funciones públicas. El acceso a la información bajo el control del Estado, que sea</w:t>
      </w:r>
      <w:r w:rsidRPr="00D86945">
        <w:rPr>
          <w:rFonts w:ascii="Verdana" w:hAnsi="Verdana" w:cs="Times New Roman"/>
          <w:b/>
          <w:sz w:val="20"/>
          <w:szCs w:val="20"/>
        </w:rPr>
        <w:t xml:space="preserve"> </w:t>
      </w:r>
      <w:r w:rsidRPr="00D86945">
        <w:rPr>
          <w:rFonts w:ascii="Verdana" w:hAnsi="Verdana" w:cs="Times New Roman"/>
          <w:sz w:val="20"/>
          <w:szCs w:val="20"/>
        </w:rPr>
        <w:t xml:space="preserve">de interés público, puede permitir la participación en la gestión pública, a través del control social que se puede ejercer con dicho acceso. </w:t>
      </w:r>
    </w:p>
    <w:p w14:paraId="0015A4E6" w14:textId="748FB917" w:rsidR="00987FF9" w:rsidRPr="00D86945" w:rsidRDefault="00987FF9" w:rsidP="004F4FE7">
      <w:pPr>
        <w:pStyle w:val="JuPara"/>
        <w:tabs>
          <w:tab w:val="left" w:pos="360"/>
        </w:tabs>
        <w:spacing w:line="240" w:lineRule="auto"/>
        <w:ind w:right="49" w:firstLine="0"/>
        <w:rPr>
          <w:rFonts w:ascii="Verdana" w:hAnsi="Verdana"/>
          <w:sz w:val="18"/>
          <w:szCs w:val="18"/>
          <w:lang w:val="es-ES_tradnl"/>
        </w:rPr>
      </w:pPr>
      <w:r w:rsidRPr="00D86945">
        <w:rPr>
          <w:rFonts w:ascii="Verdana" w:hAnsi="Verdana"/>
          <w:sz w:val="20"/>
          <w:lang w:val="es-ES_tradnl"/>
        </w:rPr>
        <w:t>92.</w:t>
      </w:r>
      <w:r w:rsidRPr="00D86945">
        <w:rPr>
          <w:rFonts w:ascii="Verdana" w:hAnsi="Verdana"/>
          <w:sz w:val="20"/>
          <w:lang w:val="es-ES_tradnl"/>
        </w:rPr>
        <w:tab/>
      </w:r>
      <w:r w:rsidRPr="00D86945">
        <w:rPr>
          <w:rFonts w:ascii="Verdana" w:hAnsi="Verdana"/>
          <w:sz w:val="20"/>
          <w:lang w:val="es-ES_tradnl"/>
        </w:rPr>
        <w:tab/>
        <w:t>La Corte observa que en una sociedad democrática es indispensable que las autoridades estatales se rijan por el principio de máxima divulgación, el cual establece la presunción de que toda información es accesible, sujeto a un sistema restringido de excepciones.</w:t>
      </w:r>
      <w:r w:rsidR="00D35646" w:rsidRPr="00D86945">
        <w:rPr>
          <w:rFonts w:ascii="Verdana" w:hAnsi="Verdana"/>
          <w:sz w:val="20"/>
          <w:lang w:val="es-ES_tradnl"/>
        </w:rPr>
        <w:t xml:space="preserve"> </w:t>
      </w:r>
      <w:r w:rsidR="000344B9">
        <w:rPr>
          <w:rFonts w:ascii="Verdana" w:hAnsi="Verdana"/>
          <w:b/>
          <w:bCs/>
          <w:sz w:val="20"/>
          <w:lang w:val="es-ES_tradnl"/>
        </w:rPr>
        <w:t>[</w:t>
      </w:r>
      <w:r w:rsidR="002A5747">
        <w:rPr>
          <w:rFonts w:ascii="Verdana" w:hAnsi="Verdana"/>
          <w:b/>
          <w:sz w:val="18"/>
          <w:szCs w:val="18"/>
          <w:lang w:val="es-ES_tradnl"/>
        </w:rPr>
        <w:t>En similar sentido, ver entre otros:</w:t>
      </w:r>
      <w:r w:rsidRPr="00D86945">
        <w:rPr>
          <w:rFonts w:ascii="Verdana" w:hAnsi="Verdana"/>
          <w:sz w:val="18"/>
          <w:szCs w:val="18"/>
          <w:lang w:val="es-ES_tradnl"/>
        </w:rPr>
        <w:t xml:space="preserve"> </w:t>
      </w:r>
      <w:r w:rsidRPr="00D86945">
        <w:rPr>
          <w:rFonts w:ascii="Verdana" w:hAnsi="Verdana"/>
          <w:b/>
          <w:sz w:val="18"/>
          <w:szCs w:val="18"/>
          <w:lang w:val="es-ES_tradnl"/>
        </w:rPr>
        <w:t xml:space="preserve">Caso Gomes </w:t>
      </w:r>
      <w:proofErr w:type="spellStart"/>
      <w:r w:rsidRPr="00D86945">
        <w:rPr>
          <w:rFonts w:ascii="Verdana" w:hAnsi="Verdana"/>
          <w:b/>
          <w:sz w:val="18"/>
          <w:szCs w:val="18"/>
          <w:lang w:val="es-ES_tradnl"/>
        </w:rPr>
        <w:t>Lund</w:t>
      </w:r>
      <w:proofErr w:type="spellEnd"/>
      <w:r w:rsidRPr="00D86945">
        <w:rPr>
          <w:rFonts w:ascii="Verdana" w:hAnsi="Verdana"/>
          <w:b/>
          <w:sz w:val="18"/>
          <w:szCs w:val="18"/>
          <w:lang w:val="es-ES_tradnl"/>
        </w:rPr>
        <w:t xml:space="preserve"> y otros ("</w:t>
      </w:r>
      <w:proofErr w:type="spellStart"/>
      <w:r w:rsidRPr="00D86945">
        <w:rPr>
          <w:rFonts w:ascii="Verdana" w:hAnsi="Verdana"/>
          <w:b/>
          <w:sz w:val="18"/>
          <w:szCs w:val="18"/>
          <w:lang w:val="es-ES_tradnl"/>
        </w:rPr>
        <w:t>Guerrilha</w:t>
      </w:r>
      <w:proofErr w:type="spellEnd"/>
      <w:r w:rsidRPr="00D86945">
        <w:rPr>
          <w:rFonts w:ascii="Verdana" w:hAnsi="Verdana"/>
          <w:b/>
          <w:sz w:val="18"/>
          <w:szCs w:val="18"/>
          <w:lang w:val="es-ES_tradnl"/>
        </w:rPr>
        <w:t xml:space="preserve"> do </w:t>
      </w:r>
      <w:proofErr w:type="spellStart"/>
      <w:r w:rsidRPr="00D86945">
        <w:rPr>
          <w:rFonts w:ascii="Verdana" w:hAnsi="Verdana"/>
          <w:b/>
          <w:sz w:val="18"/>
          <w:szCs w:val="18"/>
          <w:lang w:val="es-ES_tradnl"/>
        </w:rPr>
        <w:t>Araguaia</w:t>
      </w:r>
      <w:proofErr w:type="spellEnd"/>
      <w:r w:rsidRPr="00D86945">
        <w:rPr>
          <w:rFonts w:ascii="Verdana" w:hAnsi="Verdana"/>
          <w:b/>
          <w:sz w:val="18"/>
          <w:szCs w:val="18"/>
          <w:lang w:val="es-ES_tradnl"/>
        </w:rPr>
        <w:t>") Vs. Brasil. Excepciones Preliminares, Fondo, Reparaciones y Costas. Sentencia de 24 de noviembre de 2010. Serie C No. 219, párr.198, párr.199</w:t>
      </w:r>
      <w:r w:rsidR="000344B9">
        <w:rPr>
          <w:rFonts w:ascii="Verdana" w:hAnsi="Verdana"/>
          <w:b/>
          <w:sz w:val="18"/>
          <w:szCs w:val="18"/>
          <w:lang w:val="es-ES_tradnl"/>
        </w:rPr>
        <w:t>]</w:t>
      </w:r>
      <w:r w:rsidRPr="00D86945">
        <w:rPr>
          <w:rFonts w:ascii="Verdana" w:hAnsi="Verdana"/>
          <w:b/>
          <w:sz w:val="18"/>
          <w:szCs w:val="18"/>
          <w:lang w:val="es-ES_tradnl"/>
        </w:rPr>
        <w:t>.</w:t>
      </w:r>
    </w:p>
    <w:p w14:paraId="1DD99318" w14:textId="24B91988" w:rsidR="00987FF9" w:rsidRPr="00D86945" w:rsidRDefault="00987FF9" w:rsidP="004F4FE7">
      <w:pPr>
        <w:pStyle w:val="JuPara"/>
        <w:tabs>
          <w:tab w:val="left" w:pos="360"/>
        </w:tabs>
        <w:spacing w:line="240" w:lineRule="auto"/>
        <w:ind w:right="49" w:firstLine="0"/>
        <w:rPr>
          <w:rFonts w:ascii="Verdana" w:hAnsi="Verdana"/>
          <w:sz w:val="20"/>
          <w:lang w:val="es-ES_tradnl"/>
        </w:rPr>
      </w:pPr>
      <w:r w:rsidRPr="00D86945">
        <w:rPr>
          <w:rFonts w:ascii="Verdana" w:hAnsi="Verdana"/>
          <w:sz w:val="20"/>
          <w:lang w:val="es-ES_tradnl"/>
        </w:rPr>
        <w:t>93.</w:t>
      </w:r>
      <w:r w:rsidRPr="00D86945">
        <w:rPr>
          <w:rFonts w:ascii="Verdana" w:hAnsi="Verdana"/>
          <w:sz w:val="20"/>
          <w:lang w:val="es-ES_tradnl"/>
        </w:rPr>
        <w:tab/>
      </w:r>
      <w:r w:rsidRPr="00D86945">
        <w:rPr>
          <w:rFonts w:ascii="Verdana" w:hAnsi="Verdana"/>
          <w:sz w:val="20"/>
          <w:lang w:val="es-ES_tradnl"/>
        </w:rPr>
        <w:tab/>
        <w:t>Corresponde al Estado demostrar que al establecer restricciones al acceso a la información bajo su control ha cumplido con los anteriores requisitos.</w:t>
      </w:r>
    </w:p>
    <w:p w14:paraId="2BFB12D2" w14:textId="43900EB2" w:rsidR="00987FF9" w:rsidRPr="00D86945" w:rsidRDefault="00987FF9" w:rsidP="004F4FE7">
      <w:pPr>
        <w:spacing w:line="240" w:lineRule="auto"/>
        <w:ind w:right="49"/>
        <w:jc w:val="both"/>
        <w:rPr>
          <w:rFonts w:ascii="Verdana" w:hAnsi="Verdana"/>
          <w:sz w:val="20"/>
          <w:szCs w:val="20"/>
          <w:lang w:val="es-ES"/>
        </w:rPr>
      </w:pPr>
      <w:r w:rsidRPr="00D86945">
        <w:rPr>
          <w:rFonts w:ascii="Verdana" w:hAnsi="Verdana"/>
          <w:b/>
          <w:sz w:val="20"/>
          <w:szCs w:val="20"/>
          <w:lang w:val="es-ES"/>
        </w:rPr>
        <w:lastRenderedPageBreak/>
        <w:t xml:space="preserve">Corte IDH. Caso Gomes </w:t>
      </w:r>
      <w:proofErr w:type="spellStart"/>
      <w:r w:rsidRPr="00D86945">
        <w:rPr>
          <w:rFonts w:ascii="Verdana" w:hAnsi="Verdana"/>
          <w:b/>
          <w:sz w:val="20"/>
          <w:szCs w:val="20"/>
          <w:lang w:val="es-ES"/>
        </w:rPr>
        <w:t>Lund</w:t>
      </w:r>
      <w:proofErr w:type="spellEnd"/>
      <w:r w:rsidRPr="00D86945">
        <w:rPr>
          <w:rFonts w:ascii="Verdana" w:hAnsi="Verdana"/>
          <w:b/>
          <w:sz w:val="20"/>
          <w:szCs w:val="20"/>
          <w:lang w:val="es-ES"/>
        </w:rPr>
        <w:t xml:space="preserve"> y otros ("</w:t>
      </w:r>
      <w:proofErr w:type="spellStart"/>
      <w:r w:rsidRPr="00D86945">
        <w:rPr>
          <w:rFonts w:ascii="Verdana" w:hAnsi="Verdana"/>
          <w:b/>
          <w:sz w:val="20"/>
          <w:szCs w:val="20"/>
          <w:lang w:val="es-ES"/>
        </w:rPr>
        <w:t>Guerrilha</w:t>
      </w:r>
      <w:proofErr w:type="spellEnd"/>
      <w:r w:rsidRPr="00D86945">
        <w:rPr>
          <w:rFonts w:ascii="Verdana" w:hAnsi="Verdana"/>
          <w:b/>
          <w:sz w:val="20"/>
          <w:szCs w:val="20"/>
          <w:lang w:val="es-ES"/>
        </w:rPr>
        <w:t xml:space="preserve"> do </w:t>
      </w:r>
      <w:proofErr w:type="spellStart"/>
      <w:r w:rsidRPr="00D86945">
        <w:rPr>
          <w:rFonts w:ascii="Verdana" w:hAnsi="Verdana"/>
          <w:b/>
          <w:sz w:val="20"/>
          <w:szCs w:val="20"/>
          <w:lang w:val="es-ES"/>
        </w:rPr>
        <w:t>Araguaia</w:t>
      </w:r>
      <w:proofErr w:type="spellEnd"/>
      <w:r w:rsidRPr="00D86945">
        <w:rPr>
          <w:rFonts w:ascii="Verdana" w:hAnsi="Verdana"/>
          <w:b/>
          <w:sz w:val="20"/>
          <w:szCs w:val="20"/>
          <w:lang w:val="es-ES"/>
        </w:rPr>
        <w:t>") Vs. Brasil. Excepciones Preliminares, Fondo, Reparaciones y Costas. Sentencia de 24 de noviembre de 2010. Serie C No. 219</w:t>
      </w:r>
      <w:r w:rsidRPr="00D86945">
        <w:rPr>
          <w:rFonts w:ascii="Verdana" w:hAnsi="Verdana"/>
          <w:sz w:val="20"/>
          <w:szCs w:val="20"/>
          <w:lang w:val="es-ES"/>
        </w:rPr>
        <w:t>.</w:t>
      </w:r>
      <w:r w:rsidRPr="00D86945">
        <w:rPr>
          <w:rStyle w:val="Refdenotaalpie"/>
          <w:rFonts w:ascii="Verdana" w:hAnsi="Verdana"/>
          <w:b/>
          <w:sz w:val="20"/>
          <w:szCs w:val="20"/>
          <w:shd w:val="clear" w:color="auto" w:fill="FFFFFF"/>
        </w:rPr>
        <w:footnoteReference w:id="19"/>
      </w:r>
    </w:p>
    <w:p w14:paraId="4FF47FE1" w14:textId="0550399E" w:rsidR="00987FF9" w:rsidRPr="00D86945" w:rsidRDefault="00987FF9" w:rsidP="004F4FE7">
      <w:pPr>
        <w:spacing w:line="240" w:lineRule="auto"/>
        <w:ind w:right="49"/>
        <w:jc w:val="both"/>
        <w:rPr>
          <w:rFonts w:ascii="Verdana" w:hAnsi="Verdana"/>
          <w:sz w:val="20"/>
          <w:szCs w:val="20"/>
          <w:lang w:val="es-ES"/>
        </w:rPr>
      </w:pPr>
      <w:r w:rsidRPr="00D86945">
        <w:rPr>
          <w:rFonts w:ascii="Verdana" w:hAnsi="Verdana"/>
          <w:sz w:val="20"/>
          <w:szCs w:val="20"/>
          <w:lang w:val="es-ES"/>
        </w:rPr>
        <w:t>200.</w:t>
      </w:r>
      <w:r w:rsidRPr="00D86945">
        <w:rPr>
          <w:rFonts w:ascii="Verdana" w:hAnsi="Verdana"/>
          <w:sz w:val="20"/>
          <w:szCs w:val="20"/>
          <w:lang w:val="es-ES"/>
        </w:rPr>
        <w:tab/>
        <w:t>Asimismo, este Tribunal ha determinado que toda persona, incluyendo los familiares de las víctimas de graves violaciones a derechos humanos, tiene el derecho a conocer la verdad. En consecuencia, los familiares de las víctimas, y la sociedad, deben ser informados de todo lo sucedido con relación a dichas violaciones. De igual manera, el derecho a conocer la verdad también ha sido reconocido en diversos instrumentos de Naciones Unidas y por la Asamblea General de la Organización de los Estados Americanos.</w:t>
      </w:r>
    </w:p>
    <w:p w14:paraId="71DAB22D" w14:textId="4F40569B" w:rsidR="00987FF9" w:rsidRPr="00D86945" w:rsidRDefault="00987FF9" w:rsidP="004F4FE7">
      <w:pPr>
        <w:spacing w:line="240" w:lineRule="auto"/>
        <w:ind w:right="49"/>
        <w:jc w:val="both"/>
        <w:rPr>
          <w:rFonts w:ascii="Verdana" w:hAnsi="Verdana"/>
          <w:sz w:val="20"/>
          <w:szCs w:val="20"/>
          <w:lang w:val="es-ES"/>
        </w:rPr>
      </w:pPr>
      <w:r w:rsidRPr="00D86945">
        <w:rPr>
          <w:rFonts w:ascii="Verdana" w:hAnsi="Verdana"/>
          <w:sz w:val="20"/>
          <w:szCs w:val="20"/>
          <w:lang w:val="es-ES"/>
        </w:rPr>
        <w:t>201.</w:t>
      </w:r>
      <w:r w:rsidRPr="00D86945">
        <w:rPr>
          <w:rFonts w:ascii="Verdana" w:hAnsi="Verdana"/>
          <w:sz w:val="20"/>
          <w:szCs w:val="20"/>
          <w:lang w:val="es-ES"/>
        </w:rPr>
        <w:tab/>
        <w:t>Por su parte, la Corte Interamericana ha considerado el contenido del derecho a conocer la verdad en su jurisprudencia, en particular en casos de desaparición forzada. Desde el Caso Velásquez Rodríguez el Tribunal afirmó la existencia de un “derecho de los familiares de la víctima de conocer cuál fue el destino de ésta y, en su caso, dó</w:t>
      </w:r>
      <w:r w:rsidR="005B1BAE" w:rsidRPr="00D86945">
        <w:rPr>
          <w:rFonts w:ascii="Verdana" w:hAnsi="Verdana"/>
          <w:sz w:val="20"/>
          <w:szCs w:val="20"/>
          <w:lang w:val="es-ES"/>
        </w:rPr>
        <w:t>nde se encuentran sus restos”</w:t>
      </w:r>
      <w:r w:rsidR="005B1BAE" w:rsidRPr="00D86945">
        <w:rPr>
          <w:rFonts w:ascii="Verdana" w:hAnsi="Verdana"/>
          <w:sz w:val="20"/>
          <w:szCs w:val="20"/>
          <w:lang w:val="es-CR"/>
        </w:rPr>
        <w:t>.</w:t>
      </w:r>
      <w:r w:rsidRPr="00D86945">
        <w:rPr>
          <w:rFonts w:ascii="Verdana" w:hAnsi="Verdana"/>
          <w:sz w:val="20"/>
          <w:szCs w:val="20"/>
          <w:lang w:val="es-ES"/>
        </w:rPr>
        <w:t xml:space="preserve"> La Corte ha reconocido que el derecho de los familiares de víctimas de graves violaciones de derechos humanos a conocer la verdad se enmarca en el derecho de acceso a la justicia</w:t>
      </w:r>
      <w:r w:rsidR="00215583">
        <w:rPr>
          <w:rFonts w:ascii="Verdana" w:hAnsi="Verdana"/>
          <w:sz w:val="20"/>
          <w:szCs w:val="20"/>
          <w:lang w:val="es-ES"/>
        </w:rPr>
        <w:t>.</w:t>
      </w:r>
      <w:r w:rsidRPr="00D86945">
        <w:rPr>
          <w:rFonts w:ascii="Verdana" w:hAnsi="Verdana"/>
          <w:sz w:val="20"/>
          <w:szCs w:val="20"/>
          <w:lang w:val="es-ES"/>
        </w:rPr>
        <w:t xml:space="preserve"> Asimismo, el Tribunal ha considerado la obligación de investigar como una forma de reparación, ante la necesidad de remediar la violación del derecho a conocer la verdad en el caso concreto</w:t>
      </w:r>
      <w:r w:rsidR="00215583">
        <w:rPr>
          <w:rFonts w:ascii="Verdana" w:hAnsi="Verdana"/>
          <w:sz w:val="20"/>
          <w:szCs w:val="20"/>
          <w:lang w:val="es-ES"/>
        </w:rPr>
        <w:t>.</w:t>
      </w:r>
      <w:r w:rsidRPr="00D86945">
        <w:rPr>
          <w:rFonts w:ascii="Verdana" w:hAnsi="Verdana"/>
          <w:sz w:val="20"/>
          <w:szCs w:val="20"/>
          <w:lang w:val="es-ES"/>
        </w:rPr>
        <w:t xml:space="preserve"> De igual modo, en el presente caso, el derecho a conocer la verdad se relaciona con la Acción Ordinaria interpuesta por los familiares, que se vincula con el acceso a la justicia y con el derecho a buscar y recibir información consagrado en el artículo 13 de la Convención Americana. </w:t>
      </w:r>
    </w:p>
    <w:p w14:paraId="6DF26793" w14:textId="352B2CB9" w:rsidR="00987FF9" w:rsidRPr="00D86945" w:rsidRDefault="00987FF9" w:rsidP="004F4FE7">
      <w:pPr>
        <w:spacing w:line="240" w:lineRule="auto"/>
        <w:ind w:right="49"/>
        <w:jc w:val="both"/>
        <w:rPr>
          <w:rFonts w:ascii="Verdana" w:hAnsi="Verdana"/>
          <w:sz w:val="20"/>
          <w:szCs w:val="20"/>
          <w:lang w:val="es-ES"/>
        </w:rPr>
      </w:pPr>
      <w:r w:rsidRPr="00D86945">
        <w:rPr>
          <w:rFonts w:ascii="Verdana" w:hAnsi="Verdana"/>
          <w:sz w:val="20"/>
          <w:szCs w:val="20"/>
          <w:lang w:val="es-ES"/>
        </w:rPr>
        <w:t>202.</w:t>
      </w:r>
      <w:r w:rsidRPr="00D86945">
        <w:rPr>
          <w:rFonts w:ascii="Verdana" w:hAnsi="Verdana"/>
          <w:sz w:val="20"/>
          <w:szCs w:val="20"/>
          <w:lang w:val="es-ES"/>
        </w:rPr>
        <w:tab/>
        <w:t>Finalmente, el Tribunal también ha establecido que en casos de violaciones de derechos humanos, las autoridades estatales no se pueden amparar en mecanismos como el secreto de Estado o la confidencialidad de la información, o en razones de interés público o seguridad nacional, para dejar de aportar la información requerida por las autoridades judiciales o administrativas encargadas de la investigación o proceso pendientes</w:t>
      </w:r>
      <w:r w:rsidR="00215583">
        <w:rPr>
          <w:rFonts w:ascii="Verdana" w:hAnsi="Verdana"/>
          <w:sz w:val="20"/>
          <w:szCs w:val="20"/>
          <w:lang w:val="es-ES"/>
        </w:rPr>
        <w:t>.</w:t>
      </w:r>
      <w:r w:rsidRPr="00D86945">
        <w:rPr>
          <w:rFonts w:ascii="Verdana" w:hAnsi="Verdana"/>
          <w:sz w:val="20"/>
          <w:szCs w:val="20"/>
          <w:lang w:val="es-ES"/>
        </w:rPr>
        <w:t xml:space="preserve"> Asimismo, cuando se trata de la investigación de un hecho punible, la decisión de calificar como secreta la información y de negar su entrega jamás puede depender exclusivamente de un órgano estatal a cuyos miembros se les atribuye la comisión del hecho ilícito</w:t>
      </w:r>
      <w:r w:rsidR="00215583">
        <w:rPr>
          <w:rFonts w:ascii="Verdana" w:hAnsi="Verdana"/>
          <w:sz w:val="20"/>
          <w:szCs w:val="20"/>
          <w:lang w:val="es-ES"/>
        </w:rPr>
        <w:t>.</w:t>
      </w:r>
      <w:r w:rsidRPr="00D86945">
        <w:rPr>
          <w:rFonts w:ascii="Verdana" w:hAnsi="Verdana"/>
          <w:sz w:val="20"/>
          <w:szCs w:val="20"/>
          <w:lang w:val="es-ES"/>
        </w:rPr>
        <w:t xml:space="preserve"> De igual modo, tampoco puede quedar a su discreción la decisión final sobre la existencia de la documentación solicitada.</w:t>
      </w:r>
    </w:p>
    <w:p w14:paraId="1A9D6B96" w14:textId="2EA619D9"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228.</w:t>
      </w:r>
      <w:r w:rsidRPr="00D86945">
        <w:rPr>
          <w:rFonts w:ascii="Verdana" w:hAnsi="Verdana"/>
          <w:sz w:val="20"/>
          <w:szCs w:val="20"/>
        </w:rPr>
        <w:tab/>
        <w:t xml:space="preserve">La Corte valora la iniciativa del Estado de remitir un proyecto de ley con el fin de optimizar y fortalecer el marco normativo del derecho a la libertad de pensamiento y de expresión establecido en el artículo 13 de la Convención Americana, en relación con el derecho de acceder a la información pública en poder del Estado. El Tribunal considera que los Estados, para garantizar adecuadamente el derecho a buscar y recibir información pública bajo su control, deben adoptar las medidas necesarias, entre otras, la aprobación de legislación cuyo contenido sea compatible con el artículo 13 de la Convención Americana y con la jurisprudencia de este Tribunal. Asimismo, este derecho supone la obligación del Estado de incorporar en su ordenamiento jurídico un recurso efectivo e idóneo que pueda ser ejercido por los ciudadanos para resolver eventuales controversias. </w:t>
      </w:r>
    </w:p>
    <w:p w14:paraId="7B1B30AF" w14:textId="52702824"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lastRenderedPageBreak/>
        <w:t>230.</w:t>
      </w:r>
      <w:r w:rsidRPr="00D86945">
        <w:rPr>
          <w:rFonts w:ascii="Verdana" w:hAnsi="Verdana"/>
          <w:sz w:val="20"/>
          <w:szCs w:val="20"/>
        </w:rPr>
        <w:tab/>
        <w:t>Asimismo, para garantizar el ejercicio pleno y efectivo de este derecho es necesario que la legislación y la gestión estatales se rijan por los principios de buena fe y de máxima divulgación, de modo que toda la información en poder del Estado se presuma pública y accesible, sometida a un régimen limitado de excepciones. Igualmente, toda denegatoria de información debe ser motivada y fundamentada, correspondiendo al Estado la carga de la prueba referente a la imposibilidad de relevar la información, y ante la duda o el vacío legal debe primar el derecho de acceso a la información</w:t>
      </w:r>
      <w:r w:rsidR="00215583">
        <w:rPr>
          <w:rFonts w:ascii="Verdana" w:hAnsi="Verdana"/>
          <w:sz w:val="20"/>
          <w:szCs w:val="20"/>
        </w:rPr>
        <w:t>.</w:t>
      </w:r>
      <w:r w:rsidRPr="00D86945">
        <w:rPr>
          <w:rFonts w:ascii="Verdana" w:hAnsi="Verdana"/>
          <w:sz w:val="20"/>
          <w:szCs w:val="20"/>
        </w:rPr>
        <w:t xml:space="preserve"> Por otro lado, la Corte recuerda lo indicado sobre la obligación de las autoridades estatales de no ampararse en mecanismos como el secreto de Estado o la confidencialidad de la información en casos de violaciones de derechos humanos </w:t>
      </w:r>
      <w:r w:rsidR="005E0C2B">
        <w:rPr>
          <w:rFonts w:ascii="Verdana" w:hAnsi="Verdana"/>
          <w:sz w:val="20"/>
          <w:szCs w:val="20"/>
        </w:rPr>
        <w:t>[...]</w:t>
      </w:r>
      <w:r w:rsidRPr="00D86945">
        <w:rPr>
          <w:rFonts w:ascii="Verdana" w:hAnsi="Verdana"/>
          <w:sz w:val="20"/>
          <w:szCs w:val="20"/>
        </w:rPr>
        <w:t xml:space="preserve">. </w:t>
      </w:r>
    </w:p>
    <w:p w14:paraId="288D1E66" w14:textId="3955E1F8" w:rsidR="00987FF9" w:rsidRDefault="00987FF9" w:rsidP="004F4FE7">
      <w:pPr>
        <w:spacing w:line="240" w:lineRule="auto"/>
        <w:ind w:right="49"/>
        <w:jc w:val="both"/>
        <w:rPr>
          <w:rFonts w:ascii="Verdana" w:hAnsi="Verdana"/>
          <w:sz w:val="20"/>
          <w:szCs w:val="20"/>
        </w:rPr>
      </w:pPr>
      <w:r w:rsidRPr="00D86945">
        <w:rPr>
          <w:rFonts w:ascii="Verdana" w:hAnsi="Verdana"/>
          <w:sz w:val="20"/>
          <w:szCs w:val="20"/>
        </w:rPr>
        <w:t>231.</w:t>
      </w:r>
      <w:r w:rsidRPr="00D86945">
        <w:rPr>
          <w:rFonts w:ascii="Verdana" w:hAnsi="Verdana"/>
          <w:sz w:val="20"/>
          <w:szCs w:val="20"/>
        </w:rPr>
        <w:tab/>
        <w:t>Igualmente, la Corte destaca la obligación de garantizar la efectividad de un procedimiento adecuado para la tramitación y resolución de las solicitudes de información, que fije plazos para resolver y entregar la información, y que se encuentre bajo la responsabilidad de funcionarios debidamente capacitados</w:t>
      </w:r>
      <w:r w:rsidR="00215583">
        <w:rPr>
          <w:rFonts w:ascii="Verdana" w:hAnsi="Verdana"/>
          <w:sz w:val="20"/>
          <w:szCs w:val="20"/>
        </w:rPr>
        <w:t>.</w:t>
      </w:r>
      <w:r w:rsidRPr="00D86945">
        <w:rPr>
          <w:rFonts w:ascii="Verdana" w:hAnsi="Verdana"/>
          <w:sz w:val="20"/>
          <w:szCs w:val="20"/>
        </w:rPr>
        <w:t xml:space="preserve"> Finalmente, ante la denegación de acceso a determinada información bajo su control, el Estado debe garantizar que exista un recurso judicial sencillo, rápido y efectivo que permita determinar si se produjo una vulneración del derecho de acceso a la información y, en su caso, ordenar al órgano correspondiente la entrega de la misma.</w:t>
      </w:r>
    </w:p>
    <w:p w14:paraId="5E5F5AE3" w14:textId="5561E445" w:rsidR="00987FF9" w:rsidRPr="00D86945" w:rsidRDefault="00987FF9" w:rsidP="004F4FE7">
      <w:pPr>
        <w:spacing w:line="240" w:lineRule="auto"/>
        <w:ind w:right="49"/>
        <w:jc w:val="both"/>
        <w:rPr>
          <w:rFonts w:ascii="Verdana" w:hAnsi="Verdana"/>
          <w:b/>
          <w:sz w:val="20"/>
          <w:szCs w:val="20"/>
          <w:lang w:val="es-CR"/>
        </w:rPr>
      </w:pPr>
      <w:r w:rsidRPr="00D86945">
        <w:rPr>
          <w:rFonts w:ascii="Verdana" w:hAnsi="Verdana"/>
          <w:b/>
          <w:sz w:val="20"/>
          <w:szCs w:val="20"/>
          <w:lang w:val="es-CR"/>
        </w:rPr>
        <w:t xml:space="preserve">Corte IDH. Caso Pueblos </w:t>
      </w:r>
      <w:proofErr w:type="spellStart"/>
      <w:r w:rsidRPr="00D86945">
        <w:rPr>
          <w:rFonts w:ascii="Verdana" w:hAnsi="Verdana"/>
          <w:b/>
          <w:sz w:val="20"/>
          <w:szCs w:val="20"/>
          <w:lang w:val="es-CR"/>
        </w:rPr>
        <w:t>Kaliña</w:t>
      </w:r>
      <w:proofErr w:type="spellEnd"/>
      <w:r w:rsidRPr="00D86945">
        <w:rPr>
          <w:rFonts w:ascii="Verdana" w:hAnsi="Verdana"/>
          <w:b/>
          <w:sz w:val="20"/>
          <w:szCs w:val="20"/>
          <w:lang w:val="es-CR"/>
        </w:rPr>
        <w:t xml:space="preserve"> y </w:t>
      </w:r>
      <w:proofErr w:type="spellStart"/>
      <w:r w:rsidRPr="00D86945">
        <w:rPr>
          <w:rFonts w:ascii="Verdana" w:hAnsi="Verdana"/>
          <w:b/>
          <w:sz w:val="20"/>
          <w:szCs w:val="20"/>
          <w:lang w:val="es-CR"/>
        </w:rPr>
        <w:t>Lokono</w:t>
      </w:r>
      <w:proofErr w:type="spellEnd"/>
      <w:r w:rsidRPr="00D86945">
        <w:rPr>
          <w:rFonts w:ascii="Verdana" w:hAnsi="Verdana"/>
          <w:b/>
          <w:sz w:val="20"/>
          <w:szCs w:val="20"/>
          <w:lang w:val="es-CR"/>
        </w:rPr>
        <w:t xml:space="preserve"> Vs. Surinam. Fondo, Reparaciones y Costas. Sentencia de 25 de noviembre de 2015. Serie C No. 309.</w:t>
      </w:r>
      <w:r w:rsidRPr="00D86945">
        <w:rPr>
          <w:rStyle w:val="Refdenotaalpie"/>
          <w:rFonts w:ascii="Verdana" w:hAnsi="Verdana"/>
          <w:b/>
          <w:bCs/>
          <w:sz w:val="20"/>
          <w:szCs w:val="20"/>
        </w:rPr>
        <w:footnoteReference w:id="20"/>
      </w:r>
    </w:p>
    <w:p w14:paraId="18E60EAC" w14:textId="7C0DD533"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262.</w:t>
      </w:r>
      <w:r w:rsidRPr="00D86945">
        <w:rPr>
          <w:rFonts w:ascii="Verdana" w:hAnsi="Verdana"/>
          <w:sz w:val="20"/>
          <w:szCs w:val="20"/>
          <w:lang w:val="es-CR"/>
        </w:rPr>
        <w:tab/>
        <w:t xml:space="preserve">La Corte ha establecido que los Estados se encuentran en la obligación de suministrar la información solicitada. Sin embargo, en caso de que proceda la negativa de entrega, deberá dar una respuesta fundamentada que permita conocer cuáles son los motivos y normas en que se basa para no entregar la información. De esta manera, analizando dicha decisión se podrá determinar si tal restricción es compatible con las restricciones permitidas por la Convención Americana, esto es, aquellas que sean legales, necesarias, proporcionales, con el fin de lograr un objetivo legítimo y que respondan a un interés general en el marco de una sociedad democrática. En los casos en que no se obtiene respuesta del Estado la Corte entiende que además de la violación al artículo 13 de la Convención, tal actitud supone una decisión arbitraria. En razón de esto es necesario que la carga de la prueba para justificar cualquier negativa de acceso a la información recaiga en el órgano al cual la información fue solicitada. </w:t>
      </w:r>
    </w:p>
    <w:p w14:paraId="2607EB99" w14:textId="07B57EDD"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265.</w:t>
      </w:r>
      <w:r w:rsidRPr="00D86945">
        <w:rPr>
          <w:rFonts w:ascii="Verdana" w:hAnsi="Verdana"/>
          <w:sz w:val="20"/>
          <w:szCs w:val="20"/>
          <w:lang w:val="es-CR"/>
        </w:rPr>
        <w:tab/>
        <w:t xml:space="preserve">La Corte no tiene conocimiento específico acerca de la existencia de una norma interna que desarrolle y regule el acceso a la información en Surinam. No obstante, observa que la solicitud de información de 7 de octubre de 2007 sobre la existencia de títulos de propiedad en </w:t>
      </w:r>
      <w:proofErr w:type="spellStart"/>
      <w:r w:rsidRPr="00D86945">
        <w:rPr>
          <w:rFonts w:ascii="Verdana" w:hAnsi="Verdana"/>
          <w:sz w:val="20"/>
          <w:szCs w:val="20"/>
          <w:lang w:val="es-CR"/>
        </w:rPr>
        <w:t>Pierrekondre</w:t>
      </w:r>
      <w:proofErr w:type="spellEnd"/>
      <w:r w:rsidRPr="00D86945">
        <w:rPr>
          <w:rFonts w:ascii="Verdana" w:hAnsi="Verdana"/>
          <w:sz w:val="20"/>
          <w:szCs w:val="20"/>
          <w:lang w:val="es-CR"/>
        </w:rPr>
        <w:t xml:space="preserve">, se amparó en la protección del artículo 22 de su Constitución, que permite la presentación por parte de toda persona de peticiones escritas ante las autoridades públicas. Como ya fue mencionado, la Corte ha señalado en su jurisprudencia que el Estado tiene la obligación de suministrar la información solicitada, o si procediera la negativa de la entrega de la misma, deberá dar una respuesta fundamentada que permita conocer cuáles son los motivos y normas en que se basa para no entregar la información. Asimismo, el </w:t>
      </w:r>
      <w:r w:rsidRPr="00D86945">
        <w:rPr>
          <w:rFonts w:ascii="Verdana" w:hAnsi="Verdana"/>
          <w:sz w:val="20"/>
          <w:szCs w:val="20"/>
          <w:lang w:val="es-CR"/>
        </w:rPr>
        <w:lastRenderedPageBreak/>
        <w:t>artículo 24 de la Declaración Americana</w:t>
      </w:r>
      <w:r w:rsidR="00D35646" w:rsidRPr="00D86945">
        <w:rPr>
          <w:rFonts w:ascii="Verdana" w:hAnsi="Verdana"/>
          <w:sz w:val="20"/>
          <w:szCs w:val="20"/>
          <w:lang w:val="es-CR"/>
        </w:rPr>
        <w:t xml:space="preserve"> </w:t>
      </w:r>
      <w:r w:rsidRPr="00D86945">
        <w:rPr>
          <w:rFonts w:ascii="Verdana" w:hAnsi="Verdana"/>
          <w:sz w:val="20"/>
          <w:szCs w:val="20"/>
          <w:lang w:val="es-CR"/>
        </w:rPr>
        <w:t xml:space="preserve">establece como parte del derecho de petición, la obligación de dar una pronta respuesta por parte del Estado </w:t>
      </w:r>
      <w:r w:rsidR="005E0C2B">
        <w:rPr>
          <w:rFonts w:ascii="Verdana" w:hAnsi="Verdana"/>
          <w:sz w:val="20"/>
          <w:szCs w:val="20"/>
          <w:lang w:val="es-CR"/>
        </w:rPr>
        <w:t>[...]</w:t>
      </w:r>
      <w:r w:rsidRPr="00D86945">
        <w:rPr>
          <w:rFonts w:ascii="Verdana" w:hAnsi="Verdana"/>
          <w:sz w:val="20"/>
          <w:szCs w:val="20"/>
          <w:lang w:val="es-CR"/>
        </w:rPr>
        <w:t xml:space="preserve">. </w:t>
      </w:r>
    </w:p>
    <w:p w14:paraId="300AB67F" w14:textId="337DC0D1"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266.</w:t>
      </w:r>
      <w:r w:rsidRPr="00D86945">
        <w:rPr>
          <w:rFonts w:ascii="Verdana" w:hAnsi="Verdana"/>
          <w:sz w:val="20"/>
          <w:szCs w:val="20"/>
          <w:lang w:val="es-CR"/>
        </w:rPr>
        <w:tab/>
        <w:t>En este sentido, la Corte subraya el hecho de que frente a dicha petición no se brindó una respuesta o razón fundamentada para no facilitar tal documentación. Además, la Corte ya ha establecido en ocasiones anteriores que no dar respuesta posibilita la actuación discrecional y arbitraria del Estado de facilitar o no determinada información, generando con ello inseguridad jurídica respecto al ejercicio del derecho bajo análisis</w:t>
      </w:r>
      <w:r w:rsidR="00215583">
        <w:rPr>
          <w:rFonts w:ascii="Verdana" w:hAnsi="Verdana"/>
          <w:sz w:val="20"/>
          <w:szCs w:val="20"/>
          <w:lang w:val="es-CR"/>
        </w:rPr>
        <w:t>.</w:t>
      </w:r>
    </w:p>
    <w:p w14:paraId="27B2C8AA" w14:textId="0663B10C" w:rsidR="00207E81"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267.</w:t>
      </w:r>
      <w:r w:rsidRPr="00D86945">
        <w:rPr>
          <w:rFonts w:ascii="Verdana" w:hAnsi="Verdana"/>
          <w:sz w:val="20"/>
          <w:szCs w:val="20"/>
          <w:lang w:val="es-CR"/>
        </w:rPr>
        <w:tab/>
        <w:t xml:space="preserve">Por otro lado, la Corte estima que la información solicitada era documentación de importancia para que los Pueblos </w:t>
      </w:r>
      <w:proofErr w:type="spellStart"/>
      <w:r w:rsidRPr="00D86945">
        <w:rPr>
          <w:rFonts w:ascii="Verdana" w:hAnsi="Verdana"/>
          <w:sz w:val="20"/>
          <w:szCs w:val="20"/>
          <w:lang w:val="es-CR"/>
        </w:rPr>
        <w:t>Kaliña</w:t>
      </w:r>
      <w:proofErr w:type="spellEnd"/>
      <w:r w:rsidRPr="00D86945">
        <w:rPr>
          <w:rFonts w:ascii="Verdana" w:hAnsi="Verdana"/>
          <w:sz w:val="20"/>
          <w:szCs w:val="20"/>
          <w:lang w:val="es-CR"/>
        </w:rPr>
        <w:t xml:space="preserve"> y </w:t>
      </w:r>
      <w:proofErr w:type="spellStart"/>
      <w:r w:rsidRPr="00D86945">
        <w:rPr>
          <w:rFonts w:ascii="Verdana" w:hAnsi="Verdana"/>
          <w:sz w:val="20"/>
          <w:szCs w:val="20"/>
          <w:lang w:val="es-CR"/>
        </w:rPr>
        <w:t>Lokono</w:t>
      </w:r>
      <w:proofErr w:type="spellEnd"/>
      <w:r w:rsidRPr="00D86945">
        <w:rPr>
          <w:rFonts w:ascii="Verdana" w:hAnsi="Verdana"/>
          <w:sz w:val="20"/>
          <w:szCs w:val="20"/>
          <w:lang w:val="es-CR"/>
        </w:rPr>
        <w:t xml:space="preserve"> pudieran tener elementos claros de cuántos individuos ajenos a sus comunidades se encontraban en la zona, y cuál era la situación legal de la posesión de ese territorio. En este sentido, aquella información podría haberles otorgado elementos adicionales a efectos de la presentación de sus reclamos en el fuero interno. Por ello, el Tribunal considera que la ausencia de entrega de la información en manos de la oficina de registros públicos de Surinam, o la falta de fundamentación de la negativa de la misma, colocó a estos pueblos en una situación de desventaja y desconocimiento frente a los terceros que alegaban la titularidad de parte de las tierras, por lo que no garantizó, a través del derecho de petición, el acceso a la información y a la justicia.</w:t>
      </w:r>
    </w:p>
    <w:p w14:paraId="79FDEA52" w14:textId="5419022C" w:rsidR="00987FF9" w:rsidRPr="00D86945" w:rsidRDefault="00987FF9" w:rsidP="004F4FE7">
      <w:pPr>
        <w:spacing w:line="240" w:lineRule="auto"/>
        <w:ind w:right="49"/>
        <w:jc w:val="both"/>
        <w:rPr>
          <w:rFonts w:ascii="Verdana" w:hAnsi="Verdana"/>
          <w:b/>
          <w:sz w:val="20"/>
          <w:szCs w:val="20"/>
          <w:lang w:val="es-CR"/>
        </w:rPr>
      </w:pPr>
      <w:r w:rsidRPr="00D86945">
        <w:rPr>
          <w:rFonts w:ascii="Verdana" w:hAnsi="Verdana"/>
          <w:b/>
          <w:sz w:val="20"/>
          <w:szCs w:val="20"/>
          <w:lang w:val="es-CR"/>
        </w:rPr>
        <w:t>Corte IDH. Caso I.V. Vs. Bolivia. Excepciones Preliminares, Fondo, Reparaciones y Costas. Sentencia de 30 de noviembre de 2016. Serie C No. 329.</w:t>
      </w:r>
      <w:r w:rsidRPr="00D86945">
        <w:rPr>
          <w:rStyle w:val="Refdenotaalpie"/>
          <w:rFonts w:ascii="Verdana" w:hAnsi="Verdana"/>
          <w:b/>
          <w:bCs/>
          <w:sz w:val="20"/>
          <w:szCs w:val="20"/>
        </w:rPr>
        <w:footnoteReference w:id="21"/>
      </w:r>
    </w:p>
    <w:p w14:paraId="425CAC3C" w14:textId="0ABACAE8"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156.</w:t>
      </w:r>
      <w:r w:rsidRPr="00D86945">
        <w:rPr>
          <w:rFonts w:ascii="Verdana" w:hAnsi="Verdana"/>
          <w:sz w:val="20"/>
          <w:szCs w:val="20"/>
        </w:rPr>
        <w:tab/>
        <w:t>En esta línea, conforme lo ha reconocido esta Corte, el artículo 13 de la Convención Americana incluye el derecho a buscar, recibir y difundir informaciones e ideas de toda índole, lo cual protege el derecho de acceso a la información, incluyendo información relacionada con la salud de las personas. El derecho de las personas a obtener información se ve complementado con una correlativa obligación positiva del Estado de suministrarla, de forma tal que la persona pueda tener acceso a conocerla y valorarla</w:t>
      </w:r>
      <w:r w:rsidR="00215583">
        <w:rPr>
          <w:rFonts w:ascii="Verdana" w:hAnsi="Verdana"/>
          <w:sz w:val="20"/>
          <w:szCs w:val="20"/>
        </w:rPr>
        <w:t>.</w:t>
      </w:r>
      <w:r w:rsidRPr="00D86945">
        <w:rPr>
          <w:rFonts w:ascii="Verdana" w:hAnsi="Verdana"/>
          <w:sz w:val="20"/>
          <w:szCs w:val="20"/>
        </w:rPr>
        <w:t xml:space="preserve"> En este sentido, el personal de salud no debe esperar a que el paciente solicite información o haga preguntas relativas a su salud, para que esta sea entregada. La obligación del Estado de suministrar información de oficio, conocida como la “obligación de transparencia activa”, impone el deber a los Estados de suministrar información que resulte necesaria para que las personas puedan ejercer otros derechos, lo cual es particularmente relevante en materia de atención a la salud, ya que ello contribuye a la accesibilidad a los servicios de salud y a que las personas puedan tomar decisiones libres, bien informadas, de forma plena. Por consiguiente, el derecho de acceso a la información adquiere un carácter instrumental para lograr la satisfacción de otros derechos de la Convención.</w:t>
      </w:r>
    </w:p>
    <w:p w14:paraId="4DCD5DD6" w14:textId="13665BEC"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lastRenderedPageBreak/>
        <w:t>157.</w:t>
      </w:r>
      <w:r w:rsidRPr="00D86945">
        <w:rPr>
          <w:rFonts w:ascii="Verdana" w:hAnsi="Verdana"/>
          <w:sz w:val="20"/>
          <w:szCs w:val="20"/>
        </w:rPr>
        <w:tab/>
        <w:t>La salud sexual y reproductiva</w:t>
      </w:r>
      <w:r w:rsidR="00D35646" w:rsidRPr="00D86945">
        <w:rPr>
          <w:rFonts w:ascii="Verdana" w:hAnsi="Verdana"/>
          <w:sz w:val="20"/>
          <w:szCs w:val="20"/>
        </w:rPr>
        <w:t xml:space="preserve"> </w:t>
      </w:r>
      <w:r w:rsidRPr="00D86945">
        <w:rPr>
          <w:rFonts w:ascii="Verdana" w:hAnsi="Verdana"/>
          <w:sz w:val="20"/>
          <w:szCs w:val="20"/>
        </w:rPr>
        <w:t>constituye ciertamente una expresión de la salud que tiene particulares implicancias para las mujeres debido a su capacidad biológica de embarazo y parto. Se relaciona, por una parte, con la autonomía y la libertad reproductiva, en cuanto al derecho a tomar decisiones autónomas sobre su plan de vida, su cuerpo y su salud sexual y reproductiva, libre de toda violencia, coacción y discriminación. Por el otro lado, se refiere al acceso tanto a servicios de salud reproductiva como a la información, la educación y los medios que les permitan ejercer su derecho a decidir de forma libre y responsable el número de hijos que desean tener y el intervalo de nacimientos</w:t>
      </w:r>
      <w:r w:rsidR="00215583">
        <w:rPr>
          <w:rFonts w:ascii="Verdana" w:hAnsi="Verdana"/>
          <w:sz w:val="20"/>
          <w:szCs w:val="20"/>
        </w:rPr>
        <w:t>.</w:t>
      </w:r>
      <w:r w:rsidRPr="00D86945">
        <w:rPr>
          <w:rFonts w:ascii="Verdana" w:hAnsi="Verdana"/>
          <w:sz w:val="20"/>
          <w:szCs w:val="20"/>
        </w:rPr>
        <w:t xml:space="preserve"> La Corte ha considerado que “la falta de salvaguardas legales para tomar en consideración la salud reproductiva puede resultar en un menoscabo grave [de] la autonomía y la libertad reproductiva”.</w:t>
      </w:r>
    </w:p>
    <w:p w14:paraId="4661F10D" w14:textId="53B3DA37" w:rsidR="00E400DD"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158.</w:t>
      </w:r>
      <w:r w:rsidRPr="00D86945">
        <w:rPr>
          <w:rFonts w:ascii="Verdana" w:hAnsi="Verdana"/>
          <w:sz w:val="20"/>
          <w:szCs w:val="20"/>
        </w:rPr>
        <w:tab/>
        <w:t>En particular, cabe resaltar que para el Comité de Derechos Económicos, Sociales y Culturales, la salud genésica significa que “la mujer y el hombre están en libertad para decidir si desean reproducirse y en qué momento, y tienen el derecho de estar informados y tener acceso a métodos de planificación familiar seguros, eficaces, asequibles y aceptables de su elección, así como el derecho de acceso a los pertinentes servicios de atención de la salud”</w:t>
      </w:r>
      <w:r w:rsidR="00215583">
        <w:rPr>
          <w:rFonts w:ascii="Verdana" w:hAnsi="Verdana"/>
          <w:sz w:val="20"/>
          <w:szCs w:val="20"/>
        </w:rPr>
        <w:t>.</w:t>
      </w:r>
      <w:r w:rsidRPr="00D86945">
        <w:rPr>
          <w:rFonts w:ascii="Verdana" w:hAnsi="Verdana"/>
          <w:sz w:val="20"/>
          <w:szCs w:val="20"/>
        </w:rPr>
        <w:t xml:space="preserve"> De esta forma, la Corte estima que los Estados deben garantizar el acceso a la información en temas de salud, sobre todo en relación con la salud sexual y reproductiva, cuya denegación muchas veces ha significado una barrera para el ejercicio pleno de este derecho y un impedimento para la toma de decisiones de forma libre y plena. Por lo tanto, la Corte considera que, en materia de salud sexual y reproductiva, la obligación de transparencia activa imputable al Estado apareja el deber del personal de salud de suministrar información que contribuya a que las personas estén en condiciones de tomar decisiones libres y responsables respecto de su propio cuerpo y salud sexual y reproductiva, los cuales se relacionan con aspectos íntimos de su personalidad y de la vida privada y familiar.</w:t>
      </w:r>
    </w:p>
    <w:p w14:paraId="656E2039" w14:textId="62784310" w:rsidR="006C2D6B" w:rsidRPr="00D86945" w:rsidRDefault="006C2D6B" w:rsidP="00BF3BF6">
      <w:pPr>
        <w:pStyle w:val="Ttulo2"/>
      </w:pPr>
      <w:bookmarkStart w:id="9" w:name="_Toc89691461"/>
      <w:r w:rsidRPr="00D86945">
        <w:t>Libertad de Expresión en contextos laborales</w:t>
      </w:r>
      <w:bookmarkEnd w:id="9"/>
    </w:p>
    <w:p w14:paraId="0D8FDA41" w14:textId="7B4B42B8" w:rsidR="004A0CF5" w:rsidRPr="00D86945" w:rsidRDefault="004A0CF5" w:rsidP="004F4FE7">
      <w:pPr>
        <w:spacing w:line="240" w:lineRule="auto"/>
        <w:ind w:right="49"/>
        <w:jc w:val="both"/>
        <w:rPr>
          <w:rFonts w:ascii="Verdana" w:hAnsi="Verdana"/>
          <w:b/>
          <w:sz w:val="20"/>
          <w:szCs w:val="20"/>
        </w:rPr>
      </w:pPr>
      <w:r w:rsidRPr="00D86945">
        <w:rPr>
          <w:rFonts w:ascii="Verdana" w:hAnsi="Verdana"/>
          <w:b/>
          <w:sz w:val="20"/>
          <w:szCs w:val="20"/>
        </w:rPr>
        <w:t>Corte IDH. Caso Lagos del Campo Vs. Perú. Excepciones Preliminares, Fondo, Reparaciones y Costas. Sentencia de 31 de agosto de 2017. Serie C No. 340</w:t>
      </w:r>
      <w:r w:rsidR="00510C52">
        <w:rPr>
          <w:rFonts w:ascii="Verdana" w:hAnsi="Verdana"/>
          <w:b/>
          <w:sz w:val="20"/>
          <w:szCs w:val="20"/>
        </w:rPr>
        <w:t>.</w:t>
      </w:r>
      <w:r w:rsidRPr="00D86945">
        <w:rPr>
          <w:rStyle w:val="Refdenotaalpie"/>
          <w:rFonts w:ascii="Verdana" w:hAnsi="Verdana"/>
          <w:b/>
          <w:sz w:val="20"/>
          <w:szCs w:val="20"/>
        </w:rPr>
        <w:footnoteReference w:id="22"/>
      </w:r>
    </w:p>
    <w:p w14:paraId="37AE08A0" w14:textId="051F312F" w:rsidR="006C2D6B" w:rsidRPr="00D86945" w:rsidRDefault="006C2D6B" w:rsidP="004F4FE7">
      <w:pPr>
        <w:spacing w:line="240" w:lineRule="auto"/>
        <w:ind w:right="49"/>
        <w:jc w:val="both"/>
        <w:rPr>
          <w:rFonts w:ascii="Verdana" w:hAnsi="Verdana"/>
          <w:b/>
          <w:i/>
          <w:sz w:val="20"/>
          <w:szCs w:val="20"/>
          <w:lang w:val="es-CL"/>
        </w:rPr>
      </w:pPr>
      <w:r w:rsidRPr="00D86945">
        <w:rPr>
          <w:rFonts w:ascii="Verdana" w:hAnsi="Verdana"/>
          <w:sz w:val="20"/>
          <w:szCs w:val="20"/>
        </w:rPr>
        <w:t>89.</w:t>
      </w:r>
      <w:r w:rsidRPr="00D86945">
        <w:rPr>
          <w:rFonts w:ascii="Verdana" w:hAnsi="Verdana"/>
          <w:sz w:val="20"/>
          <w:szCs w:val="20"/>
        </w:rPr>
        <w:tab/>
        <w:t>La jurisprudencia del Tribunal ha dado un amplio contenido al derecho a la libertad de pensamiento y de expresión consagrado en el artículo 13 de la Convención. La Corte ha indicado que dicha norma protege el derecho de buscar, recibir y difundir ideas e informaciones de toda índole, así como también el de recibir y conocer las informaciones e ideas difundidas por los demás</w:t>
      </w:r>
      <w:r w:rsidR="00215583">
        <w:rPr>
          <w:rFonts w:ascii="Verdana" w:hAnsi="Verdana"/>
          <w:sz w:val="20"/>
          <w:szCs w:val="20"/>
        </w:rPr>
        <w:t>.</w:t>
      </w:r>
      <w:r w:rsidRPr="00D86945">
        <w:rPr>
          <w:rFonts w:ascii="Verdana" w:hAnsi="Verdana"/>
          <w:sz w:val="20"/>
          <w:szCs w:val="20"/>
        </w:rPr>
        <w:t xml:space="preserve"> Asimismo, ha señalado que la libertad de expresión tiene una dimensión individual y una dimensión social, de las cuales ha desprendido una serie de derechos que se encuentran protegidos en dicho artículo</w:t>
      </w:r>
      <w:r w:rsidR="00215583">
        <w:rPr>
          <w:rFonts w:ascii="Verdana" w:hAnsi="Verdana"/>
          <w:sz w:val="20"/>
          <w:szCs w:val="20"/>
        </w:rPr>
        <w:t>.</w:t>
      </w:r>
      <w:r w:rsidRPr="00D86945">
        <w:rPr>
          <w:rFonts w:ascii="Verdana" w:hAnsi="Verdana"/>
          <w:sz w:val="20"/>
          <w:szCs w:val="20"/>
        </w:rPr>
        <w:t xml:space="preserve"> Este Tribunal ha afirmado que ambas dimensiones poseen igual importancia y deben ser garantizadas plenamente en forma simultánea para dar efectividad total al derecho a la libertad de expresión, en los términos previstos por el artículo 13 de la Convención</w:t>
      </w:r>
      <w:r w:rsidR="00215583">
        <w:rPr>
          <w:rFonts w:ascii="Verdana" w:hAnsi="Verdana"/>
          <w:sz w:val="20"/>
          <w:szCs w:val="20"/>
        </w:rPr>
        <w:t>.</w:t>
      </w:r>
      <w:r w:rsidRPr="00D86945">
        <w:rPr>
          <w:rFonts w:ascii="Verdana" w:hAnsi="Verdana"/>
          <w:sz w:val="20"/>
          <w:szCs w:val="20"/>
        </w:rPr>
        <w:t xml:space="preserve"> Para el ciudadano común tiene tanta importancia el conocimiento de la opinión ajena o de la información de que disponen otros como el derecho a difundir la propia</w:t>
      </w:r>
      <w:r w:rsidR="00215583">
        <w:rPr>
          <w:rFonts w:ascii="Verdana" w:hAnsi="Verdana"/>
          <w:sz w:val="20"/>
          <w:szCs w:val="20"/>
        </w:rPr>
        <w:t>.</w:t>
      </w:r>
      <w:r w:rsidRPr="00D86945">
        <w:rPr>
          <w:rFonts w:ascii="Verdana" w:hAnsi="Verdana"/>
          <w:sz w:val="20"/>
          <w:szCs w:val="20"/>
        </w:rPr>
        <w:t xml:space="preserve"> Es por ello </w:t>
      </w:r>
      <w:proofErr w:type="gramStart"/>
      <w:r w:rsidRPr="00D86945">
        <w:rPr>
          <w:rFonts w:ascii="Verdana" w:hAnsi="Verdana"/>
          <w:sz w:val="20"/>
          <w:szCs w:val="20"/>
        </w:rPr>
        <w:t>que</w:t>
      </w:r>
      <w:proofErr w:type="gramEnd"/>
      <w:r w:rsidRPr="00D86945">
        <w:rPr>
          <w:rFonts w:ascii="Verdana" w:hAnsi="Verdana"/>
          <w:sz w:val="20"/>
          <w:szCs w:val="20"/>
        </w:rPr>
        <w:t xml:space="preserve">, a la luz de ambas dimensiones, la </w:t>
      </w:r>
      <w:r w:rsidRPr="00D86945">
        <w:rPr>
          <w:rFonts w:ascii="Verdana" w:hAnsi="Verdana"/>
          <w:sz w:val="20"/>
          <w:szCs w:val="20"/>
        </w:rPr>
        <w:lastRenderedPageBreak/>
        <w:t xml:space="preserve">libertad de expresión requiere, por un lado, que nadie sea arbitrariamente menoscabado o impedido de manifestar su propio pensamiento y representa, por tanto, un derecho de cada individuo; pero implica también, por otro lado, un derecho colectivo a recibir cualquier información y a conocer la expresión del pensamiento ajeno. </w:t>
      </w:r>
      <w:r w:rsidR="00F821A9">
        <w:rPr>
          <w:rFonts w:ascii="Verdana" w:hAnsi="Verdana"/>
          <w:b/>
          <w:bCs/>
          <w:sz w:val="20"/>
          <w:szCs w:val="20"/>
        </w:rPr>
        <w:t>[</w:t>
      </w:r>
      <w:r w:rsidR="002A5747">
        <w:rPr>
          <w:rFonts w:ascii="Verdana" w:hAnsi="Verdana"/>
          <w:b/>
          <w:iCs/>
          <w:sz w:val="18"/>
          <w:szCs w:val="18"/>
        </w:rPr>
        <w:t>En similar sentido, ver entre otros:</w:t>
      </w:r>
      <w:r w:rsidRPr="00D86945">
        <w:rPr>
          <w:rFonts w:ascii="Verdana" w:hAnsi="Verdana"/>
          <w:b/>
          <w:iCs/>
          <w:sz w:val="18"/>
          <w:szCs w:val="18"/>
        </w:rPr>
        <w:t xml:space="preserve"> La Colegiación Obligatoria de Periodistas (arts. 13 y 29 Convención Americana sobre Derechos Humanos). Opinión Consultiva OC-5/85, del 13 de noviembre de 1985. Serie A No. 5, párrs. 30, 31, 32; Caso “La Última Tentación de Cristo” (Olmedo Bustos y otros) Vs. Chile. Fondo, Reparaciones y Costas. Sentencia de 5 de febrero de 2001. Serie C No. 73, párr</w:t>
      </w:r>
      <w:r w:rsidR="004A0CF5" w:rsidRPr="00D86945">
        <w:rPr>
          <w:rFonts w:ascii="Verdana" w:hAnsi="Verdana"/>
          <w:b/>
          <w:iCs/>
          <w:sz w:val="18"/>
          <w:szCs w:val="18"/>
        </w:rPr>
        <w:t>s</w:t>
      </w:r>
      <w:r w:rsidRPr="00D86945">
        <w:rPr>
          <w:rFonts w:ascii="Verdana" w:hAnsi="Verdana"/>
          <w:b/>
          <w:iCs/>
          <w:sz w:val="18"/>
          <w:szCs w:val="18"/>
        </w:rPr>
        <w:t xml:space="preserve">. </w:t>
      </w:r>
      <w:r w:rsidR="004A0CF5" w:rsidRPr="00D86945">
        <w:rPr>
          <w:rFonts w:ascii="Verdana" w:hAnsi="Verdana"/>
          <w:b/>
          <w:iCs/>
          <w:sz w:val="18"/>
          <w:szCs w:val="18"/>
        </w:rPr>
        <w:t xml:space="preserve">66, </w:t>
      </w:r>
      <w:r w:rsidRPr="00D86945">
        <w:rPr>
          <w:rFonts w:ascii="Verdana" w:hAnsi="Verdana"/>
          <w:b/>
          <w:iCs/>
          <w:sz w:val="18"/>
          <w:szCs w:val="18"/>
        </w:rPr>
        <w:t>67; Caso López Lone y otros Vs. Honduras. Excepción Preliminar, Fondo, Reparaciones y Costas. Sentencia 5 de octubre de 2015. Serie 302, párr.166</w:t>
      </w:r>
      <w:r w:rsidR="00C46FFF" w:rsidRPr="00D86945">
        <w:rPr>
          <w:rFonts w:ascii="Verdana" w:hAnsi="Verdana"/>
          <w:b/>
          <w:iCs/>
          <w:sz w:val="18"/>
          <w:szCs w:val="18"/>
        </w:rPr>
        <w:t xml:space="preserve">; </w:t>
      </w:r>
      <w:r w:rsidR="00F821A9">
        <w:rPr>
          <w:rFonts w:ascii="Verdana" w:hAnsi="Verdana"/>
          <w:b/>
          <w:iCs/>
          <w:sz w:val="18"/>
          <w:szCs w:val="18"/>
        </w:rPr>
        <w:t>y</w:t>
      </w:r>
      <w:r w:rsidR="00C46FFF" w:rsidRPr="00D86945">
        <w:rPr>
          <w:rFonts w:ascii="Verdana" w:hAnsi="Verdana"/>
          <w:b/>
          <w:bCs/>
          <w:iCs/>
          <w:sz w:val="18"/>
          <w:szCs w:val="18"/>
          <w:lang w:val="es-CL"/>
        </w:rPr>
        <w:t xml:space="preserve"> Caso San Miguel Sosa y otras Vs. Venezuela. Fondo, Reparaciones y Costas. Sentencia de 8 de febrero de 2018. Serie C No. 348</w:t>
      </w:r>
      <w:r w:rsidR="00C46FFF" w:rsidRPr="00D86945">
        <w:rPr>
          <w:rFonts w:ascii="Verdana" w:hAnsi="Verdana"/>
          <w:b/>
          <w:iCs/>
          <w:sz w:val="18"/>
          <w:szCs w:val="18"/>
          <w:lang w:val="es-CL"/>
        </w:rPr>
        <w:t>, párr. 152</w:t>
      </w:r>
      <w:r w:rsidR="00F821A9">
        <w:rPr>
          <w:rFonts w:ascii="Verdana" w:hAnsi="Verdana"/>
          <w:b/>
          <w:iCs/>
          <w:sz w:val="18"/>
          <w:szCs w:val="18"/>
          <w:lang w:val="es-CL"/>
        </w:rPr>
        <w:t>]</w:t>
      </w:r>
      <w:r w:rsidR="004A0CF5" w:rsidRPr="00D86945">
        <w:rPr>
          <w:rFonts w:ascii="Verdana" w:hAnsi="Verdana"/>
          <w:b/>
          <w:iCs/>
          <w:sz w:val="18"/>
          <w:szCs w:val="18"/>
        </w:rPr>
        <w:t>.</w:t>
      </w:r>
      <w:r w:rsidR="004A0CF5" w:rsidRPr="00D86945">
        <w:rPr>
          <w:rFonts w:ascii="Verdana" w:hAnsi="Verdana"/>
          <w:b/>
          <w:i/>
          <w:sz w:val="18"/>
          <w:szCs w:val="18"/>
        </w:rPr>
        <w:t xml:space="preserve"> </w:t>
      </w:r>
    </w:p>
    <w:p w14:paraId="188DDA22" w14:textId="456AAF23" w:rsidR="006C2D6B" w:rsidRPr="00D86945" w:rsidRDefault="006C2D6B" w:rsidP="004F4FE7">
      <w:pPr>
        <w:spacing w:line="240" w:lineRule="auto"/>
        <w:ind w:right="49"/>
        <w:jc w:val="both"/>
        <w:rPr>
          <w:rFonts w:ascii="Verdana" w:hAnsi="Verdana"/>
          <w:sz w:val="20"/>
          <w:szCs w:val="20"/>
        </w:rPr>
      </w:pPr>
      <w:r w:rsidRPr="00D86945">
        <w:rPr>
          <w:rFonts w:ascii="Verdana" w:hAnsi="Verdana"/>
          <w:sz w:val="20"/>
          <w:szCs w:val="20"/>
        </w:rPr>
        <w:t>91.</w:t>
      </w:r>
      <w:r w:rsidRPr="00D86945">
        <w:rPr>
          <w:rFonts w:ascii="Verdana" w:hAnsi="Verdana"/>
          <w:sz w:val="20"/>
          <w:szCs w:val="20"/>
        </w:rPr>
        <w:tab/>
        <w:t xml:space="preserve">En este sentido, la libertad de expresión resulta una condición necesaria para el ejercicio de organizaciones de trabajadores, a fin de proteger sus derechos laborales, mejorar sus condiciones e intereses legítimos, puesto que sin este derecho dichas organizaciones carecerían de eficacia y razón de ser. </w:t>
      </w:r>
    </w:p>
    <w:p w14:paraId="3C4B3D5C" w14:textId="6FFBBCA3" w:rsidR="006C2D6B" w:rsidRPr="00D86945" w:rsidRDefault="006C2D6B" w:rsidP="004F4FE7">
      <w:pPr>
        <w:spacing w:line="240" w:lineRule="auto"/>
        <w:ind w:right="49"/>
        <w:jc w:val="both"/>
        <w:rPr>
          <w:rFonts w:ascii="Verdana" w:hAnsi="Verdana"/>
          <w:sz w:val="20"/>
          <w:szCs w:val="20"/>
        </w:rPr>
      </w:pPr>
      <w:r w:rsidRPr="00D86945">
        <w:rPr>
          <w:rFonts w:ascii="Verdana" w:hAnsi="Verdana"/>
          <w:sz w:val="20"/>
          <w:szCs w:val="20"/>
        </w:rPr>
        <w:t>92.</w:t>
      </w:r>
      <w:r w:rsidRPr="00D86945">
        <w:rPr>
          <w:rFonts w:ascii="Verdana" w:hAnsi="Verdana"/>
          <w:sz w:val="20"/>
          <w:szCs w:val="20"/>
        </w:rPr>
        <w:tab/>
        <w:t>Asimismo, la Corte ha establecido que la obligación de garantizar los derechos de la Convención, presupone obligaciones positivas para el Estado, a fin de proteger los derechos inclusive en la esfera privada</w:t>
      </w:r>
      <w:r w:rsidR="00215583">
        <w:rPr>
          <w:rFonts w:ascii="Verdana" w:hAnsi="Verdana"/>
          <w:sz w:val="20"/>
          <w:szCs w:val="20"/>
        </w:rPr>
        <w:t>.</w:t>
      </w:r>
      <w:r w:rsidRPr="00D86945">
        <w:rPr>
          <w:rFonts w:ascii="Verdana" w:hAnsi="Verdana"/>
          <w:sz w:val="20"/>
          <w:szCs w:val="20"/>
        </w:rPr>
        <w:t xml:space="preserve"> En casos como el presente, las autoridades competentes, sean judiciales o administrativas, tienen el deber de revisar si las actuaciones o decisiones que se ejercen en el ámbito privado y acarreen consecuencias a derechos fundamentales, resultan acorde con el derecho interno y sus obligaciones internacionales. De lo contrario, el Estado debe corregir la vulneración a estos derechos y brindarles una adecuada protección.</w:t>
      </w:r>
    </w:p>
    <w:p w14:paraId="4E627464" w14:textId="7CA500F3" w:rsidR="006C2D6B" w:rsidRPr="00D86945" w:rsidRDefault="006C2D6B" w:rsidP="004F4FE7">
      <w:pPr>
        <w:spacing w:line="240" w:lineRule="auto"/>
        <w:ind w:right="49"/>
        <w:jc w:val="both"/>
        <w:rPr>
          <w:rFonts w:ascii="Verdana" w:hAnsi="Verdana"/>
          <w:sz w:val="18"/>
          <w:szCs w:val="18"/>
        </w:rPr>
      </w:pPr>
      <w:r w:rsidRPr="00D86945">
        <w:rPr>
          <w:rFonts w:ascii="Verdana" w:hAnsi="Verdana"/>
          <w:sz w:val="20"/>
          <w:szCs w:val="20"/>
        </w:rPr>
        <w:t>93.</w:t>
      </w:r>
      <w:r w:rsidRPr="00D86945">
        <w:rPr>
          <w:rFonts w:ascii="Verdana" w:hAnsi="Verdana"/>
          <w:sz w:val="20"/>
          <w:szCs w:val="20"/>
        </w:rPr>
        <w:tab/>
        <w:t xml:space="preserve">Sobre el particular, este Tribunal ha reconocido que “en términos amplios de la Convención Americana, la libertad de expresión se puede ver también afectada sin la intervención directa de la acción estatal”. En el caso de la libertad de expresión, cuyo ejercicio real y efectivo no depende simplemente del deber del Estado de abstenerse de cualquier injerencia, sino que puede requerir medidas positivas de protección incluso en las relaciones entre las personas. En efecto, en ciertos casos, el Estado tiene la obligación positiva de proteger el derecho a la libertad de expresión, incluso frente a ataques provenientes de particulares </w:t>
      </w:r>
      <w:r w:rsidR="004A0CF5" w:rsidRPr="00D86945">
        <w:rPr>
          <w:rFonts w:ascii="Verdana" w:hAnsi="Verdana"/>
          <w:b/>
          <w:sz w:val="18"/>
          <w:szCs w:val="18"/>
        </w:rPr>
        <w:t>[</w:t>
      </w:r>
      <w:r w:rsidR="002A5747">
        <w:rPr>
          <w:rFonts w:ascii="Verdana" w:hAnsi="Verdana"/>
          <w:b/>
          <w:sz w:val="18"/>
          <w:szCs w:val="18"/>
        </w:rPr>
        <w:t>En similar sentido, ver entre otros:</w:t>
      </w:r>
      <w:r w:rsidR="004A0CF5" w:rsidRPr="00D86945">
        <w:rPr>
          <w:rFonts w:ascii="Verdana" w:hAnsi="Verdana"/>
          <w:b/>
          <w:sz w:val="18"/>
          <w:szCs w:val="18"/>
        </w:rPr>
        <w:t xml:space="preserve"> Caso Ríos y otros Vs. Venezuela. Excepciones Preliminares, Fondo, Reparaciones y Costas. Sentencia de 28 de enero de 2009. Serie C No. 194, párr.107; Caso Perozo y otros Vs. Venezuela. Excepciones Preliminares, Fondo, Reparaciones y Costas. Sentencia de 28 de enero de 2009. Serie C No. 195, párr. 118;</w:t>
      </w:r>
      <w:r w:rsidR="00F821A9">
        <w:rPr>
          <w:rFonts w:ascii="Verdana" w:hAnsi="Verdana"/>
          <w:b/>
          <w:sz w:val="18"/>
          <w:szCs w:val="18"/>
        </w:rPr>
        <w:t xml:space="preserve"> y</w:t>
      </w:r>
      <w:r w:rsidR="004A0CF5" w:rsidRPr="00D86945">
        <w:rPr>
          <w:rFonts w:ascii="Verdana" w:hAnsi="Verdana"/>
          <w:b/>
          <w:sz w:val="18"/>
          <w:szCs w:val="18"/>
        </w:rPr>
        <w:t xml:space="preserve"> Caso Manuel Cepeda Vargas Vs. Colombia. Excepciones Preliminares, Fondo, Reparaciones y Costas. Sentencia de 26 de mayo de 2010, párr. 172]</w:t>
      </w:r>
      <w:r w:rsidRPr="00D86945">
        <w:rPr>
          <w:rFonts w:ascii="Verdana" w:hAnsi="Verdana"/>
          <w:sz w:val="18"/>
          <w:szCs w:val="18"/>
        </w:rPr>
        <w:t>.</w:t>
      </w:r>
    </w:p>
    <w:p w14:paraId="208C946A" w14:textId="6FEA2672" w:rsidR="006C2D6B" w:rsidRPr="00D86945" w:rsidRDefault="006C2D6B" w:rsidP="004F4FE7">
      <w:pPr>
        <w:spacing w:line="240" w:lineRule="auto"/>
        <w:ind w:right="49"/>
        <w:jc w:val="both"/>
        <w:rPr>
          <w:rFonts w:ascii="Verdana" w:hAnsi="Verdana"/>
          <w:sz w:val="20"/>
          <w:szCs w:val="20"/>
        </w:rPr>
      </w:pPr>
      <w:r w:rsidRPr="00D86945">
        <w:rPr>
          <w:rFonts w:ascii="Verdana" w:hAnsi="Verdana"/>
          <w:sz w:val="20"/>
          <w:szCs w:val="20"/>
        </w:rPr>
        <w:t>94.</w:t>
      </w:r>
      <w:r w:rsidRPr="00D86945">
        <w:rPr>
          <w:rFonts w:ascii="Verdana" w:hAnsi="Verdana"/>
          <w:sz w:val="20"/>
          <w:szCs w:val="20"/>
        </w:rPr>
        <w:tab/>
        <w:t xml:space="preserve">Es por ello que en el ámbito laboral, la responsabilidad del Estado se puede generar bajo la premisa de que el derecho interno, tal como fue interpretado en última instancia por el órgano jurisdiccional nacional, habría convalidado una vulneración del derecho del recurrente, por lo que la sanción, en último término, deriva como resultado de la resolución del tribunal nacional, pudiendo ello acarrear un ilícito internacional. </w:t>
      </w:r>
    </w:p>
    <w:p w14:paraId="798185BF" w14:textId="7FE027EA" w:rsidR="006C2D6B" w:rsidRPr="00D86945" w:rsidRDefault="006C2D6B" w:rsidP="004F4FE7">
      <w:pPr>
        <w:spacing w:line="240" w:lineRule="auto"/>
        <w:ind w:right="49"/>
        <w:jc w:val="both"/>
        <w:rPr>
          <w:rFonts w:ascii="Verdana" w:hAnsi="Verdana"/>
          <w:b/>
          <w:iCs/>
          <w:sz w:val="18"/>
          <w:szCs w:val="18"/>
        </w:rPr>
      </w:pPr>
      <w:r w:rsidRPr="00D86945">
        <w:rPr>
          <w:rFonts w:ascii="Verdana" w:hAnsi="Verdana"/>
          <w:sz w:val="20"/>
          <w:szCs w:val="20"/>
        </w:rPr>
        <w:t>96.</w:t>
      </w:r>
      <w:r w:rsidRPr="00D86945">
        <w:rPr>
          <w:rFonts w:ascii="Verdana" w:hAnsi="Verdana"/>
          <w:sz w:val="20"/>
          <w:szCs w:val="20"/>
        </w:rPr>
        <w:tab/>
        <w:t xml:space="preserve">En vista de ello, la Corte reafirma que el ámbito de protección del derecho a la libertad de pensamiento y expresión resulta particularmente aplicable en contextos laborales como el del presente caso, respecto del cual el Estado debe no sólo respetar dicho derecho sino también garantizarlo, a fin de que los trabajadores o sus representantes puedan también ejercerlo. Es por ello </w:t>
      </w:r>
      <w:proofErr w:type="gramStart"/>
      <w:r w:rsidRPr="00D86945">
        <w:rPr>
          <w:rFonts w:ascii="Verdana" w:hAnsi="Verdana"/>
          <w:sz w:val="20"/>
          <w:szCs w:val="20"/>
        </w:rPr>
        <w:t>que</w:t>
      </w:r>
      <w:proofErr w:type="gramEnd"/>
      <w:r w:rsidRPr="00D86945">
        <w:rPr>
          <w:rFonts w:ascii="Verdana" w:hAnsi="Verdana"/>
          <w:sz w:val="20"/>
          <w:szCs w:val="20"/>
        </w:rPr>
        <w:t>, en caso en que exista un interés general o público, se requiere de un nivel reforzado de protección de la libertad de expresión</w:t>
      </w:r>
      <w:r w:rsidR="00215583">
        <w:rPr>
          <w:rFonts w:ascii="Verdana" w:hAnsi="Verdana"/>
          <w:sz w:val="20"/>
          <w:szCs w:val="20"/>
        </w:rPr>
        <w:t>,</w:t>
      </w:r>
      <w:r w:rsidRPr="00D86945">
        <w:rPr>
          <w:rFonts w:ascii="Verdana" w:hAnsi="Verdana"/>
          <w:sz w:val="20"/>
          <w:szCs w:val="20"/>
        </w:rPr>
        <w:t xml:space="preserve"> y especialmente respecto de quienes ejercen un cargo de representación. </w:t>
      </w:r>
      <w:r w:rsidR="00F821A9">
        <w:rPr>
          <w:rFonts w:ascii="Verdana" w:hAnsi="Verdana"/>
          <w:b/>
          <w:bCs/>
          <w:sz w:val="20"/>
          <w:szCs w:val="20"/>
        </w:rPr>
        <w:t>[</w:t>
      </w:r>
      <w:r w:rsidR="002A5747">
        <w:rPr>
          <w:rFonts w:ascii="Verdana" w:hAnsi="Verdana"/>
          <w:b/>
          <w:iCs/>
          <w:sz w:val="18"/>
          <w:szCs w:val="18"/>
        </w:rPr>
        <w:t>En similar sentido, ver entre otros:</w:t>
      </w:r>
      <w:r w:rsidR="00376E82" w:rsidRPr="00D86945">
        <w:rPr>
          <w:rFonts w:ascii="Verdana" w:hAnsi="Verdana"/>
          <w:b/>
          <w:iCs/>
          <w:sz w:val="18"/>
          <w:szCs w:val="18"/>
        </w:rPr>
        <w:t xml:space="preserve"> Caso San Miguel Sosa y otras Vs. Venezuela. Fondo, Reparaciones y Costas. Sentencia de 8 de febrero de 2018. Serie C No. 348, párr. 155</w:t>
      </w:r>
      <w:r w:rsidR="00F821A9">
        <w:rPr>
          <w:rFonts w:ascii="Verdana" w:hAnsi="Verdana"/>
          <w:b/>
          <w:iCs/>
          <w:sz w:val="18"/>
          <w:szCs w:val="18"/>
        </w:rPr>
        <w:t>]</w:t>
      </w:r>
      <w:r w:rsidR="00376E82" w:rsidRPr="00D86945">
        <w:rPr>
          <w:rFonts w:ascii="Verdana" w:hAnsi="Verdana"/>
          <w:b/>
          <w:iCs/>
          <w:sz w:val="18"/>
          <w:szCs w:val="18"/>
        </w:rPr>
        <w:t>.</w:t>
      </w:r>
    </w:p>
    <w:p w14:paraId="7615A247" w14:textId="10F70861" w:rsidR="006C2D6B" w:rsidRPr="00D86945" w:rsidRDefault="006C2D6B" w:rsidP="004F4FE7">
      <w:pPr>
        <w:spacing w:line="240" w:lineRule="auto"/>
        <w:ind w:right="49"/>
        <w:jc w:val="both"/>
        <w:rPr>
          <w:rFonts w:ascii="Verdana" w:hAnsi="Verdana"/>
          <w:sz w:val="20"/>
          <w:szCs w:val="20"/>
        </w:rPr>
      </w:pPr>
      <w:r w:rsidRPr="00D86945">
        <w:rPr>
          <w:rFonts w:ascii="Verdana" w:hAnsi="Verdana"/>
          <w:sz w:val="20"/>
          <w:szCs w:val="20"/>
        </w:rPr>
        <w:lastRenderedPageBreak/>
        <w:t>97.</w:t>
      </w:r>
      <w:r w:rsidRPr="00D86945">
        <w:rPr>
          <w:rFonts w:ascii="Verdana" w:hAnsi="Verdana"/>
          <w:sz w:val="20"/>
          <w:szCs w:val="20"/>
        </w:rPr>
        <w:tab/>
        <w:t>Por ende, esta Corte determinará si, en el presente caso, para preservar los derechos alegados por la presunta víctima en el ámbito de las relaciones laborales, la decisión de segunda instancia constituyó una infracción a la libertad de expresión al haber avalado el despido</w:t>
      </w:r>
      <w:r w:rsidR="00215583">
        <w:rPr>
          <w:rFonts w:ascii="Verdana" w:hAnsi="Verdana"/>
          <w:sz w:val="20"/>
          <w:szCs w:val="20"/>
        </w:rPr>
        <w:t>.</w:t>
      </w:r>
    </w:p>
    <w:p w14:paraId="285DBDF0" w14:textId="64245B2E" w:rsidR="00987FF9" w:rsidRPr="00F23762" w:rsidRDefault="00987FF9" w:rsidP="00F821A9">
      <w:pPr>
        <w:pStyle w:val="Ttulo2"/>
      </w:pPr>
      <w:bookmarkStart w:id="10" w:name="_Toc89691462"/>
      <w:r w:rsidRPr="00F23762">
        <w:t xml:space="preserve">Artículo 13.2: </w:t>
      </w:r>
      <w:r w:rsidR="00207E81" w:rsidRPr="00F23762">
        <w:t>L</w:t>
      </w:r>
      <w:r w:rsidR="00215583">
        <w:t>os l</w:t>
      </w:r>
      <w:r w:rsidR="00207E81" w:rsidRPr="00F23762">
        <w:t>ímites</w:t>
      </w:r>
      <w:r w:rsidRPr="00F23762">
        <w:t xml:space="preserve"> </w:t>
      </w:r>
      <w:r w:rsidR="00215583">
        <w:t>al derecho de la libertad de expresión</w:t>
      </w:r>
      <w:bookmarkEnd w:id="10"/>
    </w:p>
    <w:p w14:paraId="66503429" w14:textId="77777777" w:rsidR="00987FF9" w:rsidRPr="00D86945" w:rsidRDefault="00987FF9" w:rsidP="004F4FE7">
      <w:pPr>
        <w:pStyle w:val="Prrafodelista"/>
        <w:spacing w:line="240" w:lineRule="auto"/>
        <w:ind w:left="0" w:right="51"/>
        <w:jc w:val="both"/>
        <w:rPr>
          <w:rFonts w:ascii="Verdana" w:hAnsi="Verdana" w:cs="Times New Roman"/>
          <w:b/>
          <w:sz w:val="20"/>
          <w:szCs w:val="20"/>
          <w:lang w:val="es-ES"/>
        </w:rPr>
      </w:pPr>
    </w:p>
    <w:p w14:paraId="7E8D5144" w14:textId="2CDBD7EB" w:rsidR="00987FF9" w:rsidRPr="00D86945" w:rsidRDefault="00987FF9" w:rsidP="004F4FE7">
      <w:pPr>
        <w:pStyle w:val="Prrafodelista"/>
        <w:spacing w:line="240" w:lineRule="auto"/>
        <w:ind w:left="0" w:right="51"/>
        <w:jc w:val="both"/>
        <w:rPr>
          <w:rFonts w:ascii="Verdana" w:hAnsi="Verdana" w:cs="Times New Roman"/>
          <w:sz w:val="20"/>
          <w:szCs w:val="20"/>
          <w:lang w:val="es-ES"/>
        </w:rPr>
      </w:pPr>
      <w:r w:rsidRPr="00D86945">
        <w:rPr>
          <w:rFonts w:ascii="Verdana" w:hAnsi="Verdana" w:cs="Times New Roman"/>
          <w:sz w:val="20"/>
          <w:szCs w:val="20"/>
          <w:lang w:val="es-ES"/>
        </w:rPr>
        <w:t>En esta sección se trata sobre la restricción del derecho a la libertad de expresión. Se analiza la jurisprudencia relativa a la censura previa y las restricciones ulteriores. Sobre estas últimas se desarrollan los requisitos para su legitimidad conforme a la Convención Americana. Además, se tratan algunos temas conexos, como el deber de confidencialidad y el margen de restricción del debate público o político.</w:t>
      </w:r>
    </w:p>
    <w:p w14:paraId="6DB36071" w14:textId="40FA4525" w:rsidR="00987FF9" w:rsidRPr="00D86945" w:rsidRDefault="00215583" w:rsidP="00215583">
      <w:pPr>
        <w:pStyle w:val="Ttulo3"/>
      </w:pPr>
      <w:bookmarkStart w:id="11" w:name="_Toc89691463"/>
      <w:r>
        <w:t xml:space="preserve">A) </w:t>
      </w:r>
      <w:r w:rsidR="00987FF9" w:rsidRPr="00D86945">
        <w:t>Supresión de la libertad de expresión</w:t>
      </w:r>
      <w:bookmarkEnd w:id="11"/>
    </w:p>
    <w:p w14:paraId="2DEDF192" w14:textId="6C2C8363"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b/>
          <w:bCs/>
          <w:sz w:val="20"/>
          <w:szCs w:val="20"/>
        </w:rPr>
        <w:t>Corte IDH. La colegiación obligatoria de periodistas (Arts. 13 y 29 Convención Americana sobre Derechos Humanos). Opinión Consultiva OC-5/85 de 13 de noviembre de 1985. Serie A No. 5</w:t>
      </w:r>
      <w:r w:rsidRPr="00D86945">
        <w:rPr>
          <w:rFonts w:ascii="Verdana" w:hAnsi="Verdana" w:cs="Times New Roman"/>
          <w:sz w:val="20"/>
          <w:szCs w:val="20"/>
          <w:lang w:val="es-ES"/>
        </w:rPr>
        <w:t xml:space="preserve"> </w:t>
      </w:r>
    </w:p>
    <w:p w14:paraId="1C593E5D" w14:textId="02B955F2"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53. </w:t>
      </w:r>
      <w:r w:rsidRPr="00D86945">
        <w:rPr>
          <w:rFonts w:ascii="Verdana" w:hAnsi="Verdana" w:cs="Times New Roman"/>
          <w:sz w:val="20"/>
          <w:szCs w:val="20"/>
          <w:lang w:val="es-ES"/>
        </w:rPr>
        <w:tab/>
        <w:t xml:space="preserve">Las infracciones al artículo 13 pueden presentarse bajo diferentes hipótesis, según conduzcan a la supresión de la libertad de expresión o sólo impliquen restringirla más allá de lo legítimamente permitido. </w:t>
      </w:r>
    </w:p>
    <w:p w14:paraId="3DFF8B30" w14:textId="1898EF70" w:rsidR="00987FF9" w:rsidRPr="00D86945" w:rsidRDefault="00987FF9" w:rsidP="004F4FE7">
      <w:pPr>
        <w:spacing w:line="240" w:lineRule="auto"/>
        <w:ind w:right="49"/>
        <w:jc w:val="both"/>
        <w:rPr>
          <w:rFonts w:ascii="Verdana" w:hAnsi="Verdana" w:cs="Times New Roman"/>
          <w:b/>
          <w:i/>
          <w:sz w:val="20"/>
          <w:szCs w:val="20"/>
          <w:lang w:val="es-ES"/>
        </w:rPr>
      </w:pPr>
      <w:r w:rsidRPr="00D86945">
        <w:rPr>
          <w:rFonts w:ascii="Verdana" w:hAnsi="Verdana" w:cs="Times New Roman"/>
          <w:sz w:val="20"/>
          <w:szCs w:val="20"/>
          <w:lang w:val="es-ES"/>
        </w:rPr>
        <w:t xml:space="preserve">54. </w:t>
      </w:r>
      <w:r w:rsidRPr="00D86945">
        <w:rPr>
          <w:rFonts w:ascii="Verdana" w:hAnsi="Verdana" w:cs="Times New Roman"/>
          <w:sz w:val="20"/>
          <w:szCs w:val="20"/>
          <w:lang w:val="es-ES"/>
        </w:rPr>
        <w:tab/>
        <w:t xml:space="preserve">En verdad no toda transgresión al artículo 13 de la Convención implica la supresión radical de la libertad de expresión, que tiene lugar cuando, por el poder público se establecen medios para impedir la libre circulación de información, ideas, opiniones o noticias. Ejemplos son la censura previa, el secuestro o la prohibición de publicaciones y, en general, todos aquellos procedimientos que condicionan la expresión o la difusión de información al control gubernamental. En tal hipótesis, hay una violación radical tanto del derecho de cada persona a expresarse como del derecho de todos a estar bien informados, de modo que se afecta una de las condiciones básicas de una sociedad democrática. La Corte considera que la colegiación obligatoria de los periodistas, en los términos en que ha sido planteada para esta consulta, no configura un supuesto de esta especie. </w:t>
      </w:r>
      <w:r w:rsidR="00F821A9">
        <w:rPr>
          <w:rFonts w:ascii="Verdana" w:hAnsi="Verdana" w:cs="Times New Roman"/>
          <w:b/>
          <w:bCs/>
          <w:sz w:val="20"/>
          <w:szCs w:val="20"/>
          <w:lang w:val="es-ES"/>
        </w:rPr>
        <w:t>[</w:t>
      </w:r>
      <w:r w:rsidR="002A5747">
        <w:rPr>
          <w:rFonts w:ascii="Verdana" w:hAnsi="Verdana" w:cs="Times New Roman"/>
          <w:b/>
          <w:sz w:val="18"/>
          <w:szCs w:val="18"/>
          <w:lang w:val="es-ES"/>
        </w:rPr>
        <w:t>En similar sentido, ver entre otros:</w:t>
      </w:r>
      <w:r w:rsidRPr="00D86945">
        <w:rPr>
          <w:rFonts w:ascii="Verdana" w:hAnsi="Verdana" w:cs="Times New Roman"/>
          <w:sz w:val="18"/>
          <w:szCs w:val="18"/>
          <w:lang w:val="es-ES"/>
        </w:rPr>
        <w:t xml:space="preserve"> </w:t>
      </w:r>
      <w:r w:rsidRPr="00D86945">
        <w:rPr>
          <w:rFonts w:ascii="Verdana" w:hAnsi="Verdana" w:cs="Times New Roman"/>
          <w:b/>
          <w:sz w:val="18"/>
          <w:szCs w:val="18"/>
          <w:lang w:val="es-ES"/>
        </w:rPr>
        <w:t xml:space="preserve">Caso Palamara Iribarne Vs. Chile. Fondo, Reparaciones y Costas. Sentencia de 22 de noviembre de 2005. Serie C No. 135, párr.68; Caso de la Masacre de Pueblo Bello Vs. Colombia. Sentencia de 31 de enero de 2006. Serie C No. 140, párr.218; Caso Vélez Restrepo y familiares Vs. Colombia. Excepción Preliminar, Fondo, Reparaciones y Costas. Sentencia de 3 de septiembre de 2012. Serie C No. 248, párr.139; </w:t>
      </w:r>
      <w:r w:rsidR="00F821A9">
        <w:rPr>
          <w:rFonts w:ascii="Verdana" w:hAnsi="Verdana" w:cs="Times New Roman"/>
          <w:b/>
          <w:sz w:val="18"/>
          <w:szCs w:val="18"/>
          <w:lang w:val="es-ES"/>
        </w:rPr>
        <w:t xml:space="preserve">y </w:t>
      </w:r>
      <w:r w:rsidRPr="00D86945">
        <w:rPr>
          <w:rFonts w:ascii="Verdana" w:hAnsi="Verdana" w:cs="Times New Roman"/>
          <w:b/>
          <w:sz w:val="18"/>
          <w:szCs w:val="18"/>
          <w:lang w:val="es-ES"/>
        </w:rPr>
        <w:t xml:space="preserve">Caso </w:t>
      </w:r>
      <w:proofErr w:type="spellStart"/>
      <w:r w:rsidRPr="00D86945">
        <w:rPr>
          <w:rFonts w:ascii="Verdana" w:hAnsi="Verdana" w:cs="Times New Roman"/>
          <w:b/>
          <w:sz w:val="18"/>
          <w:szCs w:val="18"/>
          <w:lang w:val="es-ES"/>
        </w:rPr>
        <w:t>Granier</w:t>
      </w:r>
      <w:proofErr w:type="spellEnd"/>
      <w:r w:rsidRPr="00D86945">
        <w:rPr>
          <w:rFonts w:ascii="Verdana" w:hAnsi="Verdana" w:cs="Times New Roman"/>
          <w:b/>
          <w:sz w:val="18"/>
          <w:szCs w:val="18"/>
          <w:lang w:val="es-ES"/>
        </w:rPr>
        <w:t xml:space="preserve"> y otros (Radio Caracas Televisión) Vs. Venezuela. Excepciones Preliminares, Fondo, Reparaciones y Costas. Sentencia de 22 de junio de 2015. Serie C No. 293, párr.137</w:t>
      </w:r>
      <w:r w:rsidR="00F821A9">
        <w:rPr>
          <w:rFonts w:ascii="Verdana" w:hAnsi="Verdana" w:cs="Times New Roman"/>
          <w:b/>
          <w:sz w:val="18"/>
          <w:szCs w:val="18"/>
          <w:lang w:val="es-ES"/>
        </w:rPr>
        <w:t>]</w:t>
      </w:r>
      <w:r w:rsidRPr="00D86945">
        <w:rPr>
          <w:rFonts w:ascii="Verdana" w:hAnsi="Verdana" w:cs="Times New Roman"/>
          <w:b/>
          <w:sz w:val="18"/>
          <w:szCs w:val="18"/>
          <w:lang w:val="es-ES"/>
        </w:rPr>
        <w:t>.</w:t>
      </w:r>
    </w:p>
    <w:p w14:paraId="0F8B89AE" w14:textId="1FD7A868"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55. </w:t>
      </w:r>
      <w:r w:rsidRPr="00D86945">
        <w:rPr>
          <w:rFonts w:ascii="Verdana" w:hAnsi="Verdana" w:cs="Times New Roman"/>
          <w:sz w:val="20"/>
          <w:szCs w:val="20"/>
          <w:lang w:val="es-ES"/>
        </w:rPr>
        <w:tab/>
        <w:t xml:space="preserve">La supresión de la libertad de expresión como ha sido descrita en el párrafo precedente, si bien constituye el ejemplo más grave de violación del artículo 13, no es la única hipótesis en que dicho artículo pueda ser irrespetado. En efecto, también resulta contradictorio con la Convención todo acto del poder público que implique una restricción al derecho de buscar, recibir y difundir informaciones e ideas, en mayor medida o por medios distintos de los autorizados por la misma Convención; y todo ello con independencia de si esas restricciones aprovechan o no al gobierno. </w:t>
      </w:r>
    </w:p>
    <w:p w14:paraId="4D3843BC" w14:textId="6636D971"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56. </w:t>
      </w:r>
      <w:r w:rsidRPr="00D86945">
        <w:rPr>
          <w:rFonts w:ascii="Verdana" w:hAnsi="Verdana" w:cs="Times New Roman"/>
          <w:sz w:val="20"/>
          <w:szCs w:val="20"/>
          <w:lang w:val="es-ES"/>
        </w:rPr>
        <w:tab/>
        <w:t>Más aún, en los términos amplios de la Convención, la libertad de expresión se puede ver también afectada sin la intervención directa de la acción estatal. Tal supuesto podría llegar a configurarse, por ejemplo, cuando por efecto de la existencia de monopolios u oligopolios en la propiedad de los medios de comunicación, se establecen en la práctica "medios encaminados a impedir la comunicación y la circulación de ideas y opiniones".</w:t>
      </w:r>
      <w:r w:rsidR="00D35646" w:rsidRPr="00D86945">
        <w:rPr>
          <w:rFonts w:ascii="Verdana" w:hAnsi="Verdana" w:cs="Times New Roman"/>
          <w:sz w:val="20"/>
          <w:szCs w:val="20"/>
          <w:lang w:val="es-ES"/>
        </w:rPr>
        <w:t xml:space="preserve"> </w:t>
      </w:r>
    </w:p>
    <w:p w14:paraId="7634E7D7" w14:textId="6A290FA2"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lastRenderedPageBreak/>
        <w:t>Corte IDH. Caso Vélez Restrepo y familiares Vs. Colombia. Excepción Preliminar, Fondo, Reparaciones y Costas. Sentencia de 3 de septiembre de 2012. Serie C No. 248</w:t>
      </w:r>
      <w:r w:rsidR="00F821A9">
        <w:rPr>
          <w:rFonts w:ascii="Verdana" w:hAnsi="Verdana"/>
          <w:b/>
          <w:sz w:val="20"/>
          <w:szCs w:val="20"/>
        </w:rPr>
        <w:t>.</w:t>
      </w:r>
    </w:p>
    <w:p w14:paraId="0A251575" w14:textId="0316544F"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142.</w:t>
      </w:r>
      <w:r w:rsidRPr="00D86945">
        <w:rPr>
          <w:rFonts w:ascii="Verdana" w:hAnsi="Verdana"/>
          <w:sz w:val="20"/>
          <w:szCs w:val="20"/>
        </w:rPr>
        <w:tab/>
        <w:t xml:space="preserve">En cuanto a lo sucedido en el presente caso, la Corte estima necesario recordar que el señor Vélez Restrepo fue agredido mientras se encontraba cumpliendo labores periodísticas como camarógrafo de un noticiero nacional y que la agresión por parte de militares tenía el propósito de coartar su derecho a la libertad de pensamiento y de expresión para impedir que continuara grabando los acontecimientos que allí se presentaban </w:t>
      </w:r>
      <w:r w:rsidR="005E0C2B">
        <w:rPr>
          <w:rFonts w:ascii="Verdana" w:hAnsi="Verdana"/>
          <w:sz w:val="20"/>
          <w:szCs w:val="20"/>
        </w:rPr>
        <w:t>[...]</w:t>
      </w:r>
      <w:r w:rsidRPr="00D86945">
        <w:rPr>
          <w:rFonts w:ascii="Verdana" w:hAnsi="Verdana"/>
          <w:sz w:val="20"/>
          <w:szCs w:val="20"/>
        </w:rPr>
        <w:t xml:space="preserve"> y que difundiera las imágenes que ya había grabado. La Corte resalta que si bien finalmente las imágenes que el señor Vélez Retrepo logró grabar fueron difundidas, ello se debió a que, a pesar de los golpes que los militares le propinaron, aquel no soltó la cámara de video y, aún cuando fue destrozada, la cinta que contenía la grabación no se dañó y fue posible difundir las imágenes captadas por aquél cuando militares que participaban en actividades de control de la manifestación agredieron a personas indefensas. La Corte también toma en cuenta que, de las frases que gritaban los agresores mientras golpeaban al señor Vélez Restrepo, es posible escuchar que pretendían sacar el “casete” de video de la cámara, lo cual no lograron concretar, pero denota que tenían el fin de que no se divulgaran las imágenes que ya había grabado el señor Vélez Restrepo </w:t>
      </w:r>
      <w:r w:rsidR="005E0C2B">
        <w:rPr>
          <w:rFonts w:ascii="Verdana" w:hAnsi="Verdana"/>
          <w:sz w:val="20"/>
          <w:szCs w:val="20"/>
        </w:rPr>
        <w:t>[...]</w:t>
      </w:r>
      <w:r w:rsidRPr="00D86945">
        <w:rPr>
          <w:rFonts w:ascii="Verdana" w:hAnsi="Verdana"/>
          <w:sz w:val="20"/>
          <w:szCs w:val="20"/>
        </w:rPr>
        <w:t xml:space="preserve">. Asimismo, en la resolución disciplinaria sancionatoria emitida al día siguiente contra un suboficial del Ejército, se afirma que “ordenó a un soldado bajo su mando que le incautara la cámara de video al camarógrafo [Luis Gonzalo Vélez Restrepo] del noticiero de televisión 12 y 30, actitud que va en contravía de las disposiciones de la libertad de prensa” </w:t>
      </w:r>
      <w:r w:rsidR="005E0C2B">
        <w:rPr>
          <w:rFonts w:ascii="Verdana" w:hAnsi="Verdana"/>
          <w:sz w:val="20"/>
          <w:szCs w:val="20"/>
        </w:rPr>
        <w:t>[...]</w:t>
      </w:r>
      <w:r w:rsidRPr="00D86945">
        <w:rPr>
          <w:rFonts w:ascii="Verdana" w:hAnsi="Verdana"/>
          <w:sz w:val="20"/>
          <w:szCs w:val="20"/>
        </w:rPr>
        <w:t>.</w:t>
      </w:r>
    </w:p>
    <w:p w14:paraId="3395853C" w14:textId="2A425A54"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144.</w:t>
      </w:r>
      <w:r w:rsidRPr="00D86945">
        <w:rPr>
          <w:rFonts w:ascii="Verdana" w:hAnsi="Verdana"/>
          <w:sz w:val="20"/>
          <w:szCs w:val="20"/>
        </w:rPr>
        <w:tab/>
        <w:t xml:space="preserve">Al respecto, la Corte enfatiza que, si bien la agresión al señor Vélez Restrepo se produjo en un contexto en que los agentes de la Fuerza Pública se encontraban controlando la manifestación de miles de personas cuando se suscitaron enfrentamientos con una parte de los manifestantes </w:t>
      </w:r>
      <w:r w:rsidR="005E0C2B">
        <w:rPr>
          <w:rFonts w:ascii="Verdana" w:hAnsi="Verdana"/>
          <w:sz w:val="20"/>
          <w:szCs w:val="20"/>
        </w:rPr>
        <w:t>[...]</w:t>
      </w:r>
      <w:r w:rsidRPr="00D86945">
        <w:rPr>
          <w:rFonts w:ascii="Verdana" w:hAnsi="Verdana"/>
          <w:sz w:val="20"/>
          <w:szCs w:val="20"/>
        </w:rPr>
        <w:t>, el señor Vélez Restrepo fue agredido en las siguientes condiciones: encontrándose indefenso, sin haber actuado de forma alguna que justificara tal agresión, siendo identificable como miembro de la prensa por la cámara de video que cargaba y, más aún, la agresión se dirigió directamente contra él con el objetivo preciso de impedirle continuar grabando los acontecimientos y de impedirle difundir lo que había grabado. No es aceptable para este Tribunal afirmar que la agresión a un periodista en tales condiciones “no fue un ataque deliberado” y que constituye una “consecuencia” de las actividades de control por parte de la Fuerza Pública de los hechos de violencia que tuvieron lugar en ese entonces.</w:t>
      </w:r>
      <w:r w:rsidR="00D35646" w:rsidRPr="00D86945">
        <w:rPr>
          <w:rFonts w:ascii="Verdana" w:hAnsi="Verdana"/>
          <w:sz w:val="20"/>
          <w:szCs w:val="20"/>
        </w:rPr>
        <w:t xml:space="preserve"> </w:t>
      </w:r>
    </w:p>
    <w:p w14:paraId="66B3D376" w14:textId="075D96F9"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145.</w:t>
      </w:r>
      <w:r w:rsidRPr="00D86945">
        <w:rPr>
          <w:rFonts w:ascii="Verdana" w:hAnsi="Verdana"/>
          <w:sz w:val="20"/>
          <w:szCs w:val="20"/>
        </w:rPr>
        <w:tab/>
        <w:t xml:space="preserve">Más aún, la Corte enfatiza que el contenido de la información que se encontraba grabando el señor Vélez Restrepo era de interés público. El señor Vélez Restrepo captó imágenes de militares que participaban en actividades de control de la manifestación que estaba teniendo lugar el 29 de agosto de 1996 en el Caquetá, agrediendo a personas indefensas </w:t>
      </w:r>
      <w:r w:rsidR="005E0C2B">
        <w:rPr>
          <w:rFonts w:ascii="Verdana" w:hAnsi="Verdana"/>
          <w:sz w:val="20"/>
          <w:szCs w:val="20"/>
        </w:rPr>
        <w:t>[...]</w:t>
      </w:r>
      <w:r w:rsidRPr="00D86945">
        <w:rPr>
          <w:rFonts w:ascii="Verdana" w:hAnsi="Verdana"/>
          <w:sz w:val="20"/>
          <w:szCs w:val="20"/>
        </w:rPr>
        <w:t>. La difusión de esa información permitía a sus destinatarios constatar y controlar si en la manifestación los miembros de la Fuerza Pública estaban cumpliendo de forma adecuada sus funciones y estaban haciendo un uso adecuado de la fuerza. Esta Corte ha destacado que “[e]l control democrático, por parte de la sociedad a través de la opinión pública, fomenta la transparencia de las actividades estatales y promueve la responsabilidad de los funcionarios</w:t>
      </w:r>
      <w:r w:rsidR="00D35646" w:rsidRPr="00D86945">
        <w:rPr>
          <w:rFonts w:ascii="Verdana" w:hAnsi="Verdana"/>
          <w:sz w:val="20"/>
          <w:szCs w:val="20"/>
        </w:rPr>
        <w:t xml:space="preserve"> </w:t>
      </w:r>
      <w:r w:rsidRPr="00D86945">
        <w:rPr>
          <w:rFonts w:ascii="Verdana" w:hAnsi="Verdana"/>
          <w:sz w:val="20"/>
          <w:szCs w:val="20"/>
        </w:rPr>
        <w:t>sobre su gestión pública”</w:t>
      </w:r>
      <w:r w:rsidR="00215583">
        <w:rPr>
          <w:rFonts w:ascii="Verdana" w:hAnsi="Verdana"/>
          <w:sz w:val="20"/>
          <w:szCs w:val="20"/>
        </w:rPr>
        <w:t>.</w:t>
      </w:r>
      <w:r w:rsidRPr="00D86945">
        <w:rPr>
          <w:rFonts w:ascii="Verdana" w:hAnsi="Verdana"/>
          <w:sz w:val="20"/>
          <w:szCs w:val="20"/>
        </w:rPr>
        <w:t xml:space="preserve"> </w:t>
      </w:r>
    </w:p>
    <w:p w14:paraId="1BC44297" w14:textId="5EEB5857"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147.</w:t>
      </w:r>
      <w:r w:rsidRPr="00D86945">
        <w:rPr>
          <w:rFonts w:ascii="Verdana" w:hAnsi="Verdana"/>
          <w:sz w:val="20"/>
          <w:szCs w:val="20"/>
        </w:rPr>
        <w:tab/>
        <w:t>Al respecto, Colombia afirmó que no es responsable de la violación a la dimensión social del derecho a la libertad de pensamiento y de expresión, y enfatizó que “[n]o aparece ninguna evidencia en el presente proceso internacional de que la sociedad u otros periodistas se vieran amedrentados por la situación de Richard”.</w:t>
      </w:r>
    </w:p>
    <w:p w14:paraId="533B63D6" w14:textId="066E8B11"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lastRenderedPageBreak/>
        <w:t>148.</w:t>
      </w:r>
      <w:r w:rsidRPr="00D86945">
        <w:rPr>
          <w:rFonts w:ascii="Verdana" w:hAnsi="Verdana"/>
          <w:sz w:val="20"/>
          <w:szCs w:val="20"/>
        </w:rPr>
        <w:tab/>
        <w:t>La Corte considera razonable concluir que la agresión perpetrada por militares contra el señor Vélez Restrepo, mientras cubría una manifestación pública, y su amplia difusión en los medios de comunicación colombianos tienen un impacto negativo en otros periodistas que deben cubrir hechos de esa naturaleza, quienes pueden temer sufrir actos similares de violencia. Asimismo, el Tribunal ha constatado que dicha agresión impidió al señor Vélez Restrepo continuar grabando los acontecimientos del 29 de agosto de 1996 cuando la fuerza pública se encontraba controlando una manifestación, lo cual correlativamente afecta la posibilidad de hacer llegar esa información a los posibles destinatarios</w:t>
      </w:r>
      <w:r w:rsidR="00215583">
        <w:rPr>
          <w:rFonts w:ascii="Verdana" w:hAnsi="Verdana"/>
          <w:sz w:val="20"/>
          <w:szCs w:val="20"/>
        </w:rPr>
        <w:t>.</w:t>
      </w:r>
    </w:p>
    <w:p w14:paraId="7104F83B" w14:textId="39D06F61"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149.</w:t>
      </w:r>
      <w:r w:rsidRPr="00D86945">
        <w:rPr>
          <w:rFonts w:ascii="Verdana" w:hAnsi="Verdana"/>
          <w:sz w:val="20"/>
          <w:szCs w:val="20"/>
        </w:rPr>
        <w:tab/>
        <w:t xml:space="preserve">Con base en el reconocimiento de responsabilidad internacional y en las anteriores consideraciones, la Corte concluye que, a través de los actos de agresión del 29 de agosto de 1996, Colombia violó la obligación de respetar el derecho a la libertad de pensamiento y de expresión del señor Vélez Restrepo, consagrado en el artículo 13 de la Convención Americana, en relación con el artículo 1.1 de dicho tratado. </w:t>
      </w:r>
    </w:p>
    <w:p w14:paraId="7E07F903" w14:textId="444996B0" w:rsidR="00982279" w:rsidRPr="00D86945" w:rsidRDefault="00982279" w:rsidP="004F4FE7">
      <w:pPr>
        <w:spacing w:line="240" w:lineRule="auto"/>
        <w:ind w:right="49"/>
        <w:jc w:val="both"/>
        <w:rPr>
          <w:rFonts w:ascii="Verdana" w:hAnsi="Verdana"/>
          <w:b/>
          <w:sz w:val="20"/>
          <w:szCs w:val="20"/>
        </w:rPr>
      </w:pPr>
      <w:r w:rsidRPr="00D86945">
        <w:rPr>
          <w:rFonts w:ascii="Verdana" w:hAnsi="Verdana"/>
          <w:b/>
          <w:sz w:val="20"/>
          <w:szCs w:val="20"/>
        </w:rPr>
        <w:t xml:space="preserve">Corte IDH. Caso Carvajal </w:t>
      </w:r>
      <w:proofErr w:type="spellStart"/>
      <w:r w:rsidRPr="00D86945">
        <w:rPr>
          <w:rFonts w:ascii="Verdana" w:hAnsi="Verdana"/>
          <w:b/>
          <w:sz w:val="20"/>
          <w:szCs w:val="20"/>
        </w:rPr>
        <w:t>Carvajal</w:t>
      </w:r>
      <w:proofErr w:type="spellEnd"/>
      <w:r w:rsidRPr="00D86945">
        <w:rPr>
          <w:rFonts w:ascii="Verdana" w:hAnsi="Verdana"/>
          <w:b/>
          <w:sz w:val="20"/>
          <w:szCs w:val="20"/>
        </w:rPr>
        <w:t xml:space="preserve"> y otros Vs. Colombia. Fondo, Reparaciones y Costas. Sentencia de 13 de marzo de 2018. Serie C No. 352</w:t>
      </w:r>
      <w:r w:rsidR="00F821A9">
        <w:rPr>
          <w:rFonts w:ascii="Verdana" w:hAnsi="Verdana"/>
          <w:b/>
          <w:sz w:val="20"/>
          <w:szCs w:val="20"/>
        </w:rPr>
        <w:t>.</w:t>
      </w:r>
      <w:r w:rsidRPr="00D86945">
        <w:rPr>
          <w:rStyle w:val="Refdenotaalpie"/>
          <w:rFonts w:ascii="Verdana" w:hAnsi="Verdana"/>
          <w:b/>
          <w:sz w:val="20"/>
          <w:szCs w:val="20"/>
        </w:rPr>
        <w:footnoteReference w:id="23"/>
      </w:r>
    </w:p>
    <w:p w14:paraId="197A1EE0" w14:textId="13064C3D" w:rsidR="00982279" w:rsidRPr="00D86945" w:rsidRDefault="00982279" w:rsidP="004F4FE7">
      <w:pPr>
        <w:spacing w:line="240" w:lineRule="auto"/>
        <w:ind w:right="49"/>
        <w:jc w:val="both"/>
        <w:rPr>
          <w:rFonts w:ascii="Verdana" w:hAnsi="Verdana"/>
          <w:sz w:val="20"/>
          <w:szCs w:val="20"/>
        </w:rPr>
      </w:pPr>
      <w:r w:rsidRPr="00D86945">
        <w:rPr>
          <w:rFonts w:ascii="Verdana" w:hAnsi="Verdana"/>
          <w:sz w:val="20"/>
          <w:szCs w:val="20"/>
        </w:rPr>
        <w:t>175.</w:t>
      </w:r>
      <w:r w:rsidRPr="00D86945">
        <w:rPr>
          <w:rFonts w:ascii="Verdana" w:hAnsi="Verdana"/>
          <w:sz w:val="20"/>
          <w:szCs w:val="20"/>
        </w:rPr>
        <w:tab/>
        <w:t>Asimismo, la Corte ha señalado que las infracciones al artículo 13 de la Convención Americana van desde la restricción excesiva de la libertad de expresión o su total supresión. Una de las formas más violentas de suprimir el derecho a la libertad de expresión es a través de homicidios contra periodistas y comunicadores sociales. Este tipo de actos de violencia contra periodistas puede incluso tener un impacto negativo en otros periodistas que deben cubrir hechos de esa naturaleza, quienes pueden temer sufrir actos similares de violencia</w:t>
      </w:r>
      <w:r w:rsidR="00215583">
        <w:rPr>
          <w:rFonts w:ascii="Verdana" w:hAnsi="Verdana"/>
          <w:sz w:val="20"/>
          <w:szCs w:val="20"/>
        </w:rPr>
        <w:t>.</w:t>
      </w:r>
      <w:r w:rsidRPr="00D86945">
        <w:rPr>
          <w:rFonts w:ascii="Verdana" w:hAnsi="Verdana"/>
          <w:sz w:val="20"/>
          <w:szCs w:val="20"/>
        </w:rPr>
        <w:t xml:space="preserve"> </w:t>
      </w:r>
    </w:p>
    <w:p w14:paraId="4DB82A58" w14:textId="61EB179A" w:rsidR="003C6ACE" w:rsidRPr="00D86945" w:rsidRDefault="00982279" w:rsidP="004F4FE7">
      <w:pPr>
        <w:spacing w:line="240" w:lineRule="auto"/>
        <w:ind w:right="49"/>
        <w:jc w:val="both"/>
        <w:rPr>
          <w:rFonts w:ascii="Verdana" w:hAnsi="Verdana"/>
          <w:sz w:val="20"/>
          <w:szCs w:val="20"/>
        </w:rPr>
      </w:pPr>
      <w:r w:rsidRPr="00D86945">
        <w:rPr>
          <w:rFonts w:ascii="Verdana" w:hAnsi="Verdana"/>
          <w:sz w:val="20"/>
          <w:szCs w:val="20"/>
        </w:rPr>
        <w:t>176.</w:t>
      </w:r>
      <w:r w:rsidRPr="00D86945">
        <w:rPr>
          <w:rFonts w:ascii="Verdana" w:hAnsi="Verdana"/>
          <w:sz w:val="20"/>
          <w:szCs w:val="20"/>
        </w:rPr>
        <w:tab/>
        <w:t xml:space="preserve">De ese modo, para esta Corte el respeto y la garantía del derecho a la vida y la libertad de expresión de los periodistas y de los comunicadores sociales se encuentran estrechamente relacionados. En el presente caso, la Corte advierte que los alegatos de los representantes y de la Comisión, que se refieren a la responsabilidad del Estado por una vulneración a la libertad de expresión de Nelson Carvajal, no se distinguen de aquellos que versan sobre una vulneración a su derecho a la vida. En efecto, la libertad de expresión de Nelson Carvajal se habría visto afectada precisamente por el hecho que éste no pudo continuar ejerciéndola debido a su muerte y a la falta de investigación de la misma. De ese modo, en las circunstancias particulares de este caso, necesariamente la determinación de la responsabilidad del Estado por una alegada violación a ese derecho, debe derivarse, entre otras consideraciones, de una responsabilidad del Estado por una violación al derecho a la vida de Nelson Carvajal. </w:t>
      </w:r>
    </w:p>
    <w:p w14:paraId="3908ECC1" w14:textId="30BEF9C0" w:rsidR="003C6ACE" w:rsidRPr="00D86945" w:rsidRDefault="003C6ACE" w:rsidP="004F4FE7">
      <w:pPr>
        <w:spacing w:line="240" w:lineRule="auto"/>
        <w:ind w:right="49"/>
        <w:jc w:val="both"/>
        <w:rPr>
          <w:rFonts w:ascii="Verdana" w:hAnsi="Verdana"/>
          <w:sz w:val="20"/>
          <w:szCs w:val="20"/>
        </w:rPr>
      </w:pPr>
      <w:r w:rsidRPr="00D86945">
        <w:rPr>
          <w:rFonts w:ascii="Verdana" w:hAnsi="Verdana"/>
          <w:sz w:val="20"/>
          <w:szCs w:val="20"/>
        </w:rPr>
        <w:t>177.</w:t>
      </w:r>
      <w:r w:rsidRPr="00D86945">
        <w:rPr>
          <w:rFonts w:ascii="Verdana" w:hAnsi="Verdana"/>
          <w:sz w:val="20"/>
          <w:szCs w:val="20"/>
        </w:rPr>
        <w:tab/>
        <w:t xml:space="preserve">La Corte constata que, en este asunto, se pudo comprobar que: a) Nelson Carvajal era periodista, b) su homicidio se debió a su actividad profesional, c) su homicidio permanece en la impunidad a 20 años de su ocurrencia, d) el mismo se </w:t>
      </w:r>
      <w:r w:rsidRPr="00D86945">
        <w:rPr>
          <w:rFonts w:ascii="Verdana" w:hAnsi="Verdana"/>
          <w:sz w:val="20"/>
          <w:szCs w:val="20"/>
        </w:rPr>
        <w:lastRenderedPageBreak/>
        <w:t xml:space="preserve">inscribe dentro de un contexto de homicidios a periodistas que se caracterizan por altos índices de impunidad, y, que e) así lo señalaron las autoridades judiciales que desarrollaron diligencias de investigación por el homicidio de Nelson Carvajal. Además, según fuera indicado </w:t>
      </w:r>
      <w:r w:rsidRPr="00D86945">
        <w:rPr>
          <w:rFonts w:ascii="Verdana" w:hAnsi="Verdana"/>
          <w:i/>
          <w:iCs/>
          <w:sz w:val="20"/>
          <w:szCs w:val="20"/>
        </w:rPr>
        <w:t>supra</w:t>
      </w:r>
      <w:r w:rsidRPr="00D86945">
        <w:rPr>
          <w:rFonts w:ascii="Verdana" w:hAnsi="Verdana"/>
          <w:sz w:val="20"/>
          <w:szCs w:val="20"/>
        </w:rPr>
        <w:t xml:space="preserve">, cabe resaltar que la combinación de violencia contra los periodistas y la impunidad tienen un impacto altamente negativo, en primer lugar, respecto a los propios periodistas y sus familias, y en segundo lugar, debido a que ha producido que diversas comunidades en Colombia no reciban información sobre temas que les afectan, tales como el conflicto armado, el crimen organizado, el narcotráfico y la corrupción política. En el caso particular, el periodista Nelson Carvajal había denunciado presuntas irregularidades en la administración de fondos públicos, presuntos hechos de corrupción y de lavado de dinero proveniente del narcotráfico de la zona </w:t>
      </w:r>
      <w:r w:rsidR="005E0C2B">
        <w:rPr>
          <w:rFonts w:ascii="Verdana" w:hAnsi="Verdana"/>
          <w:sz w:val="20"/>
          <w:szCs w:val="20"/>
        </w:rPr>
        <w:t>[...]</w:t>
      </w:r>
      <w:r w:rsidRPr="00D86945">
        <w:rPr>
          <w:rFonts w:ascii="Verdana" w:hAnsi="Verdana"/>
          <w:sz w:val="20"/>
          <w:szCs w:val="20"/>
        </w:rPr>
        <w:t>.</w:t>
      </w:r>
    </w:p>
    <w:p w14:paraId="028B74AB" w14:textId="68B68484" w:rsidR="00987FF9" w:rsidRPr="00D86945" w:rsidRDefault="003C6ACE" w:rsidP="004F4FE7">
      <w:pPr>
        <w:spacing w:line="240" w:lineRule="auto"/>
        <w:ind w:right="49"/>
        <w:jc w:val="both"/>
        <w:rPr>
          <w:rFonts w:ascii="Verdana" w:hAnsi="Verdana"/>
          <w:sz w:val="20"/>
          <w:szCs w:val="20"/>
        </w:rPr>
      </w:pPr>
      <w:r w:rsidRPr="00D86945">
        <w:rPr>
          <w:rFonts w:ascii="Verdana" w:hAnsi="Verdana"/>
          <w:sz w:val="20"/>
          <w:szCs w:val="20"/>
        </w:rPr>
        <w:t>178.</w:t>
      </w:r>
      <w:r w:rsidRPr="00D86945">
        <w:rPr>
          <w:rFonts w:ascii="Verdana" w:hAnsi="Verdana"/>
          <w:sz w:val="20"/>
          <w:szCs w:val="20"/>
        </w:rPr>
        <w:tab/>
        <w:t xml:space="preserve">Por todas las consideraciones anteriores y dada la íntima relación que se presenta en este caso, entre, por una parte, las garantías judiciales y protección judicial, y por la otra, el derecho a la vida y la libertad de expresión, la Corte encuentra que el Estado es también responsable por la violación al deber de garantizar la libertad de expresión contenido en el artículo 13.1 de la Convención, en relación con los artículos 1.1, 8 y 25 del mismo instrumento, en perjuicio de Nelson Carvajal </w:t>
      </w:r>
      <w:proofErr w:type="spellStart"/>
      <w:r w:rsidRPr="00D86945">
        <w:rPr>
          <w:rFonts w:ascii="Verdana" w:hAnsi="Verdana"/>
          <w:sz w:val="20"/>
          <w:szCs w:val="20"/>
        </w:rPr>
        <w:t>Carvajal</w:t>
      </w:r>
      <w:proofErr w:type="spellEnd"/>
      <w:r w:rsidRPr="00D86945">
        <w:rPr>
          <w:rFonts w:ascii="Verdana" w:hAnsi="Verdana"/>
          <w:sz w:val="20"/>
          <w:szCs w:val="20"/>
        </w:rPr>
        <w:t>.</w:t>
      </w:r>
    </w:p>
    <w:p w14:paraId="52ED11ED" w14:textId="7C5EFFB0" w:rsidR="00987FF9" w:rsidRPr="00D86945" w:rsidRDefault="00215583" w:rsidP="00215583">
      <w:pPr>
        <w:pStyle w:val="Ttulo3"/>
      </w:pPr>
      <w:bookmarkStart w:id="12" w:name="_Toc89691464"/>
      <w:r>
        <w:t xml:space="preserve">B) </w:t>
      </w:r>
      <w:r w:rsidR="00904DBE" w:rsidRPr="00D86945">
        <w:t>P</w:t>
      </w:r>
      <w:r w:rsidR="00987FF9" w:rsidRPr="00D86945">
        <w:t>rohibición de censura previa</w:t>
      </w:r>
      <w:bookmarkEnd w:id="12"/>
    </w:p>
    <w:p w14:paraId="44551FBC" w14:textId="5AED1B19" w:rsidR="00987FF9" w:rsidRPr="00D86945" w:rsidRDefault="00987FF9" w:rsidP="004F4FE7">
      <w:pPr>
        <w:spacing w:line="240" w:lineRule="auto"/>
        <w:ind w:right="49"/>
        <w:jc w:val="both"/>
        <w:rPr>
          <w:rFonts w:ascii="Verdana" w:hAnsi="Verdana" w:cs="Times New Roman"/>
          <w:b/>
          <w:bCs/>
          <w:sz w:val="20"/>
          <w:szCs w:val="20"/>
        </w:rPr>
      </w:pPr>
      <w:r w:rsidRPr="00D86945">
        <w:rPr>
          <w:rFonts w:ascii="Verdana" w:hAnsi="Verdana" w:cs="Times New Roman"/>
          <w:b/>
          <w:bCs/>
          <w:sz w:val="20"/>
          <w:szCs w:val="20"/>
        </w:rPr>
        <w:t>Corte IDH. La colegiación obligatoria de periodistas (Arts. 13 y 29 Convención Americana sobre Derechos Humanos). Opinión Consultiva OC-5/85 de 13 de noviembre de 1985. Serie A No. 5</w:t>
      </w:r>
      <w:r w:rsidR="00F821A9">
        <w:rPr>
          <w:rFonts w:ascii="Verdana" w:hAnsi="Verdana" w:cs="Times New Roman"/>
          <w:b/>
          <w:bCs/>
          <w:sz w:val="20"/>
          <w:szCs w:val="20"/>
        </w:rPr>
        <w:t>.</w:t>
      </w:r>
    </w:p>
    <w:p w14:paraId="5FD67F5A" w14:textId="6C928CE5"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38. </w:t>
      </w:r>
      <w:r w:rsidRPr="00D86945">
        <w:rPr>
          <w:rFonts w:ascii="Verdana" w:hAnsi="Verdana" w:cs="Times New Roman"/>
          <w:sz w:val="20"/>
          <w:szCs w:val="20"/>
          <w:lang w:val="es-ES"/>
        </w:rPr>
        <w:tab/>
        <w:t xml:space="preserve">El artículo 13.2 de la Convención define a través de qué medios pueden establecerse legítimamente restricciones a la libertad de expresión. Estipula, en primer lugar, la prohibición de la censura previa la cual es siempre incompatible con la plena vigencia de los derechos enumerados por el artículo 13, salvo las excepciones contempladas en el inciso 4 referentes a espectáculos públicos, incluso si se trata supuestamente de prevenir por ese medio un abuso eventual de la libertad de expresión. En esta materia toda medida preventiva significa, inevitablemente, el menoscabo de la libertad garantizada por la Convención. </w:t>
      </w:r>
    </w:p>
    <w:p w14:paraId="5482FDDF" w14:textId="4D342B4C" w:rsidR="00987FF9" w:rsidRPr="00D86945" w:rsidRDefault="00987FF9" w:rsidP="004F4FE7">
      <w:pPr>
        <w:spacing w:line="240" w:lineRule="auto"/>
        <w:ind w:right="49"/>
        <w:jc w:val="both"/>
        <w:rPr>
          <w:rFonts w:ascii="Verdana" w:hAnsi="Verdana" w:cs="Times New Roman"/>
          <w:b/>
          <w:sz w:val="20"/>
          <w:szCs w:val="20"/>
        </w:rPr>
      </w:pPr>
      <w:r w:rsidRPr="00D86945">
        <w:rPr>
          <w:rFonts w:ascii="Verdana" w:hAnsi="Verdana" w:cs="Times New Roman"/>
          <w:b/>
          <w:sz w:val="20"/>
          <w:szCs w:val="20"/>
        </w:rPr>
        <w:t>Corte IDH. Caso "La Última Tentación de Cristo" (Olmedo Bustos y otros) Vs. Chile. Fondo, Reparaciones y Costas. Sentencia de 5 de febrero de 2001. Serie C No. 73.</w:t>
      </w:r>
    </w:p>
    <w:p w14:paraId="1434CAF7" w14:textId="656DD10F" w:rsidR="00987FF9" w:rsidRPr="00D86945" w:rsidRDefault="00987FF9" w:rsidP="004F4FE7">
      <w:pPr>
        <w:pStyle w:val="negritamayuscula"/>
        <w:widowControl/>
        <w:tabs>
          <w:tab w:val="clear" w:pos="1120"/>
        </w:tabs>
        <w:spacing w:line="240" w:lineRule="auto"/>
        <w:ind w:right="49"/>
        <w:rPr>
          <w:rFonts w:ascii="Verdana" w:hAnsi="Verdana"/>
          <w:sz w:val="20"/>
        </w:rPr>
      </w:pPr>
      <w:r w:rsidRPr="00D86945">
        <w:rPr>
          <w:rFonts w:ascii="Verdana" w:hAnsi="Verdana"/>
          <w:sz w:val="20"/>
        </w:rPr>
        <w:t>70.</w:t>
      </w:r>
      <w:r w:rsidRPr="00D86945">
        <w:rPr>
          <w:rFonts w:ascii="Verdana" w:hAnsi="Verdana"/>
          <w:sz w:val="20"/>
        </w:rPr>
        <w:tab/>
        <w:t>Es importante mencionar que el artículo 13.4 de la Convención establece una excepción a la censura previa, ya que la permite en el caso de los espectáculos públicos pero únicamente con el fin de regular el acceso a ellos, para la protección moral de la infancia y la adolescencia.</w:t>
      </w:r>
      <w:r w:rsidR="00D35646" w:rsidRPr="00D86945">
        <w:rPr>
          <w:rFonts w:ascii="Verdana" w:hAnsi="Verdana"/>
          <w:sz w:val="20"/>
        </w:rPr>
        <w:t xml:space="preserve"> </w:t>
      </w:r>
      <w:r w:rsidRPr="00D86945">
        <w:rPr>
          <w:rFonts w:ascii="Verdana" w:hAnsi="Verdana"/>
          <w:sz w:val="20"/>
        </w:rPr>
        <w:t>En todos los demás casos, cualquier medida preventiva implica el menoscabo a la libertad de pensamiento y de expresión.</w:t>
      </w:r>
    </w:p>
    <w:p w14:paraId="6C2A5DAC" w14:textId="3074E41C" w:rsidR="00987FF9" w:rsidRPr="00D86945" w:rsidRDefault="00987FF9" w:rsidP="004F4FE7">
      <w:pPr>
        <w:pStyle w:val="negritamayuscula"/>
        <w:widowControl/>
        <w:tabs>
          <w:tab w:val="clear" w:pos="1120"/>
        </w:tabs>
        <w:spacing w:line="240" w:lineRule="auto"/>
        <w:ind w:right="49"/>
        <w:rPr>
          <w:rFonts w:ascii="Verdana" w:hAnsi="Verdana"/>
          <w:sz w:val="20"/>
        </w:rPr>
      </w:pPr>
      <w:r w:rsidRPr="00D86945">
        <w:rPr>
          <w:rFonts w:ascii="Verdana" w:hAnsi="Verdana"/>
          <w:sz w:val="20"/>
        </w:rPr>
        <w:t>71.</w:t>
      </w:r>
      <w:r w:rsidRPr="00D86945">
        <w:rPr>
          <w:rFonts w:ascii="Verdana" w:hAnsi="Verdana"/>
          <w:sz w:val="20"/>
        </w:rPr>
        <w:tab/>
        <w:t xml:space="preserve">En el presente caso, está probado que en Chile existe un sistema de censura previa para la exhibición y publicidad de la producción cinematográfica y que el Consejo de Calificación Cinematográfica prohibió en principio la exhibición de la película “La Última Tentación de Cristo” y luego, al recalificarla, permitió su exhibición para mayores de 18 años </w:t>
      </w:r>
      <w:r w:rsidR="005E0C2B">
        <w:rPr>
          <w:rFonts w:ascii="Verdana" w:hAnsi="Verdana"/>
          <w:sz w:val="20"/>
        </w:rPr>
        <w:t>[...]</w:t>
      </w:r>
      <w:r w:rsidRPr="00D86945">
        <w:rPr>
          <w:rFonts w:ascii="Verdana" w:hAnsi="Verdana"/>
          <w:sz w:val="20"/>
        </w:rPr>
        <w:t>.</w:t>
      </w:r>
      <w:r w:rsidR="00D35646" w:rsidRPr="00D86945">
        <w:rPr>
          <w:rFonts w:ascii="Verdana" w:hAnsi="Verdana"/>
          <w:sz w:val="20"/>
        </w:rPr>
        <w:t xml:space="preserve"> </w:t>
      </w:r>
      <w:r w:rsidRPr="00D86945">
        <w:rPr>
          <w:rFonts w:ascii="Verdana" w:hAnsi="Verdana"/>
          <w:sz w:val="20"/>
        </w:rPr>
        <w:t xml:space="preserve">Posteriormente, la Corte de Apelaciones de Santiago tomó la decisión de dejar sin efecto lo resuelto por el Consejo de Calificación Cinematográfica en noviembre de 1996 debido a un recurso de protección interpuesto por los señores Sergio García Valdés, Vicente Torres Irarrázabal, Francisco Javier Donoso Barriga, Matías Pérez Cruz, Jorge Reyes Zapata, Cristian </w:t>
      </w:r>
      <w:proofErr w:type="spellStart"/>
      <w:r w:rsidRPr="00D86945">
        <w:rPr>
          <w:rFonts w:ascii="Verdana" w:hAnsi="Verdana"/>
          <w:sz w:val="20"/>
        </w:rPr>
        <w:t>Heerwagen</w:t>
      </w:r>
      <w:proofErr w:type="spellEnd"/>
      <w:r w:rsidRPr="00D86945">
        <w:rPr>
          <w:rFonts w:ascii="Verdana" w:hAnsi="Verdana"/>
          <w:sz w:val="20"/>
        </w:rPr>
        <w:t xml:space="preserve"> Guzmán y Joel González Castillo, “por y en nombre de […] Jesucristo, de la Iglesia Católica, y por sí mismos”; decisión que fue confirmada por la Corte Suprema de Justicia de Chile.</w:t>
      </w:r>
      <w:r w:rsidR="00D35646" w:rsidRPr="00D86945">
        <w:rPr>
          <w:rFonts w:ascii="Verdana" w:hAnsi="Verdana"/>
          <w:sz w:val="20"/>
        </w:rPr>
        <w:t xml:space="preserve"> </w:t>
      </w:r>
      <w:r w:rsidRPr="00D86945">
        <w:rPr>
          <w:rFonts w:ascii="Verdana" w:hAnsi="Verdana"/>
          <w:sz w:val="20"/>
        </w:rPr>
        <w:t xml:space="preserve">Estima este Tribunal que la prohibición de la </w:t>
      </w:r>
      <w:r w:rsidRPr="00D86945">
        <w:rPr>
          <w:rFonts w:ascii="Verdana" w:hAnsi="Verdana"/>
          <w:sz w:val="20"/>
        </w:rPr>
        <w:lastRenderedPageBreak/>
        <w:t>exhibición de la película “La Última Tentación de Cristo” constituyó, por lo tanto, una censura previa impuesta en violación al artículo 13 de la Convención.</w:t>
      </w:r>
    </w:p>
    <w:p w14:paraId="50D2B3AA" w14:textId="53D5AAC9" w:rsidR="00987FF9" w:rsidRPr="00D86945" w:rsidRDefault="00987FF9" w:rsidP="004F4FE7">
      <w:pPr>
        <w:spacing w:line="240" w:lineRule="auto"/>
        <w:ind w:right="49"/>
        <w:jc w:val="both"/>
        <w:rPr>
          <w:rFonts w:ascii="Verdana" w:hAnsi="Verdana" w:cs="Times New Roman"/>
          <w:b/>
          <w:sz w:val="20"/>
          <w:szCs w:val="20"/>
        </w:rPr>
      </w:pPr>
      <w:r w:rsidRPr="00D86945">
        <w:rPr>
          <w:rFonts w:ascii="Verdana" w:hAnsi="Verdana" w:cs="Times New Roman"/>
          <w:sz w:val="20"/>
          <w:szCs w:val="20"/>
        </w:rPr>
        <w:t>72.</w:t>
      </w:r>
      <w:r w:rsidRPr="00D86945">
        <w:rPr>
          <w:rFonts w:ascii="Verdana" w:hAnsi="Verdana" w:cs="Times New Roman"/>
          <w:sz w:val="20"/>
          <w:szCs w:val="20"/>
        </w:rPr>
        <w:tab/>
        <w:t>Esta Corte entiende que la responsabilidad internacional del Estado puede generarse por actos u omisiones de cualquier poder u órgano de éste, independientemente de su jerarquía, que violen la Convención Americana.</w:t>
      </w:r>
      <w:r w:rsidR="00D35646" w:rsidRPr="00D86945">
        <w:rPr>
          <w:rFonts w:ascii="Verdana" w:hAnsi="Verdana" w:cs="Times New Roman"/>
          <w:sz w:val="20"/>
          <w:szCs w:val="20"/>
        </w:rPr>
        <w:t xml:space="preserve"> </w:t>
      </w:r>
      <w:r w:rsidRPr="00D86945">
        <w:rPr>
          <w:rFonts w:ascii="Verdana" w:hAnsi="Verdana" w:cs="Times New Roman"/>
          <w:sz w:val="20"/>
          <w:szCs w:val="20"/>
        </w:rPr>
        <w:t>Es decir, todo acto u omisión, imputable al Estado, en violación de las normas del Derecho Internacional de los Derechos Humanos, compromete la responsabilidad internacional del Estado.</w:t>
      </w:r>
      <w:r w:rsidR="00D35646" w:rsidRPr="00D86945">
        <w:rPr>
          <w:rFonts w:ascii="Verdana" w:hAnsi="Verdana" w:cs="Times New Roman"/>
          <w:sz w:val="20"/>
          <w:szCs w:val="20"/>
        </w:rPr>
        <w:t xml:space="preserve"> </w:t>
      </w:r>
      <w:r w:rsidRPr="00D86945">
        <w:rPr>
          <w:rFonts w:ascii="Verdana" w:hAnsi="Verdana" w:cs="Times New Roman"/>
          <w:sz w:val="20"/>
          <w:szCs w:val="20"/>
        </w:rPr>
        <w:t>En el presente caso ésta se generó en virtud de que el artículo 19 número 12 de la Constitución establece la censura previa en la producción cinematográfica y, por lo tanto, determina los actos de los Poderes Ejecutivo, Legislativo y Judicial.</w:t>
      </w:r>
      <w:r w:rsidRPr="00D86945">
        <w:rPr>
          <w:rFonts w:ascii="Verdana" w:hAnsi="Verdana" w:cs="Times New Roman"/>
          <w:b/>
          <w:sz w:val="20"/>
          <w:szCs w:val="20"/>
        </w:rPr>
        <w:t xml:space="preserve"> </w:t>
      </w:r>
    </w:p>
    <w:p w14:paraId="3E437246" w14:textId="4705C307" w:rsidR="00987FF9" w:rsidRPr="00D86945" w:rsidRDefault="00987FF9" w:rsidP="004F4FE7">
      <w:pPr>
        <w:pStyle w:val="negritamayuscula"/>
        <w:widowControl/>
        <w:tabs>
          <w:tab w:val="clear" w:pos="1120"/>
        </w:tabs>
        <w:spacing w:line="240" w:lineRule="auto"/>
        <w:ind w:right="49"/>
        <w:rPr>
          <w:rFonts w:ascii="Verdana" w:hAnsi="Verdana"/>
          <w:sz w:val="20"/>
        </w:rPr>
      </w:pPr>
      <w:r w:rsidRPr="00D86945">
        <w:rPr>
          <w:rFonts w:ascii="Verdana" w:hAnsi="Verdana"/>
          <w:sz w:val="20"/>
        </w:rPr>
        <w:t>73.</w:t>
      </w:r>
      <w:r w:rsidRPr="00D86945">
        <w:rPr>
          <w:rFonts w:ascii="Verdana" w:hAnsi="Verdana"/>
          <w:sz w:val="20"/>
        </w:rPr>
        <w:tab/>
        <w:t xml:space="preserve">A la luz de todas las consideraciones precedentes, la Corte declara que el Estado violó el derecho a la libertad de pensamiento y de expresión consagrado en el artículo 13 de la Convención Americana, en perjuicio de los señores Juan Pablo Olmedo Bustos, Ciro </w:t>
      </w:r>
      <w:proofErr w:type="spellStart"/>
      <w:r w:rsidRPr="00D86945">
        <w:rPr>
          <w:rFonts w:ascii="Verdana" w:hAnsi="Verdana"/>
          <w:sz w:val="20"/>
        </w:rPr>
        <w:t>Colombara</w:t>
      </w:r>
      <w:proofErr w:type="spellEnd"/>
      <w:r w:rsidRPr="00D86945">
        <w:rPr>
          <w:rFonts w:ascii="Verdana" w:hAnsi="Verdana"/>
          <w:sz w:val="20"/>
        </w:rPr>
        <w:t xml:space="preserve"> López, Claudio Márquez Vidal, Alex Muñoz Wilson, Matías </w:t>
      </w:r>
      <w:proofErr w:type="spellStart"/>
      <w:r w:rsidRPr="00D86945">
        <w:rPr>
          <w:rFonts w:ascii="Verdana" w:hAnsi="Verdana"/>
          <w:sz w:val="20"/>
        </w:rPr>
        <w:t>Insunza</w:t>
      </w:r>
      <w:proofErr w:type="spellEnd"/>
      <w:r w:rsidRPr="00D86945">
        <w:rPr>
          <w:rFonts w:ascii="Verdana" w:hAnsi="Verdana"/>
          <w:sz w:val="20"/>
        </w:rPr>
        <w:t xml:space="preserve"> Tagle y Hernán Aguirre Fuentes.</w:t>
      </w:r>
    </w:p>
    <w:p w14:paraId="169388AA" w14:textId="4317AD7F"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b/>
          <w:sz w:val="20"/>
          <w:szCs w:val="20"/>
        </w:rPr>
        <w:t>Corte IDH. Caso Palamara Iribarne Vs. Chile. Fondo, Reparaciones y Costas. Sentencia de 22 de noviembre de 2005. Serie C No. 135</w:t>
      </w:r>
      <w:r w:rsidRPr="00D86945">
        <w:rPr>
          <w:rFonts w:ascii="Verdana" w:hAnsi="Verdana" w:cs="Times New Roman"/>
          <w:sz w:val="20"/>
          <w:szCs w:val="20"/>
        </w:rPr>
        <w:t>.</w:t>
      </w:r>
    </w:p>
    <w:p w14:paraId="334546A9" w14:textId="50BE0D8C" w:rsidR="00987FF9" w:rsidRPr="00D86945" w:rsidRDefault="00987FF9" w:rsidP="004F4FE7">
      <w:pPr>
        <w:tabs>
          <w:tab w:val="left" w:pos="360"/>
        </w:tabs>
        <w:spacing w:line="240" w:lineRule="auto"/>
        <w:ind w:right="49"/>
        <w:jc w:val="both"/>
        <w:rPr>
          <w:rFonts w:ascii="Verdana" w:hAnsi="Verdana" w:cs="Times New Roman"/>
          <w:b/>
          <w:sz w:val="20"/>
          <w:szCs w:val="20"/>
        </w:rPr>
      </w:pPr>
      <w:r w:rsidRPr="00D86945">
        <w:rPr>
          <w:rFonts w:ascii="Verdana" w:hAnsi="Verdana" w:cs="Times New Roman"/>
          <w:sz w:val="20"/>
          <w:szCs w:val="20"/>
        </w:rPr>
        <w:t>74.</w:t>
      </w:r>
      <w:r w:rsidRPr="00D86945">
        <w:rPr>
          <w:rFonts w:ascii="Verdana" w:hAnsi="Verdana" w:cs="Times New Roman"/>
          <w:sz w:val="20"/>
          <w:szCs w:val="20"/>
        </w:rPr>
        <w:tab/>
        <w:t xml:space="preserve">La Corte ha constatado que en el presente caso el Estado realizó los siguientes actos de control al ejercicio del derecho del señor Palamara Iribarne a difundir informaciones e ideas, efectuados cuando el libro “Ética y Servicios de Inteligencia” se encontraba editado y en proceso de ser publicado y comercializado: la prohibición de publicar el libro en aplicación del artículo 89 de la Ordenanza de la Armada </w:t>
      </w:r>
      <w:r w:rsidRPr="00D86945">
        <w:rPr>
          <w:rFonts w:ascii="Verdana" w:hAnsi="Verdana" w:cs="Times New Roman"/>
          <w:bCs/>
          <w:sz w:val="20"/>
          <w:szCs w:val="20"/>
        </w:rPr>
        <w:t xml:space="preserve">No. 487 </w:t>
      </w:r>
      <w:r w:rsidR="005E0C2B">
        <w:rPr>
          <w:rFonts w:ascii="Verdana" w:hAnsi="Verdana" w:cs="Times New Roman"/>
          <w:bCs/>
          <w:sz w:val="20"/>
          <w:szCs w:val="20"/>
        </w:rPr>
        <w:t>[...]</w:t>
      </w:r>
      <w:r w:rsidRPr="00D86945">
        <w:rPr>
          <w:rFonts w:ascii="Verdana" w:hAnsi="Verdana" w:cs="Times New Roman"/>
          <w:bCs/>
          <w:sz w:val="20"/>
          <w:szCs w:val="20"/>
        </w:rPr>
        <w:t xml:space="preserve">, la </w:t>
      </w:r>
      <w:r w:rsidRPr="00D86945">
        <w:rPr>
          <w:rFonts w:ascii="Verdana" w:hAnsi="Verdana" w:cs="Times New Roman"/>
          <w:sz w:val="20"/>
          <w:szCs w:val="20"/>
        </w:rPr>
        <w:t xml:space="preserve">orden oral de retirar “todos los antecedentes que del libro existiera en la imprenta” </w:t>
      </w:r>
      <w:proofErr w:type="spellStart"/>
      <w:r w:rsidRPr="00D86945">
        <w:rPr>
          <w:rFonts w:ascii="Verdana" w:hAnsi="Verdana" w:cs="Times New Roman"/>
          <w:sz w:val="20"/>
          <w:szCs w:val="20"/>
        </w:rPr>
        <w:t>Ateli</w:t>
      </w:r>
      <w:proofErr w:type="spellEnd"/>
      <w:r w:rsidRPr="00D86945">
        <w:rPr>
          <w:rFonts w:ascii="Verdana" w:hAnsi="Verdana" w:cs="Times New Roman"/>
          <w:sz w:val="20"/>
          <w:szCs w:val="20"/>
        </w:rPr>
        <w:t xml:space="preserve"> porque afectaba “la seguridad nacional y la defensa nacional” </w:t>
      </w:r>
      <w:r w:rsidR="005E0C2B">
        <w:rPr>
          <w:rFonts w:ascii="Verdana" w:hAnsi="Verdana" w:cs="Times New Roman"/>
          <w:sz w:val="20"/>
          <w:szCs w:val="20"/>
        </w:rPr>
        <w:t>[...]</w:t>
      </w:r>
      <w:r w:rsidRPr="00D86945">
        <w:rPr>
          <w:rFonts w:ascii="Verdana" w:hAnsi="Verdana" w:cs="Times New Roman"/>
          <w:sz w:val="20"/>
          <w:szCs w:val="20"/>
        </w:rPr>
        <w:t xml:space="preserve">; las incautaciones ordenadas y realizadas en dicha imprenta y en el domicilio del señor Palamara Iribarne </w:t>
      </w:r>
      <w:r w:rsidR="005E0C2B">
        <w:rPr>
          <w:rFonts w:ascii="Verdana" w:hAnsi="Verdana" w:cs="Times New Roman"/>
          <w:sz w:val="20"/>
          <w:szCs w:val="20"/>
        </w:rPr>
        <w:t>[...]</w:t>
      </w:r>
      <w:r w:rsidRPr="00D86945">
        <w:rPr>
          <w:rFonts w:ascii="Verdana" w:hAnsi="Verdana" w:cs="Times New Roman"/>
          <w:sz w:val="20"/>
          <w:szCs w:val="20"/>
        </w:rPr>
        <w:t xml:space="preserve">; la supresión de la información electrónica de las computadoras del señor Palamara Iribarne y de la imprenta </w:t>
      </w:r>
      <w:r w:rsidR="005E0C2B">
        <w:rPr>
          <w:rFonts w:ascii="Verdana" w:hAnsi="Verdana" w:cs="Times New Roman"/>
          <w:sz w:val="20"/>
          <w:szCs w:val="20"/>
        </w:rPr>
        <w:t>[...]</w:t>
      </w:r>
      <w:r w:rsidRPr="00D86945">
        <w:rPr>
          <w:rFonts w:ascii="Verdana" w:hAnsi="Verdana" w:cs="Times New Roman"/>
          <w:sz w:val="20"/>
          <w:szCs w:val="20"/>
        </w:rPr>
        <w:t xml:space="preserve">; las diligencias con el propósito de recuperar diversos ejemplares del libro que se encontraran en poder de varias personas </w:t>
      </w:r>
      <w:r w:rsidR="005E0C2B">
        <w:rPr>
          <w:rFonts w:ascii="Verdana" w:hAnsi="Verdana" w:cs="Times New Roman"/>
          <w:sz w:val="20"/>
          <w:szCs w:val="20"/>
        </w:rPr>
        <w:t>[...]</w:t>
      </w:r>
      <w:r w:rsidRPr="00D86945">
        <w:rPr>
          <w:rFonts w:ascii="Verdana" w:hAnsi="Verdana" w:cs="Times New Roman"/>
          <w:sz w:val="20"/>
          <w:szCs w:val="20"/>
        </w:rPr>
        <w:t xml:space="preserve">; y la orden que prohibía al señor Palamara Iribarne “hacer comentarios críticos” sobre el proceso al que estaba siendo sometido o sobre “la imagen” de la Armada </w:t>
      </w:r>
      <w:r w:rsidR="005E0C2B">
        <w:rPr>
          <w:rFonts w:ascii="Verdana" w:hAnsi="Verdana" w:cs="Times New Roman"/>
          <w:sz w:val="20"/>
          <w:szCs w:val="20"/>
        </w:rPr>
        <w:t>[...]</w:t>
      </w:r>
      <w:r w:rsidRPr="00D86945">
        <w:rPr>
          <w:rFonts w:ascii="Verdana" w:hAnsi="Verdana" w:cs="Times New Roman"/>
          <w:sz w:val="20"/>
          <w:szCs w:val="20"/>
        </w:rPr>
        <w:t>.</w:t>
      </w:r>
      <w:r w:rsidR="00D35646" w:rsidRPr="00D86945">
        <w:rPr>
          <w:rFonts w:ascii="Verdana" w:hAnsi="Verdana" w:cs="Times New Roman"/>
          <w:sz w:val="20"/>
          <w:szCs w:val="20"/>
        </w:rPr>
        <w:t xml:space="preserve"> </w:t>
      </w:r>
      <w:r w:rsidRPr="00D86945">
        <w:rPr>
          <w:rFonts w:ascii="Verdana" w:hAnsi="Verdana" w:cs="Times New Roman"/>
          <w:sz w:val="20"/>
          <w:szCs w:val="20"/>
        </w:rPr>
        <w:t>A pesar de que el libro se encontraba editado y que el señor Palamara Iribarne contaba con casi 1000 ejemplares y con panfletos de promoción, no pudo ser efectivamente difundido mediante su distribución en las librerías o comercios de Chile y, por consiguiente, el público no tuvo la opción de adquirir un ejemplar y acceder a su contenido, tal como era la intención del señor Palamara Iribarne.</w:t>
      </w:r>
    </w:p>
    <w:p w14:paraId="651D61FE" w14:textId="77777777" w:rsidR="00987FF9" w:rsidRPr="00D86945" w:rsidRDefault="00987FF9" w:rsidP="004F4FE7">
      <w:pPr>
        <w:tabs>
          <w:tab w:val="left" w:pos="360"/>
        </w:tabs>
        <w:spacing w:line="240" w:lineRule="auto"/>
        <w:ind w:right="49"/>
        <w:jc w:val="both"/>
        <w:rPr>
          <w:rFonts w:ascii="Verdana" w:hAnsi="Verdana" w:cs="Times New Roman"/>
          <w:sz w:val="20"/>
          <w:szCs w:val="20"/>
        </w:rPr>
      </w:pPr>
      <w:r w:rsidRPr="00D86945">
        <w:rPr>
          <w:rFonts w:ascii="Verdana" w:hAnsi="Verdana" w:cs="Times New Roman"/>
          <w:sz w:val="20"/>
          <w:szCs w:val="20"/>
        </w:rPr>
        <w:t>78.</w:t>
      </w:r>
      <w:r w:rsidRPr="00D86945">
        <w:rPr>
          <w:rFonts w:ascii="Verdana" w:hAnsi="Verdana" w:cs="Times New Roman"/>
          <w:sz w:val="20"/>
          <w:szCs w:val="20"/>
        </w:rPr>
        <w:tab/>
        <w:t xml:space="preserve">La Corte considera que, en las circunstancias del presente caso, las medidas de control adoptadas por el Estado para impedir la difusión del libro “Ética y Servicios de Inteligencia” del señor Palamara Iribarne constituyeron actos de censura previa no compatibles con los parámetros dispuestos en la Convención, dado que no existía ningún elemento que, a la luz de dicho tratado, permitiera que se afectara el referido derecho a difundir abiertamente su obra, protegido en el artículo 13 de la Convención. </w:t>
      </w:r>
    </w:p>
    <w:p w14:paraId="3815537D" w14:textId="6E17E7FF" w:rsidR="00987FF9" w:rsidRPr="00D86945" w:rsidRDefault="00987FF9" w:rsidP="004F4FE7">
      <w:pPr>
        <w:tabs>
          <w:tab w:val="left" w:pos="360"/>
        </w:tabs>
        <w:spacing w:line="240" w:lineRule="auto"/>
        <w:ind w:right="49"/>
        <w:jc w:val="both"/>
        <w:rPr>
          <w:rFonts w:ascii="Verdana" w:hAnsi="Verdana" w:cs="Times New Roman"/>
          <w:sz w:val="20"/>
          <w:szCs w:val="20"/>
        </w:rPr>
      </w:pPr>
    </w:p>
    <w:p w14:paraId="15C23D21" w14:textId="55357C73"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lastRenderedPageBreak/>
        <w:t>Corte IDH. Caso Norín Catrimán y otros (Dirigentes, miembros y activista del Pueblo Indígena Mapuche) Vs. Chile. Fondo, Reparaciones y Costas. Sentencia de 29 de mayo de 2014. Serie C No. 279.</w:t>
      </w:r>
      <w:r w:rsidRPr="00D86945">
        <w:rPr>
          <w:rStyle w:val="Refdenotaalpie"/>
          <w:rFonts w:ascii="Verdana" w:hAnsi="Verdana"/>
          <w:b/>
          <w:sz w:val="20"/>
          <w:szCs w:val="20"/>
        </w:rPr>
        <w:footnoteReference w:id="24"/>
      </w:r>
    </w:p>
    <w:p w14:paraId="4B54F831" w14:textId="635EE1D6"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377.</w:t>
      </w:r>
      <w:r w:rsidRPr="00D86945">
        <w:rPr>
          <w:rFonts w:ascii="Verdana" w:hAnsi="Verdana"/>
          <w:sz w:val="20"/>
          <w:szCs w:val="20"/>
          <w:lang w:val="es-CR"/>
        </w:rPr>
        <w:tab/>
        <w:t xml:space="preserve">En cambio, a la Corte no le resulta persuasivo el argumento de CEJIL relativo a que la restricción a la libertad de expresión estipulada en el artículo 9 de la Constitución Política de Chile constituye una censura previa prohibida por el artículo 13 de la Convención </w:t>
      </w:r>
      <w:r w:rsidR="005E0C2B">
        <w:rPr>
          <w:rFonts w:ascii="Verdana" w:hAnsi="Verdana"/>
          <w:sz w:val="20"/>
          <w:szCs w:val="20"/>
          <w:lang w:val="es-CR"/>
        </w:rPr>
        <w:t>[...]</w:t>
      </w:r>
      <w:r w:rsidRPr="00D86945">
        <w:rPr>
          <w:rFonts w:ascii="Verdana" w:hAnsi="Verdana"/>
          <w:sz w:val="20"/>
          <w:szCs w:val="20"/>
          <w:lang w:val="es-CR"/>
        </w:rPr>
        <w:t>, que parece no haber tenido en cuenta que se trata de una pena accesoria fijada legislativamente y cuya imposición se hace a través de una condena en un proceso penal.</w:t>
      </w:r>
    </w:p>
    <w:p w14:paraId="3238943E" w14:textId="4191D073" w:rsidR="00987FF9" w:rsidRPr="00D86945" w:rsidRDefault="00215583" w:rsidP="00215583">
      <w:pPr>
        <w:pStyle w:val="Ttulo3"/>
      </w:pPr>
      <w:bookmarkStart w:id="13" w:name="_Toc89691465"/>
      <w:r>
        <w:t xml:space="preserve">C) </w:t>
      </w:r>
      <w:r w:rsidR="00F821A9">
        <w:t>R</w:t>
      </w:r>
      <w:r w:rsidR="00987FF9" w:rsidRPr="00D86945">
        <w:t>esponsabilidades ulteriores</w:t>
      </w:r>
      <w:bookmarkEnd w:id="13"/>
    </w:p>
    <w:p w14:paraId="6095CAA8" w14:textId="795F8FD4" w:rsidR="00987FF9" w:rsidRPr="00D86945" w:rsidRDefault="00987FF9" w:rsidP="004F4FE7">
      <w:pPr>
        <w:spacing w:line="240" w:lineRule="auto"/>
        <w:ind w:right="49"/>
        <w:jc w:val="both"/>
        <w:rPr>
          <w:rFonts w:ascii="Verdana" w:hAnsi="Verdana" w:cs="Times New Roman"/>
          <w:b/>
          <w:bCs/>
          <w:sz w:val="20"/>
          <w:szCs w:val="20"/>
        </w:rPr>
      </w:pPr>
      <w:r w:rsidRPr="00D86945">
        <w:rPr>
          <w:rFonts w:ascii="Verdana" w:hAnsi="Verdana" w:cs="Times New Roman"/>
          <w:b/>
          <w:bCs/>
          <w:sz w:val="20"/>
          <w:szCs w:val="20"/>
        </w:rPr>
        <w:t>Corte IDH. La colegiación obligatoria de periodistas (Arts. 13 y 29 Convención Americana sobre Derechos Humanos). Opinión Consultiva OC-5/85 de 13 de noviembre de 1985. Serie A No. 5</w:t>
      </w:r>
      <w:r w:rsidR="00F821A9">
        <w:rPr>
          <w:rFonts w:ascii="Verdana" w:hAnsi="Verdana" w:cs="Times New Roman"/>
          <w:b/>
          <w:bCs/>
          <w:sz w:val="20"/>
          <w:szCs w:val="20"/>
        </w:rPr>
        <w:t>.</w:t>
      </w:r>
    </w:p>
    <w:p w14:paraId="41494609" w14:textId="77777777"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39. </w:t>
      </w:r>
      <w:r w:rsidRPr="00D86945">
        <w:rPr>
          <w:rFonts w:ascii="Verdana" w:hAnsi="Verdana" w:cs="Times New Roman"/>
          <w:sz w:val="20"/>
          <w:szCs w:val="20"/>
          <w:lang w:val="es-ES"/>
        </w:rPr>
        <w:tab/>
        <w:t xml:space="preserve">El abuso de la libertad de expresión no puede ser objeto de medidas de control preventivo sino fundamento de responsabilidad para quien lo haya cometido. Aún en este caso, para que tal responsabilidad pueda establecerse válidamente, según la Convención, es preciso que se reúnan varios requisitos, a saber: </w:t>
      </w:r>
    </w:p>
    <w:p w14:paraId="33108F20" w14:textId="77777777"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a) </w:t>
      </w:r>
      <w:r w:rsidRPr="00D86945">
        <w:rPr>
          <w:rFonts w:ascii="Verdana" w:hAnsi="Verdana" w:cs="Times New Roman"/>
          <w:sz w:val="20"/>
          <w:szCs w:val="20"/>
          <w:lang w:val="es-ES"/>
        </w:rPr>
        <w:tab/>
        <w:t xml:space="preserve">La existencia de causales de responsabilidad previamente establecidas, </w:t>
      </w:r>
    </w:p>
    <w:p w14:paraId="1D4F9FE2" w14:textId="77777777"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b) </w:t>
      </w:r>
      <w:r w:rsidRPr="00D86945">
        <w:rPr>
          <w:rFonts w:ascii="Verdana" w:hAnsi="Verdana" w:cs="Times New Roman"/>
          <w:sz w:val="20"/>
          <w:szCs w:val="20"/>
          <w:lang w:val="es-ES"/>
        </w:rPr>
        <w:tab/>
        <w:t xml:space="preserve">La definición expresa y taxativa de esas causales por la ley, </w:t>
      </w:r>
    </w:p>
    <w:p w14:paraId="12B5721A" w14:textId="77777777"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c) </w:t>
      </w:r>
      <w:r w:rsidRPr="00D86945">
        <w:rPr>
          <w:rFonts w:ascii="Verdana" w:hAnsi="Verdana" w:cs="Times New Roman"/>
          <w:sz w:val="20"/>
          <w:szCs w:val="20"/>
          <w:lang w:val="es-ES"/>
        </w:rPr>
        <w:tab/>
        <w:t xml:space="preserve">La legitimidad de los fines perseguidos al establecerlas, y </w:t>
      </w:r>
    </w:p>
    <w:p w14:paraId="55E7107B" w14:textId="77777777"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d) </w:t>
      </w:r>
      <w:r w:rsidRPr="00D86945">
        <w:rPr>
          <w:rFonts w:ascii="Verdana" w:hAnsi="Verdana" w:cs="Times New Roman"/>
          <w:sz w:val="20"/>
          <w:szCs w:val="20"/>
          <w:lang w:val="es-ES"/>
        </w:rPr>
        <w:tab/>
        <w:t xml:space="preserve">Que esas causales de responsabilidad sean " necesarias para asegurar " los mencionados fines. </w:t>
      </w:r>
    </w:p>
    <w:p w14:paraId="5314E9A7" w14:textId="5D1449D0"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Todos estos requisitos deben ser atendidos para que se dé cumplimiento cabal al artículo 13.2. </w:t>
      </w:r>
    </w:p>
    <w:p w14:paraId="35CB8F3F" w14:textId="51447017"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b/>
          <w:sz w:val="20"/>
          <w:szCs w:val="20"/>
        </w:rPr>
        <w:t>Corte IDH. Caso Palamara Iribarne Vs. Chile. Fondo, Reparaciones y Costas. Sentencia de 22 de noviembre de 2005. Serie C No. 135</w:t>
      </w:r>
      <w:r w:rsidRPr="00D86945">
        <w:rPr>
          <w:rFonts w:ascii="Verdana" w:hAnsi="Verdana" w:cs="Times New Roman"/>
          <w:sz w:val="20"/>
          <w:szCs w:val="20"/>
        </w:rPr>
        <w:t>.</w:t>
      </w:r>
    </w:p>
    <w:p w14:paraId="757ED2F1" w14:textId="5E6473AE" w:rsidR="00987FF9" w:rsidRPr="00D86945" w:rsidRDefault="00987FF9" w:rsidP="004F4FE7">
      <w:pPr>
        <w:spacing w:line="240" w:lineRule="auto"/>
        <w:ind w:right="49"/>
        <w:jc w:val="both"/>
        <w:rPr>
          <w:rFonts w:ascii="Verdana" w:hAnsi="Verdana"/>
          <w:b/>
          <w:sz w:val="18"/>
          <w:szCs w:val="18"/>
        </w:rPr>
      </w:pPr>
      <w:r w:rsidRPr="00D86945">
        <w:rPr>
          <w:rFonts w:ascii="Verdana" w:hAnsi="Verdana" w:cs="Times New Roman"/>
          <w:sz w:val="20"/>
          <w:szCs w:val="20"/>
        </w:rPr>
        <w:t>79.</w:t>
      </w:r>
      <w:r w:rsidRPr="00D86945">
        <w:rPr>
          <w:rFonts w:ascii="Verdana" w:hAnsi="Verdana" w:cs="Times New Roman"/>
          <w:sz w:val="20"/>
          <w:szCs w:val="20"/>
        </w:rPr>
        <w:tab/>
        <w:t>La Corte considera importante reiterar que el derecho a la libertad de expresión no es un derecho absoluto y que el artículo 13.2 de la Convención prevé la posibilidad de establecer restricciones a la libertad de pensamiento y de expresión a través de la aplicación de responsabilidades ulteriores por el ejercicio abusivo de este derecho.</w:t>
      </w:r>
      <w:r w:rsidR="00D35646" w:rsidRPr="00D86945">
        <w:rPr>
          <w:rFonts w:ascii="Verdana" w:hAnsi="Verdana" w:cs="Times New Roman"/>
          <w:sz w:val="20"/>
          <w:szCs w:val="20"/>
        </w:rPr>
        <w:t xml:space="preserve"> </w:t>
      </w:r>
      <w:r w:rsidRPr="00D86945">
        <w:rPr>
          <w:rFonts w:ascii="Verdana" w:hAnsi="Verdana" w:cs="Times New Roman"/>
          <w:sz w:val="20"/>
          <w:szCs w:val="20"/>
        </w:rPr>
        <w:t xml:space="preserve">Las causales de responsabilidad ulterior deben estar expresa, taxativa y previamente fijadas por la ley, ser necesarias para asegurar “el respeto a los derechos o a la reputación de los demás” o “la protección de la seguridad nacional, el orden público o la salud o la moral públicas”, y no deben de modo alguno limitar, más allá de lo estrictamente necesario, el alcance pleno de la libertad de expresión y convertirse en un mecanismo directo o indirecto de censura previa. Asimismo, la Corte ha señalado anteriormente que el Derecho Penal es el medio más restrictivo y severo para establecer responsabilidades respecto de una conducta ilícita. </w:t>
      </w:r>
      <w:r w:rsidR="00F821A9">
        <w:rPr>
          <w:rFonts w:ascii="Verdana" w:hAnsi="Verdana" w:cs="Times New Roman"/>
          <w:b/>
          <w:bCs/>
          <w:sz w:val="20"/>
          <w:szCs w:val="20"/>
        </w:rPr>
        <w:t>[</w:t>
      </w:r>
      <w:r w:rsidR="002A5747">
        <w:rPr>
          <w:rFonts w:ascii="Verdana" w:hAnsi="Verdana" w:cs="Times New Roman"/>
          <w:b/>
          <w:sz w:val="18"/>
          <w:szCs w:val="18"/>
        </w:rPr>
        <w:t>En similar sentido, ver entre otros:</w:t>
      </w:r>
      <w:r w:rsidRPr="00D86945">
        <w:rPr>
          <w:rFonts w:ascii="Verdana" w:hAnsi="Verdana" w:cs="Times New Roman"/>
          <w:sz w:val="18"/>
          <w:szCs w:val="18"/>
        </w:rPr>
        <w:t xml:space="preserve"> </w:t>
      </w:r>
      <w:r w:rsidRPr="00D86945">
        <w:rPr>
          <w:rFonts w:ascii="Verdana" w:hAnsi="Verdana"/>
          <w:b/>
          <w:sz w:val="18"/>
          <w:szCs w:val="18"/>
        </w:rPr>
        <w:t xml:space="preserve">Caso Kimel Vs. Argentina. Fondo, Reparaciones y Costas. Sentencia de 2 de mayo de 2008. Serie C No. 177, párr.54; Caso Tristán Donoso Vs. Panamá. Excepción Preliminar, Fondo, Reparaciones y Costas. Sentencia de 27 de enero de 2009. Serie C No. 193, párr.110; </w:t>
      </w:r>
      <w:r w:rsidR="00F821A9">
        <w:rPr>
          <w:rFonts w:ascii="Verdana" w:hAnsi="Verdana"/>
          <w:b/>
          <w:sz w:val="18"/>
          <w:szCs w:val="18"/>
        </w:rPr>
        <w:t xml:space="preserve">y </w:t>
      </w:r>
      <w:r w:rsidRPr="00D86945">
        <w:rPr>
          <w:rFonts w:ascii="Verdana" w:hAnsi="Verdana"/>
          <w:b/>
          <w:sz w:val="18"/>
          <w:szCs w:val="18"/>
        </w:rPr>
        <w:t xml:space="preserve">Caso </w:t>
      </w:r>
      <w:proofErr w:type="spellStart"/>
      <w:r w:rsidRPr="00D86945">
        <w:rPr>
          <w:rFonts w:ascii="Verdana" w:hAnsi="Verdana"/>
          <w:b/>
          <w:sz w:val="18"/>
          <w:szCs w:val="18"/>
        </w:rPr>
        <w:t>Fontevecchia</w:t>
      </w:r>
      <w:proofErr w:type="spellEnd"/>
      <w:r w:rsidRPr="00D86945">
        <w:rPr>
          <w:rFonts w:ascii="Verdana" w:hAnsi="Verdana"/>
          <w:b/>
          <w:sz w:val="18"/>
          <w:szCs w:val="18"/>
        </w:rPr>
        <w:t xml:space="preserve"> y </w:t>
      </w:r>
      <w:proofErr w:type="spellStart"/>
      <w:r w:rsidRPr="00D86945">
        <w:rPr>
          <w:rFonts w:ascii="Verdana" w:hAnsi="Verdana"/>
          <w:b/>
          <w:sz w:val="18"/>
          <w:szCs w:val="18"/>
        </w:rPr>
        <w:t>D`Amico</w:t>
      </w:r>
      <w:proofErr w:type="spellEnd"/>
      <w:r w:rsidRPr="00D86945">
        <w:rPr>
          <w:rFonts w:ascii="Verdana" w:hAnsi="Verdana"/>
          <w:b/>
          <w:sz w:val="18"/>
          <w:szCs w:val="18"/>
        </w:rPr>
        <w:t xml:space="preserve"> </w:t>
      </w:r>
      <w:r w:rsidRPr="00D86945">
        <w:rPr>
          <w:rFonts w:ascii="Verdana" w:hAnsi="Verdana"/>
          <w:b/>
          <w:sz w:val="18"/>
          <w:szCs w:val="18"/>
        </w:rPr>
        <w:lastRenderedPageBreak/>
        <w:t>Vs. Argentina. Fondo, Reparaciones y Costas. Sentencia de 29 de noviembre de 2011. Serie C No. 238, párr.43</w:t>
      </w:r>
      <w:r w:rsidR="00F821A9">
        <w:rPr>
          <w:rFonts w:ascii="Verdana" w:hAnsi="Verdana"/>
          <w:b/>
          <w:sz w:val="18"/>
          <w:szCs w:val="18"/>
        </w:rPr>
        <w:t>]</w:t>
      </w:r>
      <w:r w:rsidRPr="00D86945">
        <w:rPr>
          <w:rFonts w:ascii="Verdana" w:hAnsi="Verdana"/>
          <w:b/>
          <w:sz w:val="18"/>
          <w:szCs w:val="18"/>
        </w:rPr>
        <w:t>.</w:t>
      </w:r>
    </w:p>
    <w:p w14:paraId="76C68A5D" w14:textId="0C0C06EF" w:rsidR="00987FF9" w:rsidRPr="00D86945" w:rsidRDefault="00987FF9" w:rsidP="004F4FE7">
      <w:pPr>
        <w:spacing w:line="240" w:lineRule="auto"/>
        <w:ind w:right="49"/>
        <w:jc w:val="both"/>
        <w:rPr>
          <w:rFonts w:ascii="Verdana" w:hAnsi="Verdana"/>
          <w:sz w:val="20"/>
          <w:szCs w:val="20"/>
        </w:rPr>
      </w:pPr>
      <w:r w:rsidRPr="00D86945">
        <w:rPr>
          <w:rFonts w:ascii="Verdana" w:hAnsi="Verdana"/>
          <w:b/>
          <w:sz w:val="20"/>
          <w:szCs w:val="20"/>
        </w:rPr>
        <w:t xml:space="preserve">Corte IDH. Caso </w:t>
      </w:r>
      <w:proofErr w:type="spellStart"/>
      <w:r w:rsidRPr="00D86945">
        <w:rPr>
          <w:rFonts w:ascii="Verdana" w:hAnsi="Verdana"/>
          <w:b/>
          <w:sz w:val="20"/>
          <w:szCs w:val="20"/>
        </w:rPr>
        <w:t>Usón</w:t>
      </w:r>
      <w:proofErr w:type="spellEnd"/>
      <w:r w:rsidRPr="00D86945">
        <w:rPr>
          <w:rFonts w:ascii="Verdana" w:hAnsi="Verdana"/>
          <w:b/>
          <w:sz w:val="20"/>
          <w:szCs w:val="20"/>
        </w:rPr>
        <w:t xml:space="preserve"> Ramírez Vs. Venezuela. Excepción Preliminar, Fondo, Reparaciones y Costas. Sentencia de 20 de noviembre de 2009. Serie C No. 207</w:t>
      </w:r>
      <w:r w:rsidRPr="00D86945">
        <w:rPr>
          <w:rFonts w:ascii="Verdana" w:hAnsi="Verdana"/>
          <w:sz w:val="20"/>
          <w:szCs w:val="20"/>
        </w:rPr>
        <w:t>.</w:t>
      </w:r>
    </w:p>
    <w:p w14:paraId="4B159D72" w14:textId="1864D19C"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67.</w:t>
      </w:r>
      <w:r w:rsidRPr="00D86945">
        <w:rPr>
          <w:rFonts w:ascii="Verdana" w:hAnsi="Verdana"/>
          <w:sz w:val="20"/>
          <w:szCs w:val="20"/>
        </w:rPr>
        <w:tab/>
        <w:t>En cuanto a la idoneidad de la vía penal para lograr la finalidad perseguida, la Corte ha advertido anteriormente, y vuelve a hacerlo en el presente caso, que si bien un instrumento penal puede ser idóneo para restringir el ejercicio abusivo de determinados derechos, siempre y cuando esto sirva al fin de salvaguardar el bien jurídico que se quiere proteger</w:t>
      </w:r>
      <w:r w:rsidR="00215583">
        <w:rPr>
          <w:rFonts w:ascii="Verdana" w:hAnsi="Verdana"/>
          <w:sz w:val="20"/>
          <w:szCs w:val="20"/>
        </w:rPr>
        <w:t>,</w:t>
      </w:r>
      <w:r w:rsidRPr="00D86945">
        <w:rPr>
          <w:rFonts w:ascii="Verdana" w:hAnsi="Verdana"/>
          <w:sz w:val="20"/>
          <w:szCs w:val="20"/>
        </w:rPr>
        <w:t xml:space="preserve"> lo anterior no significa que la utilización de la vía penal para la imposición de responsabilidades ulteriores al ejercicio de la libertad de expresión sea necesaria o proporcional en todos los casos </w:t>
      </w:r>
      <w:r w:rsidR="005E0C2B">
        <w:rPr>
          <w:rFonts w:ascii="Verdana" w:hAnsi="Verdana"/>
          <w:sz w:val="20"/>
          <w:szCs w:val="20"/>
        </w:rPr>
        <w:t>[...]</w:t>
      </w:r>
      <w:r w:rsidRPr="00D86945">
        <w:rPr>
          <w:rFonts w:ascii="Verdana" w:hAnsi="Verdana"/>
          <w:sz w:val="20"/>
          <w:szCs w:val="20"/>
        </w:rPr>
        <w:t>.</w:t>
      </w:r>
    </w:p>
    <w:p w14:paraId="05271141" w14:textId="7C60C5F2" w:rsidR="00987FF9" w:rsidRPr="00D86945" w:rsidRDefault="00987FF9" w:rsidP="004F4FE7">
      <w:pPr>
        <w:spacing w:line="240" w:lineRule="auto"/>
        <w:ind w:right="49"/>
        <w:jc w:val="both"/>
        <w:rPr>
          <w:rFonts w:ascii="Verdana" w:hAnsi="Verdana"/>
          <w:b/>
          <w:sz w:val="20"/>
          <w:szCs w:val="20"/>
          <w:lang w:val="es-MX"/>
        </w:rPr>
      </w:pPr>
      <w:r w:rsidRPr="00D86945">
        <w:rPr>
          <w:rFonts w:ascii="Verdana" w:hAnsi="Verdana"/>
          <w:b/>
          <w:sz w:val="20"/>
          <w:szCs w:val="20"/>
          <w:lang w:val="es-MX"/>
        </w:rPr>
        <w:t>Corte IDH. Caso Mémoli Vs. Argentina. Excepciones Preliminares, Fondo, Reparaciones y Costas. Sentencia de 22 de agosto de 2013. Serie C No. 265</w:t>
      </w:r>
      <w:r w:rsidR="00F821A9">
        <w:rPr>
          <w:rFonts w:ascii="Verdana" w:hAnsi="Verdana"/>
          <w:b/>
          <w:sz w:val="20"/>
          <w:szCs w:val="20"/>
          <w:lang w:val="es-MX"/>
        </w:rPr>
        <w:t>.</w:t>
      </w:r>
    </w:p>
    <w:p w14:paraId="2D61347B" w14:textId="36770744"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121.</w:t>
      </w:r>
      <w:r w:rsidRPr="00D86945">
        <w:rPr>
          <w:rFonts w:ascii="Verdana" w:hAnsi="Verdana"/>
          <w:sz w:val="20"/>
          <w:szCs w:val="20"/>
        </w:rPr>
        <w:tab/>
        <w:t xml:space="preserve">No obstante, la Corte estima pertinente aclarar que ello no significa que los periodistas estén exentos de responsabilidades en el ejercicio de su libertad de expresión. El ejercicio abusivo de la libertad de expresión, sea por una persona particular o un periodista, puede estar sujeto al establecimiento de responsabilidades ulteriores, conforme al artículo 13.2 de la Convención. </w:t>
      </w:r>
    </w:p>
    <w:p w14:paraId="0B09836D" w14:textId="52BE818A" w:rsidR="00EB5570" w:rsidRPr="00D86945" w:rsidRDefault="00987FF9" w:rsidP="004F4FE7">
      <w:pPr>
        <w:spacing w:line="240" w:lineRule="auto"/>
        <w:ind w:right="49"/>
        <w:jc w:val="both"/>
        <w:rPr>
          <w:rFonts w:ascii="Verdana" w:hAnsi="Verdana"/>
          <w:b/>
          <w:iCs/>
          <w:sz w:val="18"/>
          <w:szCs w:val="18"/>
        </w:rPr>
      </w:pPr>
      <w:r w:rsidRPr="00D86945">
        <w:rPr>
          <w:rFonts w:ascii="Verdana" w:hAnsi="Verdana"/>
          <w:sz w:val="20"/>
          <w:szCs w:val="20"/>
        </w:rPr>
        <w:t>123.</w:t>
      </w:r>
      <w:r w:rsidRPr="00D86945">
        <w:rPr>
          <w:rFonts w:ascii="Verdana" w:hAnsi="Verdana"/>
          <w:sz w:val="20"/>
          <w:szCs w:val="20"/>
        </w:rPr>
        <w:tab/>
        <w:t>La libertad de expresión no es un derecho absoluto. Dicha libertad puede estar sujeta a condiciones o inclusive limitaciones, en particular cuando interfiere con otros derechos garantizados por la Convención. El artículo 13.2 de la Convención, que prohíbe la censura previa, también prevé la posibilidad de exigir responsabilidades ulteriores por el ejercicio abusivo de este derecho, inclusive para asegurar “el respeto a los derechos o la reputación de los demás” (literal “a” del artículo 13.2). Estas limitaciones tienen carácter excepcional y no deben impedir, más allá de lo estrictamente necesario, el pleno ejercicio de la libertad de expresión y convertirse en un mecanismo directo o indirecto de censura previa. En este sentido, la Corte ha establecido que se pueden imponer responsabilidades ulteriores, en tanto se pudiera haber afectado el derecho a la honra y la reputación</w:t>
      </w:r>
      <w:r w:rsidRPr="00D86945">
        <w:rPr>
          <w:rFonts w:ascii="Verdana" w:hAnsi="Verdana"/>
          <w:i/>
          <w:sz w:val="20"/>
          <w:szCs w:val="20"/>
        </w:rPr>
        <w:t xml:space="preserve">. </w:t>
      </w:r>
      <w:r w:rsidR="00F821A9">
        <w:rPr>
          <w:rFonts w:ascii="Verdana" w:hAnsi="Verdana"/>
          <w:b/>
          <w:bCs/>
          <w:iCs/>
          <w:sz w:val="20"/>
          <w:szCs w:val="20"/>
        </w:rPr>
        <w:t>[</w:t>
      </w:r>
      <w:r w:rsidR="002A5747">
        <w:rPr>
          <w:rFonts w:ascii="Verdana" w:hAnsi="Verdana"/>
          <w:b/>
          <w:iCs/>
          <w:sz w:val="18"/>
          <w:szCs w:val="18"/>
        </w:rPr>
        <w:t>En similar sentido, ver entre otros:</w:t>
      </w:r>
      <w:r w:rsidR="00EB5570" w:rsidRPr="00D86945">
        <w:rPr>
          <w:rFonts w:ascii="Verdana" w:hAnsi="Verdana"/>
          <w:b/>
          <w:iCs/>
          <w:sz w:val="18"/>
          <w:szCs w:val="18"/>
        </w:rPr>
        <w:t xml:space="preserve"> Caso Lagos del Campo Vs. Perú. Excepciones Preliminares, Fondo, Reparaciones y Costas. Sentencia de 31 de agosto de 2017. Serie C No. 340, párr. 98</w:t>
      </w:r>
      <w:r w:rsidR="00F821A9">
        <w:rPr>
          <w:rFonts w:ascii="Verdana" w:hAnsi="Verdana"/>
          <w:b/>
          <w:iCs/>
          <w:sz w:val="18"/>
          <w:szCs w:val="18"/>
        </w:rPr>
        <w:t>]</w:t>
      </w:r>
      <w:r w:rsidR="00EB5570" w:rsidRPr="00D86945">
        <w:rPr>
          <w:rFonts w:ascii="Verdana" w:hAnsi="Verdana"/>
          <w:b/>
          <w:iCs/>
          <w:sz w:val="18"/>
          <w:szCs w:val="18"/>
        </w:rPr>
        <w:t>.</w:t>
      </w:r>
    </w:p>
    <w:p w14:paraId="496EBFEC" w14:textId="3E7607AB" w:rsidR="007A6631" w:rsidRPr="00D86945" w:rsidRDefault="007A6631" w:rsidP="004F4FE7">
      <w:pPr>
        <w:spacing w:line="240" w:lineRule="auto"/>
        <w:ind w:right="49"/>
        <w:jc w:val="both"/>
        <w:rPr>
          <w:rFonts w:ascii="Verdana" w:hAnsi="Verdana"/>
          <w:b/>
          <w:sz w:val="20"/>
          <w:szCs w:val="20"/>
        </w:rPr>
      </w:pPr>
      <w:r w:rsidRPr="00D86945">
        <w:rPr>
          <w:rFonts w:ascii="Verdana" w:hAnsi="Verdana"/>
          <w:b/>
          <w:sz w:val="20"/>
          <w:szCs w:val="20"/>
        </w:rPr>
        <w:t>Caso Urrutia Laubreaux Vs. Chile. Excepciones Preliminares, Fondo, Reparaciones y Costas. Sentencia de 27 de agosto de 2020. Serie C No. 409, párr. 76.</w:t>
      </w:r>
    </w:p>
    <w:p w14:paraId="14F35B50" w14:textId="3C3ED453" w:rsidR="007A6631" w:rsidRPr="00D86945" w:rsidRDefault="007A6631" w:rsidP="004F4FE7">
      <w:pPr>
        <w:spacing w:line="240" w:lineRule="auto"/>
        <w:ind w:right="49"/>
        <w:jc w:val="both"/>
        <w:rPr>
          <w:rFonts w:ascii="Verdana" w:hAnsi="Verdana"/>
          <w:bCs/>
          <w:sz w:val="20"/>
          <w:szCs w:val="20"/>
        </w:rPr>
      </w:pPr>
      <w:r w:rsidRPr="00D86945">
        <w:rPr>
          <w:rFonts w:ascii="Verdana" w:hAnsi="Verdana"/>
          <w:bCs/>
          <w:sz w:val="20"/>
          <w:szCs w:val="20"/>
        </w:rPr>
        <w:t>94. Este Tribunal considera que la decisión de la Corte Suprema de Chile constituyó un adecuado y oportuno control de convencionalidad de la sanción de amonestación privada impuesta al señor Urrutia Laubreaux en el 2005, en tanto reconoció, cesó y reparó parcialmente la violación al derecho a la libertad de expresión en perjuicio del señor Urrutia Laubreaux. La Corte Suprema de Chile tomó en debida consideración los estándares desarrollados por este Tribunal en relación con los límites a las restricciones permitidas por el artículo 13 de la Convención para así garantizar adecuadamente la libertad de expresión del Juez Urrutia Laubreaux al a) dejar sin efecto la sanción impuesta, y b) ordenar la eliminación de la misma de la hoja de vida de la presunta víctima.</w:t>
      </w:r>
    </w:p>
    <w:p w14:paraId="4111B788" w14:textId="0067FCBE" w:rsidR="007A6631" w:rsidRPr="00D86945" w:rsidRDefault="007A6631" w:rsidP="004F4FE7">
      <w:pPr>
        <w:spacing w:line="240" w:lineRule="auto"/>
        <w:ind w:right="49"/>
        <w:jc w:val="both"/>
        <w:rPr>
          <w:rFonts w:ascii="Verdana" w:hAnsi="Verdana"/>
          <w:bCs/>
          <w:sz w:val="20"/>
          <w:szCs w:val="20"/>
        </w:rPr>
      </w:pPr>
      <w:r w:rsidRPr="00D86945">
        <w:rPr>
          <w:rFonts w:ascii="Verdana" w:hAnsi="Verdana"/>
          <w:bCs/>
          <w:sz w:val="20"/>
          <w:szCs w:val="20"/>
        </w:rPr>
        <w:t xml:space="preserve">95. No obstante, este Tribunal advierte que la sanción se mantuvo en la hoja de vida del señor Urrutia Laubreaux por más de 13 años, lo cual razonablemente afectó su carrera judicial. Al respecto, la Corte advierte que de acuerdo a la legislación chilena vigente al momento de los hechos la imposición de una “amonestación privada” tiene como consecuencia que el o la jueza sancionada no pueda ser calificada en la lista </w:t>
      </w:r>
      <w:r w:rsidRPr="00D86945">
        <w:rPr>
          <w:rFonts w:ascii="Verdana" w:hAnsi="Verdana"/>
          <w:bCs/>
          <w:sz w:val="20"/>
          <w:szCs w:val="20"/>
        </w:rPr>
        <w:lastRenderedPageBreak/>
        <w:t xml:space="preserve">“Sobresaliente”. La calificación de los jueces con base en la acumulación de puntos influye en la preferencia que se tiene en los nombramientos en propiedad, en la promoción de los jueces a cargos superiores, y en el nombramiento a plazas distintas86. Además, la determinación de más de tres sanciones en el período de tres años puede implicar la remoción del cargo de juez87. Sobre esto el Juez Urrutia Laubreaux declaró que “h[a] tenido que vivir con una sanción injusta, dentro del Poder Judicial, esto ha significado una etiqueta de Juez problemático, de Juez rebelde […], y también ha significado trabas para la continuación de mi carrera judicial en Chile”. Este daño no ha sido reparado por el Estado de Chile. En consecuencia, la Corte advierte que no se ha subsanado totalmente la violación del derecho a la libertad de expresión del señor Urrutia Laubreaux. Las afectaciones a la independencia judicial serán analizadas </w:t>
      </w:r>
      <w:r w:rsidRPr="00D86945">
        <w:rPr>
          <w:rFonts w:ascii="Verdana" w:hAnsi="Verdana"/>
          <w:bCs/>
          <w:i/>
          <w:iCs/>
          <w:sz w:val="20"/>
          <w:szCs w:val="20"/>
        </w:rPr>
        <w:t>infra</w:t>
      </w:r>
      <w:r w:rsidRPr="00D86945">
        <w:rPr>
          <w:rFonts w:ascii="Verdana" w:hAnsi="Verdana"/>
          <w:bCs/>
          <w:sz w:val="20"/>
          <w:szCs w:val="20"/>
        </w:rPr>
        <w:t>.</w:t>
      </w:r>
    </w:p>
    <w:p w14:paraId="421F4A69" w14:textId="2D1A9D08" w:rsidR="00987FF9" w:rsidRPr="00D86945" w:rsidRDefault="007A6631" w:rsidP="004F4FE7">
      <w:pPr>
        <w:spacing w:line="240" w:lineRule="auto"/>
        <w:ind w:right="49"/>
        <w:jc w:val="both"/>
        <w:rPr>
          <w:rFonts w:ascii="Verdana" w:hAnsi="Verdana" w:cs="Times New Roman"/>
          <w:bCs/>
          <w:sz w:val="20"/>
          <w:szCs w:val="20"/>
          <w:lang w:val="es-ES"/>
        </w:rPr>
      </w:pPr>
      <w:r w:rsidRPr="00D86945">
        <w:rPr>
          <w:rFonts w:ascii="Verdana" w:hAnsi="Verdana"/>
          <w:bCs/>
          <w:sz w:val="20"/>
          <w:szCs w:val="20"/>
        </w:rPr>
        <w:t>96. Por tanto, este Tribunal considera que el Estado violó el artículo 13, en relación con el artículo 1.1 de la Convención, en perjuicio del señor Urrutia Laubreaux.</w:t>
      </w:r>
    </w:p>
    <w:p w14:paraId="45767D9A" w14:textId="3BA74DD1" w:rsidR="00987FF9" w:rsidRPr="00215583" w:rsidRDefault="00215583" w:rsidP="00215583">
      <w:pPr>
        <w:pStyle w:val="Ttulo4"/>
      </w:pPr>
      <w:r w:rsidRPr="00215583">
        <w:t>I</w:t>
      </w:r>
      <w:r w:rsidR="00904DBE" w:rsidRPr="00215583">
        <w:t xml:space="preserve">) </w:t>
      </w:r>
      <w:r w:rsidR="00987FF9" w:rsidRPr="00215583">
        <w:t xml:space="preserve"> Aspectos generales</w:t>
      </w:r>
    </w:p>
    <w:p w14:paraId="080BC680" w14:textId="782CD969" w:rsidR="00987FF9" w:rsidRPr="00D86945" w:rsidRDefault="00987FF9" w:rsidP="004F4FE7">
      <w:pPr>
        <w:spacing w:line="240" w:lineRule="auto"/>
        <w:ind w:right="49"/>
        <w:jc w:val="both"/>
        <w:rPr>
          <w:rFonts w:ascii="Verdana" w:hAnsi="Verdana" w:cs="Times New Roman"/>
          <w:b/>
          <w:bCs/>
          <w:sz w:val="20"/>
          <w:szCs w:val="20"/>
        </w:rPr>
      </w:pPr>
      <w:r w:rsidRPr="00D86945">
        <w:rPr>
          <w:rFonts w:ascii="Verdana" w:hAnsi="Verdana" w:cs="Times New Roman"/>
          <w:b/>
          <w:bCs/>
          <w:sz w:val="20"/>
          <w:szCs w:val="20"/>
        </w:rPr>
        <w:t>Corte IDH. La colegiación obligatoria de periodistas (Arts. 13 y 29 Convención Americana sobre Derechos Humanos). Opinión Consultiva OC-5/85 de 13 de noviembre de 1985. Serie A No. 5</w:t>
      </w:r>
      <w:r w:rsidR="00F821A9">
        <w:rPr>
          <w:rFonts w:ascii="Verdana" w:hAnsi="Verdana" w:cs="Times New Roman"/>
          <w:b/>
          <w:bCs/>
          <w:sz w:val="20"/>
          <w:szCs w:val="20"/>
        </w:rPr>
        <w:t>.</w:t>
      </w:r>
    </w:p>
    <w:p w14:paraId="6DECD7BD" w14:textId="547F5E0C"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35. </w:t>
      </w:r>
      <w:r w:rsidRPr="00D86945">
        <w:rPr>
          <w:rFonts w:ascii="Verdana" w:hAnsi="Verdana" w:cs="Times New Roman"/>
          <w:sz w:val="20"/>
          <w:szCs w:val="20"/>
          <w:lang w:val="es-ES"/>
        </w:rPr>
        <w:tab/>
        <w:t xml:space="preserve">Lo anterior no significa que toda restricción a los medios de comunicación o, en general, a la libertad de expresarse, sea necesariamente contraria a la Convención, cuyo artículo 13.2 dispone: </w:t>
      </w:r>
    </w:p>
    <w:p w14:paraId="17EC3F42" w14:textId="2D51B184" w:rsidR="00987FF9" w:rsidRPr="00D86945" w:rsidRDefault="00987FF9" w:rsidP="004F4FE7">
      <w:pPr>
        <w:spacing w:line="240" w:lineRule="auto"/>
        <w:ind w:left="1416" w:right="49"/>
        <w:jc w:val="both"/>
        <w:rPr>
          <w:rFonts w:ascii="Verdana" w:hAnsi="Verdana" w:cs="Times New Roman"/>
          <w:sz w:val="18"/>
          <w:szCs w:val="18"/>
          <w:lang w:val="es-ES"/>
        </w:rPr>
      </w:pPr>
      <w:r w:rsidRPr="00D86945">
        <w:rPr>
          <w:rFonts w:ascii="Verdana" w:hAnsi="Verdana" w:cs="Times New Roman"/>
          <w:sz w:val="18"/>
          <w:szCs w:val="18"/>
          <w:lang w:val="es-ES"/>
        </w:rPr>
        <w:t xml:space="preserve">Artículo 13.2.- El ejercicio del derecho previsto en el inciso precedente no puede estar sujeto a previa censura sino a responsabilidades ulteriores, las que deben estar expresamente fijadas por la ley y ser necesarias para asegurar: </w:t>
      </w:r>
    </w:p>
    <w:p w14:paraId="5D438B3C" w14:textId="0AE77649" w:rsidR="00987FF9" w:rsidRPr="00D86945" w:rsidRDefault="00987FF9" w:rsidP="004F4FE7">
      <w:pPr>
        <w:spacing w:line="240" w:lineRule="auto"/>
        <w:ind w:left="1416" w:right="49"/>
        <w:jc w:val="both"/>
        <w:rPr>
          <w:rFonts w:ascii="Verdana" w:hAnsi="Verdana" w:cs="Times New Roman"/>
          <w:sz w:val="18"/>
          <w:szCs w:val="18"/>
          <w:lang w:val="es-ES"/>
        </w:rPr>
      </w:pPr>
      <w:r w:rsidRPr="00D86945">
        <w:rPr>
          <w:rFonts w:ascii="Verdana" w:hAnsi="Verdana" w:cs="Times New Roman"/>
          <w:sz w:val="18"/>
          <w:szCs w:val="18"/>
          <w:lang w:val="es-ES"/>
        </w:rPr>
        <w:t xml:space="preserve">a) el respeto a los derechos o a la reputación de los demás o </w:t>
      </w:r>
    </w:p>
    <w:p w14:paraId="3DE87F85" w14:textId="6CB194A6" w:rsidR="00987FF9" w:rsidRPr="00D86945" w:rsidRDefault="00987FF9" w:rsidP="004F4FE7">
      <w:pPr>
        <w:spacing w:line="240" w:lineRule="auto"/>
        <w:ind w:left="1416" w:right="49"/>
        <w:jc w:val="both"/>
        <w:rPr>
          <w:rFonts w:ascii="Verdana" w:hAnsi="Verdana" w:cs="Times New Roman"/>
          <w:sz w:val="18"/>
          <w:szCs w:val="18"/>
          <w:lang w:val="es-ES"/>
        </w:rPr>
      </w:pPr>
      <w:r w:rsidRPr="00D86945">
        <w:rPr>
          <w:rFonts w:ascii="Verdana" w:hAnsi="Verdana" w:cs="Times New Roman"/>
          <w:sz w:val="18"/>
          <w:szCs w:val="18"/>
          <w:lang w:val="es-ES"/>
        </w:rPr>
        <w:t xml:space="preserve">b) la protección de la seguridad nacional, el orden público o la salud o la moral públicas </w:t>
      </w:r>
      <w:proofErr w:type="gramStart"/>
      <w:r w:rsidRPr="00D86945">
        <w:rPr>
          <w:rFonts w:ascii="Verdana" w:hAnsi="Verdana" w:cs="Times New Roman"/>
          <w:sz w:val="18"/>
          <w:szCs w:val="18"/>
          <w:lang w:val="es-ES"/>
        </w:rPr>
        <w:t>[….</w:t>
      </w:r>
      <w:proofErr w:type="gramEnd"/>
      <w:r w:rsidRPr="00D86945">
        <w:rPr>
          <w:rFonts w:ascii="Verdana" w:hAnsi="Verdana" w:cs="Times New Roman"/>
          <w:sz w:val="18"/>
          <w:szCs w:val="18"/>
          <w:lang w:val="es-ES"/>
        </w:rPr>
        <w:t>]</w:t>
      </w:r>
    </w:p>
    <w:p w14:paraId="073E3560" w14:textId="20ECD59F"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36. </w:t>
      </w:r>
      <w:r w:rsidRPr="00D86945">
        <w:rPr>
          <w:rFonts w:ascii="Verdana" w:hAnsi="Verdana" w:cs="Times New Roman"/>
          <w:sz w:val="20"/>
          <w:szCs w:val="20"/>
          <w:lang w:val="es-ES"/>
        </w:rPr>
        <w:tab/>
        <w:t xml:space="preserve">Así pues, como la Convención lo reconoce, la libertad de pensamiento y expresión admite ciertas restricciones propias, que serán legítimas en la medida en que se inserten dentro de los requerimientos del artículo 13.2. Por lo tanto, como la expresión y la difusión del pensamiento son indivisibles, debe destacarse que las restricciones a los medios de difusión lo son también, a la libertad de expresión, de tal modo que, en cada caso, es preciso considerar si se han respetado o no los términos del artículo 13.2 para determinar su legitimidad y establecer, en consecuencia, si ha habido o no una violación de la Convención. </w:t>
      </w:r>
    </w:p>
    <w:p w14:paraId="509D4334" w14:textId="38CBF1C1"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37. </w:t>
      </w:r>
      <w:r w:rsidRPr="00D86945">
        <w:rPr>
          <w:rFonts w:ascii="Verdana" w:hAnsi="Verdana" w:cs="Times New Roman"/>
          <w:sz w:val="20"/>
          <w:szCs w:val="20"/>
          <w:lang w:val="es-ES"/>
        </w:rPr>
        <w:tab/>
        <w:t xml:space="preserve">La disposición citada señala dentro de qué condiciones son compatibles restricciones a la libertad de expresión con la Convención. Esas restricciones deben establecerse con arreglo a ciertos requisitos de forma que atañen a los medios a través de los cuales se manifiestan y condiciones de fondo, representadas por la legitimidad de los fines que, con tales restricciones, pretenden alcanzarse. </w:t>
      </w:r>
    </w:p>
    <w:p w14:paraId="55E809C5" w14:textId="03064D69"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b/>
          <w:sz w:val="20"/>
          <w:szCs w:val="20"/>
        </w:rPr>
        <w:t xml:space="preserve">Corte IDH. Caso </w:t>
      </w:r>
      <w:proofErr w:type="spellStart"/>
      <w:r w:rsidRPr="00D86945">
        <w:rPr>
          <w:rFonts w:ascii="Verdana" w:hAnsi="Verdana" w:cs="Times New Roman"/>
          <w:b/>
          <w:sz w:val="20"/>
          <w:szCs w:val="20"/>
        </w:rPr>
        <w:t>Ivcher</w:t>
      </w:r>
      <w:proofErr w:type="spellEnd"/>
      <w:r w:rsidRPr="00D86945">
        <w:rPr>
          <w:rFonts w:ascii="Verdana" w:hAnsi="Verdana" w:cs="Times New Roman"/>
          <w:b/>
          <w:sz w:val="20"/>
          <w:szCs w:val="20"/>
        </w:rPr>
        <w:t xml:space="preserve"> </w:t>
      </w:r>
      <w:proofErr w:type="spellStart"/>
      <w:r w:rsidRPr="00D86945">
        <w:rPr>
          <w:rFonts w:ascii="Verdana" w:hAnsi="Verdana" w:cs="Times New Roman"/>
          <w:b/>
          <w:sz w:val="20"/>
          <w:szCs w:val="20"/>
        </w:rPr>
        <w:t>Bronstein</w:t>
      </w:r>
      <w:proofErr w:type="spellEnd"/>
      <w:r w:rsidRPr="00D86945">
        <w:rPr>
          <w:rFonts w:ascii="Verdana" w:hAnsi="Verdana" w:cs="Times New Roman"/>
          <w:b/>
          <w:sz w:val="20"/>
          <w:szCs w:val="20"/>
        </w:rPr>
        <w:t xml:space="preserve"> Vs. Perú. Fondo, Reparaciones y Costas. Sentencia de 6 de febrero de 2001. Serie C No. 74</w:t>
      </w:r>
      <w:r w:rsidRPr="00D86945">
        <w:rPr>
          <w:rFonts w:ascii="Verdana" w:hAnsi="Verdana" w:cs="Times New Roman"/>
          <w:sz w:val="20"/>
          <w:szCs w:val="20"/>
        </w:rPr>
        <w:t>.</w:t>
      </w:r>
    </w:p>
    <w:p w14:paraId="21434C7E" w14:textId="23D475E2"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154.</w:t>
      </w:r>
      <w:r w:rsidRPr="00D86945">
        <w:rPr>
          <w:rFonts w:ascii="Verdana" w:hAnsi="Verdana" w:cs="Times New Roman"/>
          <w:sz w:val="20"/>
          <w:szCs w:val="20"/>
        </w:rPr>
        <w:tab/>
        <w:t>Al evaluar una supuesta restricción o limitación a la libertad de expresión, el Tribunal no debe sujetarse únicamente al estudio del acto en cuestión, sino que debe igualmente examinar dicho acto a la luz de los hechos del caso en su totalidad, incluyendo las circunstancias y el contexto en los que éstos se presentaron.</w:t>
      </w:r>
      <w:r w:rsidR="00D35646" w:rsidRPr="00D86945">
        <w:rPr>
          <w:rFonts w:ascii="Verdana" w:hAnsi="Verdana" w:cs="Times New Roman"/>
          <w:sz w:val="20"/>
          <w:szCs w:val="20"/>
        </w:rPr>
        <w:t xml:space="preserve"> </w:t>
      </w:r>
      <w:r w:rsidRPr="00D86945">
        <w:rPr>
          <w:rFonts w:ascii="Verdana" w:hAnsi="Verdana" w:cs="Times New Roman"/>
          <w:sz w:val="20"/>
          <w:szCs w:val="20"/>
        </w:rPr>
        <w:t xml:space="preserve">Tomando esto en consideración, la Corte analizará si en el contexto del presente caso hubo una violación al derecho a la libertad de expresión del señor </w:t>
      </w:r>
      <w:proofErr w:type="spellStart"/>
      <w:r w:rsidRPr="00D86945">
        <w:rPr>
          <w:rFonts w:ascii="Verdana" w:hAnsi="Verdana" w:cs="Times New Roman"/>
          <w:sz w:val="20"/>
          <w:szCs w:val="20"/>
        </w:rPr>
        <w:t>Ivcher</w:t>
      </w:r>
      <w:proofErr w:type="spellEnd"/>
      <w:r w:rsidRPr="00D86945">
        <w:rPr>
          <w:rFonts w:ascii="Verdana" w:hAnsi="Verdana" w:cs="Times New Roman"/>
          <w:sz w:val="20"/>
          <w:szCs w:val="20"/>
        </w:rPr>
        <w:t xml:space="preserve"> </w:t>
      </w:r>
      <w:proofErr w:type="spellStart"/>
      <w:r w:rsidRPr="00D86945">
        <w:rPr>
          <w:rFonts w:ascii="Verdana" w:hAnsi="Verdana" w:cs="Times New Roman"/>
          <w:sz w:val="20"/>
          <w:szCs w:val="20"/>
        </w:rPr>
        <w:t>Bronstein</w:t>
      </w:r>
      <w:proofErr w:type="spellEnd"/>
      <w:r w:rsidRPr="00D86945">
        <w:rPr>
          <w:rFonts w:ascii="Verdana" w:hAnsi="Verdana" w:cs="Times New Roman"/>
          <w:sz w:val="20"/>
          <w:szCs w:val="20"/>
        </w:rPr>
        <w:t>.</w:t>
      </w:r>
    </w:p>
    <w:p w14:paraId="3BE0B0B6" w14:textId="28BB368C" w:rsidR="00987FF9" w:rsidRPr="00D86945" w:rsidRDefault="00987FF9" w:rsidP="004F4FE7">
      <w:pPr>
        <w:spacing w:line="240" w:lineRule="auto"/>
        <w:ind w:right="49"/>
        <w:jc w:val="both"/>
        <w:rPr>
          <w:rFonts w:ascii="Verdana" w:hAnsi="Verdana" w:cs="Times New Roman"/>
          <w:b/>
          <w:sz w:val="20"/>
          <w:szCs w:val="20"/>
        </w:rPr>
      </w:pPr>
      <w:r w:rsidRPr="00D86945">
        <w:rPr>
          <w:rFonts w:ascii="Verdana" w:hAnsi="Verdana" w:cs="Times New Roman"/>
          <w:b/>
          <w:sz w:val="20"/>
          <w:szCs w:val="20"/>
        </w:rPr>
        <w:lastRenderedPageBreak/>
        <w:t>Corte IDH. Caso Herrera Ulloa Vs. Costa Rica. Excepciones Preliminares, Fondo, Reparaciones y Costas. Sentencia de 2 de julio de 2004. Serie C No. 107.</w:t>
      </w:r>
    </w:p>
    <w:p w14:paraId="35E80637" w14:textId="4DEC829A" w:rsidR="00987FF9" w:rsidRPr="00D86945" w:rsidRDefault="00987FF9" w:rsidP="004F4FE7">
      <w:pPr>
        <w:spacing w:line="240" w:lineRule="auto"/>
        <w:ind w:right="49"/>
        <w:jc w:val="both"/>
        <w:rPr>
          <w:rFonts w:ascii="Verdana" w:hAnsi="Verdana" w:cs="Times New Roman"/>
          <w:sz w:val="18"/>
          <w:szCs w:val="18"/>
        </w:rPr>
      </w:pPr>
      <w:r w:rsidRPr="00D86945">
        <w:rPr>
          <w:rFonts w:ascii="Verdana" w:hAnsi="Verdana" w:cs="Times New Roman"/>
          <w:sz w:val="20"/>
          <w:szCs w:val="20"/>
        </w:rPr>
        <w:t>120.</w:t>
      </w:r>
      <w:r w:rsidRPr="00D86945">
        <w:rPr>
          <w:rFonts w:ascii="Verdana" w:hAnsi="Verdana" w:cs="Times New Roman"/>
          <w:sz w:val="20"/>
          <w:szCs w:val="20"/>
        </w:rPr>
        <w:tab/>
        <w:t>Es importante destacar que el derecho a la libertad de expresión no es un derecho absoluto, este puede ser objeto de restricciones, tal como lo señala el artículo 13 de la Convención en sus incisos 4 y 5. Asimismo, la Convención Americana, en su artículo 13.2, prevé la posibilidad de establecer restricciones a la libertad de expresión, que se manifiestan a través de la aplicación de responsabilidades ulteriores por el ejercicio abusivo de este derecho, las cuales no deben de modo alguno limitar, más allá de lo estrictamente necesario, el alcance pleno de la libertad de expresión y convertirse en un mecanismo directo o indirecto de censura previa. Para poder determinar responsabilidades ulteriores es necesario que se cumplan tres requisitos, a saber: 1) deben estar expresamente fijadas por la ley; 2) deben estar destinadas a proteger ya sea los derechos o la reputación de los demás, o la protección de la seguridad nacional, el orden público</w:t>
      </w:r>
      <w:r w:rsidR="00D35646" w:rsidRPr="00D86945">
        <w:rPr>
          <w:rFonts w:ascii="Verdana" w:hAnsi="Verdana" w:cs="Times New Roman"/>
          <w:sz w:val="20"/>
          <w:szCs w:val="20"/>
        </w:rPr>
        <w:t xml:space="preserve"> </w:t>
      </w:r>
      <w:r w:rsidRPr="00D86945">
        <w:rPr>
          <w:rFonts w:ascii="Verdana" w:hAnsi="Verdana" w:cs="Times New Roman"/>
          <w:sz w:val="20"/>
          <w:szCs w:val="20"/>
        </w:rPr>
        <w:t xml:space="preserve">o la salud o moral pública; y 3) deben ser necesarias en una sociedad democrática. </w:t>
      </w:r>
      <w:r w:rsidR="00F821A9">
        <w:rPr>
          <w:rFonts w:ascii="Verdana" w:hAnsi="Verdana" w:cs="Times New Roman"/>
          <w:b/>
          <w:bCs/>
          <w:sz w:val="20"/>
          <w:szCs w:val="20"/>
        </w:rPr>
        <w:t>[</w:t>
      </w:r>
      <w:r w:rsidR="002A5747">
        <w:rPr>
          <w:rFonts w:ascii="Verdana" w:hAnsi="Verdana" w:cs="Times New Roman"/>
          <w:b/>
          <w:sz w:val="18"/>
          <w:szCs w:val="18"/>
        </w:rPr>
        <w:t>En similar sentido, ver entre otros:</w:t>
      </w:r>
      <w:r w:rsidRPr="00D86945">
        <w:rPr>
          <w:rFonts w:ascii="Verdana" w:hAnsi="Verdana" w:cs="Times New Roman"/>
          <w:sz w:val="18"/>
          <w:szCs w:val="18"/>
        </w:rPr>
        <w:t xml:space="preserve"> </w:t>
      </w:r>
      <w:r w:rsidRPr="00D86945">
        <w:rPr>
          <w:rFonts w:ascii="Verdana" w:hAnsi="Verdana" w:cs="Times New Roman"/>
          <w:b/>
          <w:sz w:val="18"/>
          <w:szCs w:val="18"/>
        </w:rPr>
        <w:t xml:space="preserve">Caso Ricardo </w:t>
      </w:r>
      <w:proofErr w:type="spellStart"/>
      <w:r w:rsidRPr="00D86945">
        <w:rPr>
          <w:rFonts w:ascii="Verdana" w:hAnsi="Verdana" w:cs="Times New Roman"/>
          <w:b/>
          <w:sz w:val="18"/>
          <w:szCs w:val="18"/>
        </w:rPr>
        <w:t>Canese</w:t>
      </w:r>
      <w:proofErr w:type="spellEnd"/>
      <w:r w:rsidRPr="00D86945">
        <w:rPr>
          <w:rFonts w:ascii="Verdana" w:hAnsi="Verdana" w:cs="Times New Roman"/>
          <w:b/>
          <w:sz w:val="18"/>
          <w:szCs w:val="18"/>
        </w:rPr>
        <w:t xml:space="preserve"> Vs. Paraguay. Fondo, Reparaciones y Costas. Sentencia de 31 de agosto de 2004. Serie C No. 111, párr.95; Caso Palamara Iribarne Vs. Chile. Fondo, Reparaciones y Costas. Sentencia de 22 de noviembre de 2005. Serie C No. 135, párr.79</w:t>
      </w:r>
      <w:r w:rsidR="00F821A9">
        <w:rPr>
          <w:rFonts w:ascii="Verdana" w:hAnsi="Verdana" w:cs="Times New Roman"/>
          <w:b/>
          <w:sz w:val="18"/>
          <w:szCs w:val="18"/>
        </w:rPr>
        <w:t>]</w:t>
      </w:r>
      <w:r w:rsidRPr="00D86945">
        <w:rPr>
          <w:rFonts w:ascii="Verdana" w:hAnsi="Verdana" w:cs="Times New Roman"/>
          <w:b/>
          <w:sz w:val="18"/>
          <w:szCs w:val="18"/>
        </w:rPr>
        <w:t>.</w:t>
      </w:r>
    </w:p>
    <w:p w14:paraId="2B47C7D9" w14:textId="3128625E"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t>Corte IDH. Caso Valle Jaramillo y otros Vs. Colombia. Fondo, Reparaciones y Costas. Sentencia de 27 de noviembre de 2008. Serie C No. 192.</w:t>
      </w:r>
      <w:r w:rsidRPr="00D86945">
        <w:rPr>
          <w:rStyle w:val="Refdenotaalpie"/>
          <w:rFonts w:ascii="Verdana" w:hAnsi="Verdana"/>
          <w:b/>
          <w:sz w:val="20"/>
          <w:szCs w:val="20"/>
        </w:rPr>
        <w:footnoteReference w:id="25"/>
      </w:r>
    </w:p>
    <w:p w14:paraId="7EF309EA" w14:textId="7A94F611" w:rsidR="006A49CD" w:rsidRDefault="00987FF9" w:rsidP="004F4FE7">
      <w:pPr>
        <w:widowControl w:val="0"/>
        <w:autoSpaceDE w:val="0"/>
        <w:autoSpaceDN w:val="0"/>
        <w:adjustRightInd w:val="0"/>
        <w:spacing w:line="240" w:lineRule="auto"/>
        <w:ind w:right="49"/>
        <w:jc w:val="both"/>
        <w:rPr>
          <w:rFonts w:ascii="Verdana" w:hAnsi="Verdana" w:cs="Arial"/>
          <w:sz w:val="20"/>
          <w:szCs w:val="20"/>
        </w:rPr>
      </w:pPr>
      <w:r w:rsidRPr="00D86945">
        <w:rPr>
          <w:rFonts w:ascii="Verdana" w:hAnsi="Verdana"/>
          <w:sz w:val="20"/>
          <w:szCs w:val="20"/>
        </w:rPr>
        <w:t>196.</w:t>
      </w:r>
      <w:r w:rsidRPr="00D86945">
        <w:rPr>
          <w:rFonts w:ascii="Verdana" w:hAnsi="Verdana"/>
          <w:sz w:val="20"/>
          <w:szCs w:val="20"/>
        </w:rPr>
        <w:tab/>
        <w:t xml:space="preserve">Respecto de la denuncia por injuria o calumnia, y de conformidad con lo señalado en el capítulo anterior, el Tribunal considera que </w:t>
      </w:r>
      <w:r w:rsidRPr="00D86945">
        <w:rPr>
          <w:rFonts w:ascii="Verdana" w:hAnsi="Verdana" w:cs="Arial"/>
          <w:sz w:val="20"/>
          <w:szCs w:val="20"/>
        </w:rPr>
        <w:t xml:space="preserve">un proceso judicial por tal delito no </w:t>
      </w:r>
      <w:r w:rsidRPr="00D86945">
        <w:rPr>
          <w:rFonts w:ascii="Verdana" w:hAnsi="Verdana"/>
          <w:bCs/>
          <w:kern w:val="20"/>
          <w:sz w:val="20"/>
          <w:szCs w:val="20"/>
        </w:rPr>
        <w:t>constituye</w:t>
      </w:r>
      <w:r w:rsidRPr="00D86945">
        <w:rPr>
          <w:rFonts w:ascii="Verdana" w:hAnsi="Verdana" w:cs="Arial"/>
          <w:sz w:val="20"/>
          <w:szCs w:val="20"/>
        </w:rPr>
        <w:t xml:space="preserve">, </w:t>
      </w:r>
      <w:r w:rsidRPr="00D86945">
        <w:rPr>
          <w:rFonts w:ascii="Verdana" w:hAnsi="Verdana"/>
          <w:sz w:val="20"/>
          <w:szCs w:val="20"/>
        </w:rPr>
        <w:t>por</w:t>
      </w:r>
      <w:r w:rsidRPr="00D86945">
        <w:rPr>
          <w:rFonts w:ascii="Verdana" w:hAnsi="Verdana" w:cs="Arial"/>
          <w:sz w:val="20"/>
          <w:szCs w:val="20"/>
        </w:rPr>
        <w:t xml:space="preserve"> sí mismo, una afectación al derecho a la libertad de expresión de la persona denunciada. Esto es así, ya que q</w:t>
      </w:r>
      <w:r w:rsidRPr="00D86945">
        <w:rPr>
          <w:rFonts w:ascii="Verdana" w:hAnsi="Verdana" w:cs="Verdana"/>
          <w:sz w:val="20"/>
          <w:szCs w:val="20"/>
          <w:lang w:bidi="en-US"/>
        </w:rPr>
        <w:t xml:space="preserve">uien se considere afectado en su honor por el pronunciamiento de otro puede recurrir a los medios judiciales que el Estado disponga para su protección. </w:t>
      </w:r>
      <w:r w:rsidRPr="00D86945">
        <w:rPr>
          <w:rFonts w:ascii="Verdana" w:hAnsi="Verdana" w:cs="Arial"/>
          <w:sz w:val="20"/>
          <w:szCs w:val="20"/>
        </w:rPr>
        <w:t xml:space="preserve">Si bien una demanda en tal sentido podría llegar a ser temeraria o frívola, no constituye </w:t>
      </w:r>
      <w:r w:rsidRPr="00D86945">
        <w:rPr>
          <w:rFonts w:ascii="Verdana" w:hAnsi="Verdana" w:cs="Arial"/>
          <w:i/>
          <w:sz w:val="20"/>
          <w:szCs w:val="20"/>
        </w:rPr>
        <w:t>per se</w:t>
      </w:r>
      <w:r w:rsidRPr="00D86945">
        <w:rPr>
          <w:rFonts w:ascii="Verdana" w:hAnsi="Verdana" w:cs="Arial"/>
          <w:sz w:val="20"/>
          <w:szCs w:val="20"/>
        </w:rPr>
        <w:t xml:space="preserve"> a una violación del derecho a la libertad de expresión del denunciado.</w:t>
      </w:r>
      <w:r w:rsidR="00D35646" w:rsidRPr="00D86945">
        <w:rPr>
          <w:rFonts w:ascii="Verdana" w:hAnsi="Verdana" w:cs="Arial"/>
          <w:sz w:val="20"/>
          <w:szCs w:val="20"/>
        </w:rPr>
        <w:t xml:space="preserve"> </w:t>
      </w:r>
      <w:r w:rsidRPr="00D86945">
        <w:rPr>
          <w:rFonts w:ascii="Verdana" w:hAnsi="Verdana" w:cs="Arial"/>
          <w:sz w:val="20"/>
          <w:szCs w:val="20"/>
        </w:rPr>
        <w:t xml:space="preserve">Mas bien, en el presente caso, una eventual decisión por parte del juez de la causa hubiera permitido establecer la veracidad o no del supuesto hecho ilícito que Jesús María Valle Jaramillo denunció públicamente, a saber, la supuesta connivencia entre miembros del Ejército colombiano y los denominados grupos paramilitares. </w:t>
      </w:r>
      <w:proofErr w:type="gramStart"/>
      <w:r w:rsidRPr="00D86945">
        <w:rPr>
          <w:rFonts w:ascii="Verdana" w:hAnsi="Verdana" w:cs="Arial"/>
          <w:sz w:val="20"/>
          <w:szCs w:val="20"/>
        </w:rPr>
        <w:t>Declarar</w:t>
      </w:r>
      <w:proofErr w:type="gramEnd"/>
      <w:r w:rsidRPr="00D86945">
        <w:rPr>
          <w:rFonts w:ascii="Verdana" w:hAnsi="Verdana" w:cs="Arial"/>
          <w:sz w:val="20"/>
          <w:szCs w:val="20"/>
        </w:rPr>
        <w:t xml:space="preserve"> que la denuncia en su contra por el delito de injuria o calumnia violó el derecho de Jesús María Valle Jaramillo a la libertad de expresión conllevaría a una exclusión de plano de la solución de tales litigios por la vía contenciosa. En este sentido, </w:t>
      </w:r>
      <w:r w:rsidRPr="00D86945">
        <w:rPr>
          <w:rFonts w:ascii="Verdana" w:hAnsi="Verdana" w:cs="Verdana"/>
          <w:sz w:val="20"/>
          <w:szCs w:val="20"/>
          <w:lang w:bidi="en-US"/>
        </w:rPr>
        <w:t xml:space="preserve">la Corte reitera que la libertad de expresión no es un derecho absoluto y que está sujeta a ciertas restricciones. </w:t>
      </w:r>
      <w:r w:rsidRPr="00D86945">
        <w:rPr>
          <w:rFonts w:ascii="Verdana" w:hAnsi="Verdana" w:cs="Arial"/>
          <w:sz w:val="20"/>
          <w:szCs w:val="20"/>
        </w:rPr>
        <w:t>Por lo tanto, la Corte considera que el Estado no violó el artículo 13 de la Convención en perjuicio de Jesús María Valle Jaramillo al haberlo denunciado por el delito de injuria o calumnia.</w:t>
      </w:r>
    </w:p>
    <w:p w14:paraId="336D3DB6" w14:textId="7F75CFEB" w:rsidR="000F2A88" w:rsidRPr="00D86945" w:rsidRDefault="006A49CD" w:rsidP="004F4FE7">
      <w:pPr>
        <w:widowControl w:val="0"/>
        <w:autoSpaceDE w:val="0"/>
        <w:autoSpaceDN w:val="0"/>
        <w:adjustRightInd w:val="0"/>
        <w:spacing w:line="240" w:lineRule="auto"/>
        <w:ind w:right="49"/>
        <w:jc w:val="both"/>
        <w:rPr>
          <w:rFonts w:ascii="Verdana" w:hAnsi="Verdana" w:cs="Verdana"/>
          <w:b/>
          <w:sz w:val="20"/>
          <w:szCs w:val="20"/>
          <w:lang w:bidi="en-US"/>
        </w:rPr>
      </w:pPr>
      <w:r w:rsidRPr="00D86945">
        <w:rPr>
          <w:rFonts w:ascii="Verdana" w:hAnsi="Verdana" w:cs="Verdana"/>
          <w:b/>
          <w:sz w:val="20"/>
          <w:szCs w:val="20"/>
          <w:lang w:bidi="en-US"/>
        </w:rPr>
        <w:t>Corte IDH. Caso Lagos del Campo Vs. Perú. Excepciones Preliminares, Fondo, Reparaciones y Costas. Sentencia de 31 de agosto de 2017. Serie C No. 340</w:t>
      </w:r>
      <w:r w:rsidR="00F12642">
        <w:rPr>
          <w:rFonts w:ascii="Verdana" w:hAnsi="Verdana" w:cs="Verdana"/>
          <w:b/>
          <w:sz w:val="20"/>
          <w:szCs w:val="20"/>
          <w:lang w:bidi="en-US"/>
        </w:rPr>
        <w:t>.</w:t>
      </w:r>
    </w:p>
    <w:p w14:paraId="7559A7A9" w14:textId="042004F9" w:rsidR="00987FF9" w:rsidRPr="00D86945" w:rsidRDefault="006A49CD" w:rsidP="004F4FE7">
      <w:pPr>
        <w:widowControl w:val="0"/>
        <w:autoSpaceDE w:val="0"/>
        <w:autoSpaceDN w:val="0"/>
        <w:adjustRightInd w:val="0"/>
        <w:spacing w:line="240" w:lineRule="auto"/>
        <w:ind w:right="49"/>
        <w:jc w:val="both"/>
        <w:rPr>
          <w:rFonts w:ascii="Verdana" w:hAnsi="Verdana" w:cs="Verdana"/>
          <w:sz w:val="20"/>
          <w:szCs w:val="20"/>
          <w:lang w:bidi="en-US"/>
        </w:rPr>
      </w:pPr>
      <w:r w:rsidRPr="00D86945">
        <w:rPr>
          <w:rFonts w:ascii="Verdana" w:hAnsi="Verdana" w:cs="Verdana"/>
          <w:sz w:val="20"/>
          <w:szCs w:val="20"/>
          <w:lang w:bidi="en-US"/>
        </w:rPr>
        <w:t>102.</w:t>
      </w:r>
      <w:r w:rsidRPr="00D86945">
        <w:rPr>
          <w:rFonts w:ascii="Verdana" w:hAnsi="Verdana" w:cs="Verdana"/>
          <w:sz w:val="20"/>
          <w:szCs w:val="20"/>
          <w:lang w:bidi="en-US"/>
        </w:rPr>
        <w:tab/>
        <w:t xml:space="preserve">En lo concerniente, este Tribunal ha reiterado en su jurisprudencia que el </w:t>
      </w:r>
      <w:r w:rsidRPr="00D86945">
        <w:rPr>
          <w:rFonts w:ascii="Verdana" w:hAnsi="Verdana" w:cs="Verdana"/>
          <w:sz w:val="20"/>
          <w:szCs w:val="20"/>
          <w:lang w:bidi="en-US"/>
        </w:rPr>
        <w:lastRenderedPageBreak/>
        <w:t>artículo 13.2 de la Convención Americana establece que las responsabilidades ulteriores por el ejercicio de la libertad de expresión, deben cumplir con los siguientes requisitos de forma concurrente: (i) estar previamente fijadas por ley, en sentido formal y material ; (ii) responder a un objetivo permitido por la Convención Americana (“el respeto a los derechos a la reputación de los demás” o “la protección de la seguridad nacional, el orden público o la salud o la moral públicas”), y (iii) ser necesaria en una sociedad democrática (para lo cual deben cumplir con los requisitos de idoneidad, necesidad y proporcionalidad).</w:t>
      </w:r>
    </w:p>
    <w:p w14:paraId="10BA8FC6" w14:textId="59E23AB6" w:rsidR="006A49CD" w:rsidRPr="00D86945" w:rsidRDefault="006A49CD"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105.</w:t>
      </w:r>
      <w:r w:rsidRPr="00D86945">
        <w:rPr>
          <w:rFonts w:ascii="Verdana" w:hAnsi="Verdana" w:cs="Times New Roman"/>
          <w:sz w:val="20"/>
          <w:szCs w:val="20"/>
        </w:rPr>
        <w:tab/>
        <w:t xml:space="preserve">La Corte estima necesario determinar si el discurso del señor Lagos del Campo: a) se dio en su calidad de representante de los trabajadores </w:t>
      </w:r>
      <w:r w:rsidR="005E0C2B">
        <w:rPr>
          <w:rFonts w:ascii="Verdana" w:hAnsi="Verdana" w:cs="Times New Roman"/>
          <w:sz w:val="20"/>
          <w:szCs w:val="20"/>
        </w:rPr>
        <w:t>[...]</w:t>
      </w:r>
      <w:r w:rsidRPr="00D86945">
        <w:rPr>
          <w:rFonts w:ascii="Verdana" w:hAnsi="Verdana" w:cs="Times New Roman"/>
          <w:sz w:val="20"/>
          <w:szCs w:val="20"/>
        </w:rPr>
        <w:t xml:space="preserve">; b) era de interés público; y c) la entidad de sus declaraciones. </w:t>
      </w:r>
    </w:p>
    <w:p w14:paraId="55CA9FD0" w14:textId="43E7E8E0" w:rsidR="006A49CD" w:rsidRPr="00D86945" w:rsidRDefault="006A49CD"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108.</w:t>
      </w:r>
      <w:r w:rsidRPr="00D86945">
        <w:rPr>
          <w:rFonts w:ascii="Verdana" w:hAnsi="Verdana" w:cs="Times New Roman"/>
          <w:sz w:val="20"/>
          <w:szCs w:val="20"/>
        </w:rPr>
        <w:tab/>
        <w:t xml:space="preserve">En vista de lo anterior, la Corte confirma que el señor Lagos del Campo realizó dichas manifestaciones en su calidad de representante de los trabajadores  y en el marco del ejercicio de sus competencias como Presidente del Comité Electoral.  </w:t>
      </w:r>
    </w:p>
    <w:p w14:paraId="17E7625E" w14:textId="79C1493F" w:rsidR="006A49CD" w:rsidRPr="00D86945" w:rsidRDefault="006A49CD"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109.</w:t>
      </w:r>
      <w:r w:rsidRPr="00D86945">
        <w:rPr>
          <w:rFonts w:ascii="Verdana" w:hAnsi="Verdana" w:cs="Times New Roman"/>
          <w:sz w:val="20"/>
          <w:szCs w:val="20"/>
        </w:rPr>
        <w:tab/>
        <w:t>En segundo lugar, respecto al interés general de las declaraciones, la Corte ha señalado que el artículo 13 de la Convención protege expresiones, ideas o información “de toda índole”, sean o no de interés público. No obstante, cuando dichas expresiones versan sobre temas de interés público, el juzgador debe evaluar con especial cautela la necesidad de limitar la libertad de expresión</w:t>
      </w:r>
      <w:r w:rsidR="00215583">
        <w:rPr>
          <w:rFonts w:ascii="Verdana" w:hAnsi="Verdana" w:cs="Times New Roman"/>
          <w:sz w:val="20"/>
          <w:szCs w:val="20"/>
        </w:rPr>
        <w:t>.</w:t>
      </w:r>
      <w:r w:rsidRPr="00D86945">
        <w:rPr>
          <w:rFonts w:ascii="Verdana" w:hAnsi="Verdana" w:cs="Times New Roman"/>
          <w:sz w:val="20"/>
          <w:szCs w:val="20"/>
        </w:rPr>
        <w:t xml:space="preserve"> </w:t>
      </w:r>
    </w:p>
    <w:p w14:paraId="260BE828" w14:textId="0862B097" w:rsidR="006A49CD" w:rsidRPr="00D86945" w:rsidRDefault="006A49CD"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110.</w:t>
      </w:r>
      <w:r w:rsidRPr="00D86945">
        <w:rPr>
          <w:rFonts w:ascii="Verdana" w:hAnsi="Verdana" w:cs="Times New Roman"/>
          <w:sz w:val="20"/>
          <w:szCs w:val="20"/>
        </w:rPr>
        <w:tab/>
        <w:t>Así, la Corte ha considerado de interés público aquellas opiniones o informaciones sobre asuntos en los cuales la sociedad tiene un legítimo interés de mantenerse informada, de conocer lo que incide sobre el funcionamiento del Estado, o afecta derechos o intereses generales o le acarrea consecuencias importantes</w:t>
      </w:r>
      <w:r w:rsidR="00215583">
        <w:rPr>
          <w:rFonts w:ascii="Verdana" w:hAnsi="Verdana" w:cs="Times New Roman"/>
          <w:sz w:val="20"/>
          <w:szCs w:val="20"/>
        </w:rPr>
        <w:t>.</w:t>
      </w:r>
      <w:r w:rsidRPr="00D86945">
        <w:rPr>
          <w:rFonts w:ascii="Verdana" w:hAnsi="Verdana" w:cs="Times New Roman"/>
          <w:sz w:val="20"/>
          <w:szCs w:val="20"/>
        </w:rPr>
        <w:t xml:space="preserve"> </w:t>
      </w:r>
    </w:p>
    <w:p w14:paraId="55365B41" w14:textId="6A66D280" w:rsidR="006A49CD" w:rsidRPr="00D86945" w:rsidRDefault="006A49CD"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111.</w:t>
      </w:r>
      <w:r w:rsidRPr="00D86945">
        <w:rPr>
          <w:rFonts w:ascii="Verdana" w:hAnsi="Verdana" w:cs="Times New Roman"/>
          <w:sz w:val="20"/>
          <w:szCs w:val="20"/>
        </w:rPr>
        <w:tab/>
        <w:t>Esta Corte reconoce que la emisión de información concerniente al ámbito laboral, por lo general, posee un interés público. En un primer término, deriva en un interés colectivo para los trabajadores correspondientes, y con un alcance especialmente general cuando atiende aspectos relevantes, por ejemplo, respecto de un gremio determinado</w:t>
      </w:r>
      <w:r w:rsidR="00215583">
        <w:rPr>
          <w:rFonts w:ascii="Verdana" w:hAnsi="Verdana" w:cs="Times New Roman"/>
          <w:sz w:val="20"/>
          <w:szCs w:val="20"/>
        </w:rPr>
        <w:t>,</w:t>
      </w:r>
      <w:r w:rsidRPr="00D86945">
        <w:rPr>
          <w:rFonts w:ascii="Verdana" w:hAnsi="Verdana" w:cs="Times New Roman"/>
          <w:sz w:val="20"/>
          <w:szCs w:val="20"/>
        </w:rPr>
        <w:t xml:space="preserve"> y más aún, cuando las opiniones trascienden al ámbito de un modelo de organización del Estado o sus instituciones en una sociedad democrática</w:t>
      </w:r>
      <w:r w:rsidR="00215583">
        <w:rPr>
          <w:rFonts w:ascii="Verdana" w:hAnsi="Verdana" w:cs="Times New Roman"/>
          <w:sz w:val="20"/>
          <w:szCs w:val="20"/>
        </w:rPr>
        <w:t>.</w:t>
      </w:r>
      <w:r w:rsidRPr="00D86945">
        <w:rPr>
          <w:rFonts w:ascii="Verdana" w:hAnsi="Verdana" w:cs="Times New Roman"/>
          <w:sz w:val="20"/>
          <w:szCs w:val="20"/>
        </w:rPr>
        <w:t xml:space="preserve"> </w:t>
      </w:r>
    </w:p>
    <w:p w14:paraId="1C76A3FB" w14:textId="56E53E25" w:rsidR="006A49CD" w:rsidRPr="00D86945" w:rsidRDefault="006A49CD"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113.</w:t>
      </w:r>
      <w:r w:rsidRPr="00D86945">
        <w:rPr>
          <w:rFonts w:ascii="Verdana" w:hAnsi="Verdana" w:cs="Times New Roman"/>
          <w:sz w:val="20"/>
          <w:szCs w:val="20"/>
        </w:rPr>
        <w:tab/>
        <w:t>La Corte estima que, en principio, las manifestaciones orientadas a promover el correcto funcionamiento y mejoramiento de las condiciones de trabajo o reivindicación de los trabajadores, representa en sí mismo un objetivo legítimo y coherente en el marco de las organizaciones de trabajadores</w:t>
      </w:r>
      <w:r w:rsidR="00215583">
        <w:rPr>
          <w:rFonts w:ascii="Verdana" w:hAnsi="Verdana" w:cs="Times New Roman"/>
          <w:sz w:val="20"/>
          <w:szCs w:val="20"/>
        </w:rPr>
        <w:t>.</w:t>
      </w:r>
      <w:r w:rsidRPr="00D86945">
        <w:rPr>
          <w:rFonts w:ascii="Verdana" w:hAnsi="Verdana" w:cs="Times New Roman"/>
          <w:sz w:val="20"/>
          <w:szCs w:val="20"/>
        </w:rPr>
        <w:t xml:space="preserve"> Asimismo, las declaraciones vertidas en el marco de un proceso de elección interna contribuyen al debate durante el proceso como herramienta esencial del interés colectivo y de sus electores.</w:t>
      </w:r>
    </w:p>
    <w:p w14:paraId="0090B2A8" w14:textId="4E682C4A" w:rsidR="006A49CD" w:rsidRPr="00D86945" w:rsidRDefault="006A49CD"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115.</w:t>
      </w:r>
      <w:r w:rsidRPr="00D86945">
        <w:rPr>
          <w:rFonts w:ascii="Verdana" w:hAnsi="Verdana" w:cs="Times New Roman"/>
          <w:sz w:val="20"/>
          <w:szCs w:val="20"/>
        </w:rPr>
        <w:tab/>
        <w:t xml:space="preserve">A fin de valorar el interés público en el caso en concreto, la Corte encuentra los siguientes elementos a considerar: i) el artículo en comento fue publicado en el marco de un conflicto laboral de carácter interno con motivo de presuntas irregularidades en el proceso electoral, que con anterioridad a la difusión del mismo, se habrían puesto en conocimiento de la autoridad competente; ii) el señor Lagos del Campo señaló en la entrevista publicada que “continuaría luchando por esas denuncias y hacía un llamado a los trabajadores a cerrar filas y hacer respetar sus derechos y obligaciones que les confería la ley. [Asimismo, pidió] la solidaridad de todas las organizaciones comuneras y laborales del país a expresar su rechazo </w:t>
      </w:r>
      <w:proofErr w:type="spellStart"/>
      <w:r w:rsidRPr="00D86945">
        <w:rPr>
          <w:rFonts w:ascii="Verdana" w:hAnsi="Verdana" w:cs="Times New Roman"/>
          <w:sz w:val="20"/>
          <w:szCs w:val="20"/>
        </w:rPr>
        <w:t>liquidacionista</w:t>
      </w:r>
      <w:proofErr w:type="spellEnd"/>
      <w:r w:rsidRPr="00D86945">
        <w:rPr>
          <w:rFonts w:ascii="Verdana" w:hAnsi="Verdana" w:cs="Times New Roman"/>
          <w:sz w:val="20"/>
          <w:szCs w:val="20"/>
        </w:rPr>
        <w:t xml:space="preserve"> de las comunidades industriales”, de lo cual se desprende el carácter colectivo de sus manifestaciones; iii) las Comunidades Industriales en el Perú, tenían como objetivo, entre otros, promover la participación de los trabajadores en el patrimonio de la empresa, así como la adecuada distribución de los beneficios; iv) dentro de las manifestaciones se hizo alusión la intervención de la Dirección General </w:t>
      </w:r>
      <w:r w:rsidRPr="00D86945">
        <w:rPr>
          <w:rFonts w:ascii="Verdana" w:hAnsi="Verdana" w:cs="Times New Roman"/>
          <w:sz w:val="20"/>
          <w:szCs w:val="20"/>
        </w:rPr>
        <w:lastRenderedPageBreak/>
        <w:t xml:space="preserve">de Participación del Ministerio de Industria; iv) el medio de comunicación buscó entrevistar al señor Lagos del Campo y difundió la entrevista en un medio de comunicación escrita, al considerar que atendía cuestiones de relevancia para la sociedad interesada (el gremio) </w:t>
      </w:r>
      <w:r w:rsidR="005E0C2B">
        <w:rPr>
          <w:rFonts w:ascii="Verdana" w:hAnsi="Verdana" w:cs="Times New Roman"/>
          <w:sz w:val="20"/>
          <w:szCs w:val="20"/>
        </w:rPr>
        <w:t>[...]</w:t>
      </w:r>
      <w:r w:rsidRPr="00D86945">
        <w:rPr>
          <w:rFonts w:ascii="Verdana" w:hAnsi="Verdana" w:cs="Times New Roman"/>
          <w:sz w:val="20"/>
          <w:szCs w:val="20"/>
        </w:rPr>
        <w:t xml:space="preserve">. </w:t>
      </w:r>
    </w:p>
    <w:p w14:paraId="2AF1A5D9" w14:textId="76998FF6" w:rsidR="006A49CD" w:rsidRPr="00D86945" w:rsidRDefault="006A49CD"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116.</w:t>
      </w:r>
      <w:r w:rsidRPr="00D86945">
        <w:rPr>
          <w:rFonts w:ascii="Verdana" w:hAnsi="Verdana" w:cs="Times New Roman"/>
          <w:sz w:val="20"/>
          <w:szCs w:val="20"/>
        </w:rPr>
        <w:tab/>
        <w:t>Por ende, la Corte nota que, en el contexto de dicho proceso electoral las manifestaciones del señor Lagos del Campo, como representante de los trabajadores, además de rebasar el ámbito privado, tenían una relevancia o impacto tal como para trascender no sólo el interés colectivo de los trabajadores de la empresa  sino del gremio (de comuneros) relacionado con las Comunidades Industriales en general. Por tanto, de los hechos del presente caso se desprende que la información contenida en las declaraciones del señor Lagos del Campo eran de interés público y por ende contaban con un nivel reforzado de protección.</w:t>
      </w:r>
    </w:p>
    <w:p w14:paraId="137446C2" w14:textId="14FE2FC7" w:rsidR="006A49CD" w:rsidRPr="00D86945" w:rsidRDefault="006A49CD" w:rsidP="004F4FE7">
      <w:pPr>
        <w:spacing w:line="240" w:lineRule="auto"/>
        <w:ind w:right="51"/>
        <w:jc w:val="both"/>
        <w:rPr>
          <w:rFonts w:ascii="Verdana" w:hAnsi="Verdana" w:cs="Times New Roman"/>
          <w:b/>
          <w:i/>
          <w:sz w:val="20"/>
          <w:szCs w:val="20"/>
        </w:rPr>
      </w:pPr>
      <w:r w:rsidRPr="00D86945">
        <w:rPr>
          <w:rFonts w:ascii="Verdana" w:hAnsi="Verdana" w:cs="Times New Roman"/>
          <w:sz w:val="20"/>
          <w:szCs w:val="20"/>
        </w:rPr>
        <w:t>117.</w:t>
      </w:r>
      <w:r w:rsidRPr="00D86945">
        <w:rPr>
          <w:rFonts w:ascii="Verdana" w:hAnsi="Verdana" w:cs="Times New Roman"/>
          <w:sz w:val="20"/>
          <w:szCs w:val="20"/>
        </w:rPr>
        <w:tab/>
        <w:t xml:space="preserve">En tercer lugar, respecto de la entidad de las declaraciones publicadas en la revista La Razón </w:t>
      </w:r>
      <w:r w:rsidR="007D0445" w:rsidRPr="00D86945">
        <w:rPr>
          <w:rFonts w:ascii="Verdana" w:hAnsi="Verdana" w:cs="Times New Roman"/>
          <w:sz w:val="20"/>
          <w:szCs w:val="20"/>
        </w:rPr>
        <w:t xml:space="preserve">[...] </w:t>
      </w:r>
      <w:r w:rsidRPr="00D86945">
        <w:rPr>
          <w:rFonts w:ascii="Verdana" w:hAnsi="Verdana" w:cs="Times New Roman"/>
          <w:sz w:val="20"/>
          <w:szCs w:val="20"/>
        </w:rPr>
        <w:t xml:space="preserve">no pasa inadvertido por la Corte que los límites de la crítica admisible son menos amplios respecto de los particulares, en lo general, que respecto de los políticos y los funcionarios en el ejercicio de sus funciones. </w:t>
      </w:r>
    </w:p>
    <w:p w14:paraId="47D13D5E" w14:textId="678D9CEB" w:rsidR="006A49CD" w:rsidRPr="00D86945" w:rsidRDefault="006A49CD"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118.</w:t>
      </w:r>
      <w:r w:rsidRPr="00D86945">
        <w:rPr>
          <w:rFonts w:ascii="Verdana" w:hAnsi="Verdana" w:cs="Times New Roman"/>
          <w:sz w:val="20"/>
          <w:szCs w:val="20"/>
        </w:rPr>
        <w:tab/>
        <w:t>De las manifestaciones publicadas en la entrevista, el Tribunal estima que, en lo general, se desprende que el objetivo del señor Lagos del Campo era denunciar las alegadas irregularidades, es decir, de informar sobre una situación, que a criterio de éste vulneraba los intereses que él representaba, acompañados quizás de comentarios críticos u opiniones. Por el contrario, del contenido de tales expresiones en el presente contexto no se denota que tuvieran un manifiesto ánimo injurioso, difamatorio, vejatorio o doloso en contra de alguna persona en particular o que tendieran a afectar el producto de la empresa. Si bien la publicación contenía particulares expresiones altisonantes sobre la situación denunciada, estas no revestían una entidad tal que traspasara el umbral de especial protección del carácter de las denuncias expuestas en el marco del referido contexto</w:t>
      </w:r>
      <w:r w:rsidR="00215583">
        <w:rPr>
          <w:rFonts w:ascii="Verdana" w:hAnsi="Verdana" w:cs="Times New Roman"/>
          <w:sz w:val="20"/>
          <w:szCs w:val="20"/>
        </w:rPr>
        <w:t>.</w:t>
      </w:r>
    </w:p>
    <w:p w14:paraId="465E4FD6" w14:textId="1D6E2841" w:rsidR="005E7BEF" w:rsidRPr="00D86945" w:rsidRDefault="005E7BEF" w:rsidP="004F4FE7">
      <w:pPr>
        <w:spacing w:line="240" w:lineRule="auto"/>
        <w:ind w:right="51"/>
        <w:jc w:val="both"/>
        <w:rPr>
          <w:rFonts w:ascii="Verdana" w:hAnsi="Verdana" w:cs="Times New Roman"/>
          <w:b/>
          <w:bCs/>
          <w:sz w:val="20"/>
          <w:szCs w:val="20"/>
        </w:rPr>
      </w:pPr>
      <w:r w:rsidRPr="00D86945">
        <w:rPr>
          <w:rFonts w:ascii="Verdana" w:hAnsi="Verdana" w:cs="Times New Roman"/>
          <w:b/>
          <w:bCs/>
          <w:sz w:val="20"/>
          <w:szCs w:val="20"/>
        </w:rPr>
        <w:t>Corte IDH. Caso Álvarez Ramos Vs. Venezuela. Excepción Preliminar, Fondo, Reparaciones y Costas. Sentencia de 30 de agosto de 2019. Serie C No. 380.</w:t>
      </w:r>
    </w:p>
    <w:p w14:paraId="40492FA8" w14:textId="3C51BB7C" w:rsidR="005E7BEF" w:rsidRPr="00D86945" w:rsidRDefault="005E7BEF"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101.</w:t>
      </w:r>
      <w:r w:rsidRPr="00D86945">
        <w:rPr>
          <w:rFonts w:ascii="Verdana" w:hAnsi="Verdana" w:cs="Times New Roman"/>
          <w:sz w:val="20"/>
          <w:szCs w:val="20"/>
        </w:rPr>
        <w:tab/>
        <w:t xml:space="preserve">La Corte ha reiterado que la libertad de expresión no es un derecho absoluto. El artículo 13.2 de la Convención, que prohíbe la censura previa, también prevé la posibilidad de exigir responsabilidades ulteriores por el ejercicio abusivo de este derecho, inclusive para asegurar “el respeto a los derechos o la reputación de los demás” (literal “a” del artículo 13.2). Estas restricciones tienen carácter excepcional y no deben limitar, más allá de lo estrictamente necesario, el pleno ejercicio de la libertad de expresión y convertirse en un mecanismo directo o indirecto de censura previa. En este sentido, la Corte ha establecido que se pueden imponer tales responsabilidades ulteriores, en tanto se pudiera haber afectado el derecho a la honra y la reputación. </w:t>
      </w:r>
    </w:p>
    <w:p w14:paraId="2D2E2727" w14:textId="269269CD" w:rsidR="005E7BEF" w:rsidRPr="00D86945" w:rsidRDefault="005E7BEF"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102.</w:t>
      </w:r>
      <w:r w:rsidRPr="00D86945">
        <w:rPr>
          <w:rFonts w:ascii="Verdana" w:hAnsi="Verdana" w:cs="Times New Roman"/>
          <w:sz w:val="20"/>
          <w:szCs w:val="20"/>
        </w:rPr>
        <w:tab/>
        <w:t>El artículo 11 de la Convención establece, en efecto, que toda persona tiene derecho a la protección de su honra y al reconocimiento de su dignidad. La Corte ha señalado que el derecho a la honra “reconoce que toda persona tiene derecho al respeto de esta, prohíbe todo ataque ilegal contra la honra o reputación e impone a los Estados el deber de brindar la protección de la ley contra tales ataques. En términos generales, este Tribunal ha indicado que el derecho a la honra se relaciona con la estima y valía propia, mientras que la reputación se refiere a la opinión que otros tienen de una persona”.</w:t>
      </w:r>
    </w:p>
    <w:p w14:paraId="5B42F34C" w14:textId="2CC106E4" w:rsidR="005E7BEF" w:rsidRPr="00D86945" w:rsidRDefault="005E7BEF"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103.</w:t>
      </w:r>
      <w:r w:rsidRPr="00D86945">
        <w:rPr>
          <w:rFonts w:ascii="Verdana" w:hAnsi="Verdana" w:cs="Times New Roman"/>
          <w:sz w:val="20"/>
          <w:szCs w:val="20"/>
        </w:rPr>
        <w:tab/>
        <w:t>En este sentido, este Tribunal ha sostenido que, “tanto la libertad de expresión como el derecho a la honra, derechos ambos protegidos por la Convención, revisten suma importancia, por lo cual es necesario garantizar ambos derechos, de forma que coexistan de manera armoniosa”</w:t>
      </w:r>
      <w:r w:rsidR="00215583">
        <w:rPr>
          <w:rFonts w:ascii="Verdana" w:hAnsi="Verdana" w:cs="Times New Roman"/>
          <w:sz w:val="20"/>
          <w:szCs w:val="20"/>
        </w:rPr>
        <w:t>.</w:t>
      </w:r>
      <w:r w:rsidRPr="00D86945">
        <w:rPr>
          <w:rFonts w:ascii="Verdana" w:hAnsi="Verdana" w:cs="Times New Roman"/>
          <w:sz w:val="20"/>
          <w:szCs w:val="20"/>
        </w:rPr>
        <w:t xml:space="preserve"> El ejercicio de cada derecho </w:t>
      </w:r>
      <w:r w:rsidRPr="00D86945">
        <w:rPr>
          <w:rFonts w:ascii="Verdana" w:hAnsi="Verdana" w:cs="Times New Roman"/>
          <w:sz w:val="20"/>
          <w:szCs w:val="20"/>
        </w:rPr>
        <w:lastRenderedPageBreak/>
        <w:t>fundamental tiene que hacerse con respeto y salvaguarda de los demás derechos fundamentales</w:t>
      </w:r>
      <w:r w:rsidR="00215583">
        <w:rPr>
          <w:rFonts w:ascii="Verdana" w:hAnsi="Verdana" w:cs="Times New Roman"/>
          <w:sz w:val="20"/>
          <w:szCs w:val="20"/>
        </w:rPr>
        <w:t>.</w:t>
      </w:r>
      <w:r w:rsidRPr="00D86945">
        <w:rPr>
          <w:rFonts w:ascii="Verdana" w:hAnsi="Verdana" w:cs="Times New Roman"/>
          <w:sz w:val="20"/>
          <w:szCs w:val="20"/>
        </w:rPr>
        <w:t xml:space="preserve"> Por ende, la Corte ha señalado que “la solución del conflicto que se presenta entre ambos derechos requiere de una ponderación entre los mismos, para lo cual deberá examinarse cada caso, conforme a sus características y circunstancias, a fin de apreciar la existencia e intensidad de los elementos en que se sustenta dicho juicio”</w:t>
      </w:r>
      <w:r w:rsidR="00215583">
        <w:rPr>
          <w:rFonts w:ascii="Verdana" w:hAnsi="Verdana" w:cs="Times New Roman"/>
          <w:sz w:val="20"/>
          <w:szCs w:val="20"/>
        </w:rPr>
        <w:t>.</w:t>
      </w:r>
    </w:p>
    <w:p w14:paraId="6D3449FB" w14:textId="59F1AA93" w:rsidR="005E7BEF" w:rsidRPr="00D86945" w:rsidRDefault="005E7BEF"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104.</w:t>
      </w:r>
      <w:r w:rsidRPr="00D86945">
        <w:rPr>
          <w:rFonts w:ascii="Verdana" w:hAnsi="Verdana" w:cs="Times New Roman"/>
          <w:sz w:val="20"/>
          <w:szCs w:val="20"/>
        </w:rPr>
        <w:tab/>
        <w:t>En lo concerniente, este Tribunal ha reiterado en su jurisprudencia que el artículo 13.2 de la Convención Americana establece que las responsabilidades ulteriores por el ejercicio de la libertad de expresión, deben cumplir con los siguientes requisitos de forma concurrente: (i) estar previamente fijadas por ley, en sentido formal y material ; (ii) responder a un objetivo permitido por la Convención Americana (“el respeto a los derechos a la reputación de los demás” o “la protección de la seguridad nacional, el orden público o la salud o la moral públicas”), y (iii) ser necesarias en una sociedad democrática (para lo cual deben cumplir con los requisitos de idoneidad, necesidad y proporcionalidad).</w:t>
      </w:r>
    </w:p>
    <w:p w14:paraId="4F31FC8A" w14:textId="02E13947" w:rsidR="005E7BEF" w:rsidRPr="00D86945" w:rsidRDefault="005E7BEF"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105.</w:t>
      </w:r>
      <w:r w:rsidRPr="00D86945">
        <w:rPr>
          <w:rFonts w:ascii="Verdana" w:hAnsi="Verdana" w:cs="Times New Roman"/>
          <w:sz w:val="20"/>
          <w:szCs w:val="20"/>
        </w:rPr>
        <w:tab/>
        <w:t>Respecto al primer requisito, la estricta legalidad, la Corte ha establecido que las restricciones deben estar previamente fijadas en la ley como medio para asegurar que las mismas no queden al arbitrio del poder público. Para esto, la tipificación de la conducta debe ser clara y precisa, más aún si se trata de condenas del orden penal y no del orden civil.</w:t>
      </w:r>
    </w:p>
    <w:p w14:paraId="014B2D7D" w14:textId="155F0DB2" w:rsidR="005E7BEF" w:rsidRPr="00D86945" w:rsidRDefault="005E7BEF"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106.</w:t>
      </w:r>
      <w:r w:rsidRPr="00D86945">
        <w:rPr>
          <w:rFonts w:ascii="Verdana" w:hAnsi="Verdana" w:cs="Times New Roman"/>
          <w:sz w:val="20"/>
          <w:szCs w:val="20"/>
        </w:rPr>
        <w:tab/>
        <w:t>Sobre el segundo factor, esto es, los fines permitidos o legítimos, se refiere el artículo 13.2 de la Convención. En tanto el presente caso versa sobre la limitación del derecho a la libertad de expresión en razón a una denuncia presentada por un particular, la Corte desarrollará únicamente el fin que se encuentra en el literal (a) del citado artículo, a saber el respeto a la reputación o a los derechos de los demás.</w:t>
      </w:r>
    </w:p>
    <w:p w14:paraId="3C1CCA49" w14:textId="793912F9" w:rsidR="005E7BEF" w:rsidRPr="00D86945" w:rsidRDefault="005E7BEF"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107.</w:t>
      </w:r>
      <w:r w:rsidRPr="00D86945">
        <w:rPr>
          <w:rFonts w:ascii="Verdana" w:hAnsi="Verdana" w:cs="Times New Roman"/>
          <w:sz w:val="20"/>
          <w:szCs w:val="20"/>
        </w:rPr>
        <w:tab/>
        <w:t>La Corte ha encontrado que cuando se persigue este fin legítimo, es necesario que el Estado realice una ponderación entre el derecho a la libertad de expresión de quien comunica y el derecho a la honra de la persona afectada. A eso se suma la obligación que tiene el Estado de propiciar medios judiciales para que quien se vea afectado en su honra pueda exigir su protección.</w:t>
      </w:r>
    </w:p>
    <w:p w14:paraId="4E414DBC" w14:textId="1278B6B2" w:rsidR="005E7BEF" w:rsidRPr="00D86945" w:rsidRDefault="005E7BEF"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108.</w:t>
      </w:r>
      <w:r w:rsidRPr="00D86945">
        <w:rPr>
          <w:rFonts w:ascii="Verdana" w:hAnsi="Verdana" w:cs="Times New Roman"/>
          <w:sz w:val="20"/>
          <w:szCs w:val="20"/>
        </w:rPr>
        <w:tab/>
        <w:t>Finalmente, en relación con la proporcionalidad y necesidad de la medida, la Corte ha entendido que las restricciones impuestas sobre el derecho a la libertad de expresión deben ser proporcionales al interés que las justifican y ajustarse estrechamente al logro de ese objetivo, interfiriendo en la menor medida posible en el efectivo goce del derecho</w:t>
      </w:r>
      <w:r w:rsidR="00215583">
        <w:rPr>
          <w:rFonts w:ascii="Verdana" w:hAnsi="Verdana" w:cs="Times New Roman"/>
          <w:sz w:val="20"/>
          <w:szCs w:val="20"/>
        </w:rPr>
        <w:t>.</w:t>
      </w:r>
      <w:r w:rsidRPr="00D86945">
        <w:rPr>
          <w:rFonts w:ascii="Verdana" w:hAnsi="Verdana" w:cs="Times New Roman"/>
          <w:sz w:val="20"/>
          <w:szCs w:val="20"/>
        </w:rPr>
        <w:t xml:space="preserve"> En ese sentido, no es suficiente que tenga una finalidad legítima, sino que la medida en cuestión debe respetar la proporcionalidad y la necesidad al momento de afectar la libertad de expresión. En otras palabras, “en este último paso del análisis se considera si la restricción resulta estrictamente proporcional, de tal forma que el sacrificio inherente a aquella no resulte exagerado o desmedido frente a las ventajas que se obtienen mediante tal limitación”.</w:t>
      </w:r>
    </w:p>
    <w:p w14:paraId="3A50091A" w14:textId="3BADA6C4" w:rsidR="005E7BEF" w:rsidRPr="00D86945" w:rsidRDefault="005E7BEF"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109.</w:t>
      </w:r>
      <w:r w:rsidRPr="00D86945">
        <w:rPr>
          <w:rFonts w:ascii="Verdana" w:hAnsi="Verdana" w:cs="Times New Roman"/>
          <w:sz w:val="20"/>
          <w:szCs w:val="20"/>
        </w:rPr>
        <w:tab/>
        <w:t>A su vez, el Tribunal Europeo de Derechos Humanos, al interpretar el artículo 10 del Convenio Europeo, concluyó que "necesarias", sin ser sinónimo de "indispensables", implica la existencia de una “necesidad social imperiosa” y que para que una restricción sea "necesaria" no es suficiente demostrar que sea "útil", "razonable" u "oportuna"</w:t>
      </w:r>
      <w:r w:rsidR="00215583">
        <w:rPr>
          <w:rFonts w:ascii="Verdana" w:hAnsi="Verdana" w:cs="Times New Roman"/>
          <w:sz w:val="20"/>
          <w:szCs w:val="20"/>
        </w:rPr>
        <w:t>.</w:t>
      </w:r>
      <w:r w:rsidRPr="00D86945">
        <w:rPr>
          <w:rFonts w:ascii="Verdana" w:hAnsi="Verdana" w:cs="Times New Roman"/>
          <w:sz w:val="20"/>
          <w:szCs w:val="20"/>
        </w:rPr>
        <w:t xml:space="preserve"> Este concepto de “necesidad social imperiosa” fue hecho suyo por la Corte Interamericana en su Opinión Consultiva OC-5/85.</w:t>
      </w:r>
    </w:p>
    <w:p w14:paraId="260B0E98" w14:textId="02B2B9D1" w:rsidR="005E7BEF" w:rsidRPr="00D86945" w:rsidRDefault="005E7BEF" w:rsidP="004F4FE7">
      <w:pPr>
        <w:spacing w:line="240" w:lineRule="auto"/>
        <w:ind w:right="51"/>
        <w:jc w:val="both"/>
        <w:rPr>
          <w:rFonts w:ascii="Verdana" w:hAnsi="Verdana" w:cs="Times New Roman"/>
          <w:sz w:val="20"/>
          <w:szCs w:val="20"/>
        </w:rPr>
      </w:pPr>
      <w:r w:rsidRPr="00D86945">
        <w:rPr>
          <w:rFonts w:ascii="Verdana" w:hAnsi="Verdana" w:cs="Times New Roman"/>
          <w:sz w:val="20"/>
          <w:szCs w:val="20"/>
        </w:rPr>
        <w:t>110.</w:t>
      </w:r>
      <w:r w:rsidRPr="00D86945">
        <w:rPr>
          <w:rFonts w:ascii="Verdana" w:hAnsi="Verdana" w:cs="Times New Roman"/>
          <w:sz w:val="20"/>
          <w:szCs w:val="20"/>
        </w:rPr>
        <w:tab/>
        <w:t xml:space="preserve">Ahora bien, una vez que se ha determinado el contenido del derecho a la libertad de pensamiento y de expresión, se ha resaltado la importancia de la libertad de expresión en un régimen democrático, y se han establecido los requisitos para que las restricciones de que puede ser objeto el derecho mencionado sean </w:t>
      </w:r>
      <w:r w:rsidRPr="00D86945">
        <w:rPr>
          <w:rFonts w:ascii="Verdana" w:hAnsi="Verdana" w:cs="Times New Roman"/>
          <w:sz w:val="20"/>
          <w:szCs w:val="20"/>
        </w:rPr>
        <w:lastRenderedPageBreak/>
        <w:t>compatibles con la Convención Americana; debe este Tribunal realizar el análisis sobre los hechos del presente caso.</w:t>
      </w:r>
    </w:p>
    <w:p w14:paraId="5B3AA827" w14:textId="43772E45" w:rsidR="00987FF9" w:rsidRPr="00D86945" w:rsidRDefault="00215583" w:rsidP="00215583">
      <w:pPr>
        <w:pStyle w:val="Ttulo4"/>
      </w:pPr>
      <w:r>
        <w:t>II</w:t>
      </w:r>
      <w:r w:rsidR="00904DBE" w:rsidRPr="00D86945">
        <w:t>)</w:t>
      </w:r>
      <w:r w:rsidR="00987FF9" w:rsidRPr="00D86945">
        <w:t xml:space="preserve"> Principio de legalidad de la medida de Restricción</w:t>
      </w:r>
    </w:p>
    <w:p w14:paraId="317558EB" w14:textId="65B6621B" w:rsidR="00987FF9" w:rsidRPr="00D86945" w:rsidRDefault="00987FF9" w:rsidP="004F4FE7">
      <w:pPr>
        <w:spacing w:line="240" w:lineRule="auto"/>
        <w:ind w:right="49"/>
        <w:jc w:val="both"/>
        <w:rPr>
          <w:rFonts w:ascii="Verdana" w:hAnsi="Verdana" w:cs="Times New Roman"/>
          <w:b/>
          <w:bCs/>
          <w:sz w:val="20"/>
          <w:szCs w:val="20"/>
        </w:rPr>
      </w:pPr>
      <w:r w:rsidRPr="00D86945">
        <w:rPr>
          <w:rFonts w:ascii="Verdana" w:hAnsi="Verdana" w:cs="Times New Roman"/>
          <w:b/>
          <w:bCs/>
          <w:sz w:val="20"/>
          <w:szCs w:val="20"/>
        </w:rPr>
        <w:t>Corte IDH. La colegiación obligatoria de periodistas (Arts. 13 y 29 Convención Americana sobre Derechos Humanos). Opinión Consultiva OC-5/85 de 13 de noviembre de 1985. Serie A No. 5</w:t>
      </w:r>
      <w:r w:rsidR="00F12642">
        <w:rPr>
          <w:rFonts w:ascii="Verdana" w:hAnsi="Verdana" w:cs="Times New Roman"/>
          <w:b/>
          <w:bCs/>
          <w:sz w:val="20"/>
          <w:szCs w:val="20"/>
        </w:rPr>
        <w:t>.</w:t>
      </w:r>
    </w:p>
    <w:p w14:paraId="7FEDA18A" w14:textId="5047DE45"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40. </w:t>
      </w:r>
      <w:r w:rsidRPr="00D86945">
        <w:rPr>
          <w:rFonts w:ascii="Verdana" w:hAnsi="Verdana" w:cs="Times New Roman"/>
          <w:sz w:val="20"/>
          <w:szCs w:val="20"/>
          <w:lang w:val="es-ES"/>
        </w:rPr>
        <w:tab/>
        <w:t xml:space="preserve">Esta norma precisa que es la ley la que debe establecer las restricciones a la libertad de información y solamente para lograr fines que la propia Convención señala. Por tratarse de restricciones en el sentido en que quedó establecido </w:t>
      </w:r>
      <w:r w:rsidR="005E0C2B">
        <w:rPr>
          <w:rFonts w:ascii="Verdana" w:hAnsi="Verdana" w:cs="Times New Roman"/>
          <w:sz w:val="20"/>
          <w:szCs w:val="20"/>
          <w:lang w:val="es-ES"/>
        </w:rPr>
        <w:t>[...]</w:t>
      </w:r>
      <w:r w:rsidRPr="00D86945">
        <w:rPr>
          <w:rFonts w:ascii="Verdana" w:hAnsi="Verdana" w:cs="Times New Roman"/>
          <w:sz w:val="20"/>
          <w:szCs w:val="20"/>
          <w:lang w:val="es-ES"/>
        </w:rPr>
        <w:t xml:space="preserve"> la definición legal debe ser necesariamente expresa y taxativa. </w:t>
      </w:r>
    </w:p>
    <w:p w14:paraId="13E04514" w14:textId="7DDE1291" w:rsidR="00987FF9" w:rsidRPr="00D86945" w:rsidDel="007A62E6" w:rsidRDefault="00987FF9" w:rsidP="004F4FE7">
      <w:pPr>
        <w:tabs>
          <w:tab w:val="left" w:pos="720"/>
        </w:tabs>
        <w:spacing w:line="240" w:lineRule="auto"/>
        <w:ind w:right="49"/>
        <w:jc w:val="both"/>
        <w:rPr>
          <w:rFonts w:ascii="Verdana" w:hAnsi="Verdana" w:cs="Times New Roman"/>
          <w:b/>
          <w:sz w:val="20"/>
          <w:szCs w:val="20"/>
          <w:lang w:val="es-CL"/>
        </w:rPr>
      </w:pPr>
      <w:r w:rsidRPr="00D86945">
        <w:rPr>
          <w:rFonts w:ascii="Verdana" w:hAnsi="Verdana" w:cs="Times New Roman"/>
          <w:b/>
          <w:sz w:val="20"/>
          <w:szCs w:val="20"/>
        </w:rPr>
        <w:t>Corte IDH. Caso Claude Reyes y otros Vs. Chile. Fondo, Reparaciones y Costas. Sentencia de 19 de septiembre de 2006. Serie C No. 151.</w:t>
      </w:r>
    </w:p>
    <w:p w14:paraId="70697E00" w14:textId="4B7B3598" w:rsidR="00987FF9" w:rsidRPr="00D86945" w:rsidRDefault="00987FF9" w:rsidP="004F4FE7">
      <w:pPr>
        <w:pStyle w:val="JuPara"/>
        <w:tabs>
          <w:tab w:val="left" w:pos="360"/>
        </w:tabs>
        <w:spacing w:line="240" w:lineRule="auto"/>
        <w:ind w:right="49" w:firstLine="0"/>
        <w:rPr>
          <w:rFonts w:ascii="Verdana" w:hAnsi="Verdana"/>
          <w:sz w:val="20"/>
          <w:lang w:val="es-ES_tradnl"/>
        </w:rPr>
      </w:pPr>
      <w:r w:rsidRPr="00D86945" w:rsidDel="007A62E6">
        <w:rPr>
          <w:rFonts w:ascii="Verdana" w:hAnsi="Verdana"/>
          <w:sz w:val="20"/>
          <w:lang w:val="es-ES_tradnl"/>
        </w:rPr>
        <w:t>89.</w:t>
      </w:r>
      <w:r w:rsidRPr="00D86945" w:rsidDel="007A62E6">
        <w:rPr>
          <w:rFonts w:ascii="Verdana" w:hAnsi="Verdana"/>
          <w:sz w:val="20"/>
          <w:lang w:val="es-ES_tradnl"/>
        </w:rPr>
        <w:tab/>
      </w:r>
      <w:r w:rsidRPr="00D86945" w:rsidDel="007A62E6">
        <w:rPr>
          <w:rFonts w:ascii="Verdana" w:hAnsi="Verdana"/>
          <w:sz w:val="20"/>
          <w:lang w:val="es-ES_tradnl"/>
        </w:rPr>
        <w:tab/>
      </w:r>
      <w:r w:rsidRPr="00D86945">
        <w:rPr>
          <w:rFonts w:ascii="Verdana" w:hAnsi="Verdana"/>
          <w:sz w:val="20"/>
          <w:lang w:val="es-ES_tradnl"/>
        </w:rPr>
        <w:t>En cuanto a los requisitos que debe cumplir una restricción en esta materia, en primer término deben estar previamente fijadas por ley como medio para asegurar que no queden al arbitrio del poder público.</w:t>
      </w:r>
      <w:r w:rsidR="00D35646" w:rsidRPr="00D86945">
        <w:rPr>
          <w:rFonts w:ascii="Verdana" w:hAnsi="Verdana"/>
          <w:sz w:val="20"/>
          <w:lang w:val="es-ES_tradnl"/>
        </w:rPr>
        <w:t xml:space="preserve"> </w:t>
      </w:r>
      <w:r w:rsidRPr="00D86945">
        <w:rPr>
          <w:rFonts w:ascii="Verdana" w:hAnsi="Verdana"/>
          <w:sz w:val="20"/>
          <w:lang w:val="es-ES_tradnl"/>
        </w:rPr>
        <w:t>Dichas leyes deben dictarse “por razones de interés general y con el propósito para el cual han sido establecidas”. Al respecto la Corte ha enfatizado que</w:t>
      </w:r>
    </w:p>
    <w:p w14:paraId="1A13ACE1" w14:textId="77777777" w:rsidR="00987FF9" w:rsidRPr="00D86945" w:rsidRDefault="00987FF9" w:rsidP="004F4FE7">
      <w:pPr>
        <w:spacing w:line="240" w:lineRule="auto"/>
        <w:ind w:left="1416" w:right="49"/>
        <w:jc w:val="both"/>
        <w:rPr>
          <w:rFonts w:ascii="Verdana" w:hAnsi="Verdana" w:cs="Times New Roman"/>
          <w:sz w:val="18"/>
          <w:szCs w:val="18"/>
        </w:rPr>
      </w:pPr>
      <w:r w:rsidRPr="00D86945">
        <w:rPr>
          <w:rFonts w:ascii="Verdana" w:hAnsi="Verdana" w:cs="Times New Roman"/>
          <w:sz w:val="18"/>
          <w:szCs w:val="18"/>
        </w:rPr>
        <w:t xml:space="preserve">En tal perspectiva no es posible interpretar la expresión </w:t>
      </w:r>
      <w:r w:rsidRPr="00D86945">
        <w:rPr>
          <w:rFonts w:ascii="Verdana" w:hAnsi="Verdana" w:cs="Times New Roman"/>
          <w:b/>
          <w:sz w:val="18"/>
          <w:szCs w:val="18"/>
        </w:rPr>
        <w:t>leyes</w:t>
      </w:r>
      <w:r w:rsidRPr="00D86945">
        <w:rPr>
          <w:rFonts w:ascii="Verdana" w:hAnsi="Verdana" w:cs="Times New Roman"/>
          <w:sz w:val="18"/>
          <w:szCs w:val="18"/>
        </w:rPr>
        <w:t>, utilizada en el artículo 30, como sinónimo de cualquier norma jurídica, pues ello equivaldría a admitir que los derechos fundamentales pueden ser restringidos por la sola determinación del poder público, sin otra limitación formal que la de consagrar tales restricciones en disposiciones de carácter general.</w:t>
      </w:r>
    </w:p>
    <w:p w14:paraId="7FDBF659" w14:textId="77777777" w:rsidR="00987FF9" w:rsidRPr="00D86945" w:rsidRDefault="00987FF9" w:rsidP="004F4FE7">
      <w:pPr>
        <w:spacing w:line="240" w:lineRule="auto"/>
        <w:ind w:left="1416" w:right="49"/>
        <w:jc w:val="both"/>
        <w:rPr>
          <w:rFonts w:ascii="Verdana" w:hAnsi="Verdana" w:cs="Times New Roman"/>
          <w:sz w:val="18"/>
          <w:szCs w:val="18"/>
        </w:rPr>
      </w:pPr>
      <w:r w:rsidRPr="00D86945">
        <w:rPr>
          <w:rFonts w:ascii="Verdana" w:hAnsi="Verdana" w:cs="Times New Roman"/>
          <w:sz w:val="18"/>
          <w:szCs w:val="18"/>
        </w:rPr>
        <w:t>[…]</w:t>
      </w:r>
    </w:p>
    <w:p w14:paraId="3486A088" w14:textId="42611AA6" w:rsidR="00987FF9" w:rsidRPr="00D86945" w:rsidRDefault="00987FF9" w:rsidP="004F4FE7">
      <w:pPr>
        <w:spacing w:line="240" w:lineRule="auto"/>
        <w:ind w:left="1416" w:right="49"/>
        <w:jc w:val="both"/>
        <w:rPr>
          <w:rFonts w:ascii="Verdana" w:hAnsi="Verdana" w:cs="Times New Roman"/>
          <w:sz w:val="18"/>
          <w:szCs w:val="18"/>
        </w:rPr>
      </w:pPr>
      <w:r w:rsidRPr="00D86945">
        <w:rPr>
          <w:rFonts w:ascii="Verdana" w:hAnsi="Verdana" w:cs="Times New Roman"/>
          <w:sz w:val="18"/>
          <w:szCs w:val="18"/>
        </w:rPr>
        <w:t>El requisito según el cual las leyes han de ser dictadas por razones de interés general significa que deben haber sido adoptadas en función del "bien común" (art. 32.2), concepto que ha de interpretarse como elemento integrante del orden público del Estado democrático […].</w:t>
      </w:r>
    </w:p>
    <w:p w14:paraId="60BEBD31" w14:textId="50C3D7DE"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94.</w:t>
      </w:r>
      <w:r w:rsidRPr="00D86945">
        <w:rPr>
          <w:rFonts w:ascii="Verdana" w:hAnsi="Verdana" w:cs="Times New Roman"/>
          <w:sz w:val="20"/>
          <w:szCs w:val="20"/>
        </w:rPr>
        <w:tab/>
        <w:t>En el presente caso, está probado que la restricción aplicada al acceso a la información no se basó en una ley.</w:t>
      </w:r>
      <w:r w:rsidR="00D35646" w:rsidRPr="00D86945">
        <w:rPr>
          <w:rFonts w:ascii="Verdana" w:hAnsi="Verdana" w:cs="Times New Roman"/>
          <w:sz w:val="20"/>
          <w:szCs w:val="20"/>
        </w:rPr>
        <w:t xml:space="preserve"> </w:t>
      </w:r>
      <w:r w:rsidRPr="00D86945">
        <w:rPr>
          <w:rFonts w:ascii="Verdana" w:hAnsi="Verdana" w:cs="Times New Roman"/>
          <w:sz w:val="20"/>
          <w:szCs w:val="20"/>
        </w:rPr>
        <w:t xml:space="preserve">En esa época no existía en Chile legislación que regulara la materia de restricciones al acceso a la información bajo el control del Estado. </w:t>
      </w:r>
    </w:p>
    <w:p w14:paraId="0B163A00" w14:textId="1A809373"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t>Corte IDH. Caso Kimel Vs. Argentina. Fondo, Reparaciones y Costas. Sentencia de 2 de mayo de 2008. Serie C No. 177.</w:t>
      </w:r>
      <w:r w:rsidRPr="00D86945">
        <w:rPr>
          <w:rStyle w:val="Refdenotaalpie"/>
          <w:rFonts w:ascii="Verdana" w:hAnsi="Verdana"/>
          <w:b/>
          <w:sz w:val="20"/>
          <w:szCs w:val="20"/>
        </w:rPr>
        <w:footnoteReference w:id="26"/>
      </w:r>
    </w:p>
    <w:p w14:paraId="3FE65F62" w14:textId="1E8AC2E2" w:rsidR="00987FF9" w:rsidRPr="00D86945" w:rsidRDefault="00987FF9" w:rsidP="004F4FE7">
      <w:pPr>
        <w:spacing w:before="120" w:after="120" w:line="240" w:lineRule="auto"/>
        <w:ind w:right="49"/>
        <w:jc w:val="both"/>
        <w:rPr>
          <w:rFonts w:ascii="Verdana" w:hAnsi="Verdana"/>
          <w:sz w:val="20"/>
          <w:szCs w:val="20"/>
        </w:rPr>
      </w:pPr>
      <w:r w:rsidRPr="00D86945">
        <w:rPr>
          <w:rFonts w:ascii="Verdana" w:hAnsi="Verdana"/>
          <w:sz w:val="20"/>
          <w:szCs w:val="20"/>
        </w:rPr>
        <w:t>66.</w:t>
      </w:r>
      <w:r w:rsidRPr="00D86945">
        <w:rPr>
          <w:rFonts w:ascii="Verdana" w:hAnsi="Verdana"/>
          <w:sz w:val="20"/>
          <w:szCs w:val="20"/>
        </w:rPr>
        <w:tab/>
        <w:t xml:space="preserve">La Corte resalta que en el presente caso el Estado indicó que “la falta de precisiones suficientes en el marco de la normativa penal que sanciona las calumnias y las injurias que impidan que se afecte la libertad de expresión, importa el incumplimiento de la obligación de adoptar medidas contempladas en el artículo 2 de la Convención Americana” </w:t>
      </w:r>
      <w:r w:rsidR="005E0C2B">
        <w:rPr>
          <w:rFonts w:ascii="Verdana" w:hAnsi="Verdana"/>
          <w:sz w:val="20"/>
          <w:szCs w:val="20"/>
        </w:rPr>
        <w:t>[...]</w:t>
      </w:r>
      <w:r w:rsidRPr="00D86945">
        <w:rPr>
          <w:rFonts w:ascii="Verdana" w:hAnsi="Verdana"/>
          <w:sz w:val="20"/>
          <w:szCs w:val="20"/>
        </w:rPr>
        <w:t xml:space="preserve">. </w:t>
      </w:r>
    </w:p>
    <w:p w14:paraId="6A47950B" w14:textId="1CE40BD2" w:rsidR="00987FF9" w:rsidRPr="00D86945" w:rsidRDefault="00987FF9" w:rsidP="004F4FE7">
      <w:pPr>
        <w:spacing w:before="120" w:after="120" w:line="240" w:lineRule="auto"/>
        <w:ind w:right="49"/>
        <w:jc w:val="both"/>
        <w:rPr>
          <w:rFonts w:ascii="Verdana" w:hAnsi="Verdana"/>
          <w:sz w:val="20"/>
          <w:szCs w:val="20"/>
        </w:rPr>
      </w:pPr>
      <w:r w:rsidRPr="00D86945">
        <w:rPr>
          <w:rFonts w:ascii="Verdana" w:hAnsi="Verdana"/>
          <w:sz w:val="20"/>
          <w:szCs w:val="20"/>
        </w:rPr>
        <w:t>67.</w:t>
      </w:r>
      <w:r w:rsidRPr="00D86945">
        <w:rPr>
          <w:rFonts w:ascii="Verdana" w:hAnsi="Verdana"/>
          <w:sz w:val="20"/>
          <w:szCs w:val="20"/>
        </w:rPr>
        <w:tab/>
        <w:t>En razón de lo anterior y teniendo en cuenta las manifestaciones formuladas por el Estado acerca de la deficiente regulación penal de esta materia, la Corte considera que la tipificación penal correspondiente contraviene los artículos 9 y 13.1 de la Convención, en relación con los artículos 1.1 y 2 de la misma.</w:t>
      </w:r>
    </w:p>
    <w:p w14:paraId="5A93DB95" w14:textId="18F91840" w:rsidR="00987FF9" w:rsidRPr="00D86945" w:rsidRDefault="00987FF9" w:rsidP="004F4FE7">
      <w:pPr>
        <w:spacing w:before="120" w:after="120" w:line="240" w:lineRule="auto"/>
        <w:ind w:right="49"/>
        <w:jc w:val="both"/>
        <w:rPr>
          <w:rFonts w:ascii="Verdana" w:hAnsi="Verdana"/>
          <w:sz w:val="20"/>
          <w:szCs w:val="20"/>
        </w:rPr>
      </w:pPr>
      <w:r w:rsidRPr="00D86945">
        <w:rPr>
          <w:rFonts w:ascii="Verdana" w:hAnsi="Verdana"/>
          <w:sz w:val="20"/>
          <w:szCs w:val="20"/>
        </w:rPr>
        <w:lastRenderedPageBreak/>
        <w:t>77.</w:t>
      </w:r>
      <w:r w:rsidRPr="00D86945">
        <w:rPr>
          <w:rFonts w:ascii="Verdana" w:hAnsi="Verdana"/>
          <w:sz w:val="20"/>
          <w:szCs w:val="20"/>
        </w:rPr>
        <w:tab/>
        <w:t xml:space="preserve">Tomando en cuenta las consideraciones formuladas hasta ahora sobre la protección debida de la libertad de expresión, la razonable conciliación de las exigencias de tutela de aquel derecho, por una parte, y de la honra por la otra, y el principio de mínima intervención penal característico de una sociedad democrática, el empleo de la vía penal debe corresponder a la necesidad de tutelar bienes jurídicos fundamentales frente a conductas que impliquen graves lesiones a dichos bienes, y guarden relación con la magnitud del daño inferido. La tipificación penal de una conducta debe ser clara y precisa, como lo ha determinado la jurisprudencia de este Tribunal en el examen del artículo 9 de la Convención Americana. </w:t>
      </w:r>
    </w:p>
    <w:p w14:paraId="00D07A41" w14:textId="043D3CB7" w:rsidR="00987FF9" w:rsidRPr="00D86945" w:rsidRDefault="00987FF9" w:rsidP="004F4FE7">
      <w:pPr>
        <w:spacing w:line="240" w:lineRule="auto"/>
        <w:ind w:right="49"/>
        <w:jc w:val="both"/>
        <w:rPr>
          <w:rFonts w:ascii="Verdana" w:hAnsi="Verdana"/>
          <w:sz w:val="20"/>
          <w:szCs w:val="20"/>
        </w:rPr>
      </w:pPr>
      <w:r w:rsidRPr="00D86945">
        <w:rPr>
          <w:rFonts w:ascii="Verdana" w:hAnsi="Verdana"/>
          <w:b/>
          <w:sz w:val="20"/>
          <w:szCs w:val="20"/>
        </w:rPr>
        <w:t xml:space="preserve">Corte IDH. Caso </w:t>
      </w:r>
      <w:proofErr w:type="spellStart"/>
      <w:r w:rsidRPr="00D86945">
        <w:rPr>
          <w:rFonts w:ascii="Verdana" w:hAnsi="Verdana"/>
          <w:b/>
          <w:sz w:val="20"/>
          <w:szCs w:val="20"/>
        </w:rPr>
        <w:t>Usón</w:t>
      </w:r>
      <w:proofErr w:type="spellEnd"/>
      <w:r w:rsidRPr="00D86945">
        <w:rPr>
          <w:rFonts w:ascii="Verdana" w:hAnsi="Verdana"/>
          <w:b/>
          <w:sz w:val="20"/>
          <w:szCs w:val="20"/>
        </w:rPr>
        <w:t xml:space="preserve"> Ramírez Vs. Venezuela. Excepción Preliminar, Fondo, Reparaciones y Costas. Sentencia de 20 de noviembre de 2009. Serie C No. 207</w:t>
      </w:r>
      <w:r w:rsidRPr="00D86945">
        <w:rPr>
          <w:rFonts w:ascii="Verdana" w:hAnsi="Verdana"/>
          <w:sz w:val="20"/>
          <w:szCs w:val="20"/>
        </w:rPr>
        <w:t>.</w:t>
      </w:r>
    </w:p>
    <w:p w14:paraId="2660EFA7" w14:textId="252E14C7"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56.</w:t>
      </w:r>
      <w:r w:rsidRPr="00D86945">
        <w:rPr>
          <w:rFonts w:ascii="Verdana" w:hAnsi="Verdana"/>
          <w:sz w:val="20"/>
          <w:szCs w:val="20"/>
        </w:rPr>
        <w:tab/>
        <w:t>En el presente caso, la Corte observa que el tipo penal del artículo 505 del Código Orgánico de Justicia Militar no establece los elementos que constituyen la injuria, ofensa o menosprecio, ni especifica si es relevante que el sujeto activo impute o no hechos que atenten al honor o si una mera opinión ofensiva o menospreciante, sin imputación de hechos ilícitos, por ejemplo, basta para la imputación del delito. Es decir, dicho artículo responde a una descripción que es vaga y ambigua y que no delimita claramente cuál es el ámbito típico de la conducta delictiva, lo cual podría llevar a interpretaciones amplias que permitirían que determinadas conductas sean penalizadas indebidamente a través del tipo penal de injuria</w:t>
      </w:r>
      <w:r w:rsidR="00215583">
        <w:rPr>
          <w:rFonts w:ascii="Verdana" w:hAnsi="Verdana"/>
          <w:sz w:val="20"/>
          <w:szCs w:val="20"/>
        </w:rPr>
        <w:t>.</w:t>
      </w:r>
      <w:r w:rsidRPr="00D86945">
        <w:rPr>
          <w:rFonts w:ascii="Verdana" w:hAnsi="Verdana"/>
          <w:sz w:val="20"/>
          <w:szCs w:val="20"/>
        </w:rPr>
        <w:t xml:space="preserve"> La ambigüedad en la formulación de este tipo penal genera dudas y abre el campo al arbitrio de la autoridad, particularmente indeseable cuando se trata de establecer la responsabilidad penal de los individuos y sancionar su conducta con penas que afectan severamente bienes fundamentales, como la libertad. Además, dicho artículo se limita a prever la pena a imponerse, sin tomar en cuenta el dolo específico de causar descrédito, lesionar la buena fama o el prestigio, o inferir perjuicio al sujeto pasivo. Al no especificar el dolo requerido, dicha ley permite que la subjetividad del ofendido determine la existencia de un delito, aún cuando el sujeto activo no hubiera tenido la voluntad de injuriar, ofender o menospreciar al sujeto pasivo. Esta afirmación adquiere mayor contundencia cuando, de acuerdo a lo expuesto por el propio perito propuesto por el Estado en la audiencia pública del presente caso, en Venezuela “[n]o existe una definición legal de lo que es honor militar”.</w:t>
      </w:r>
    </w:p>
    <w:p w14:paraId="6378057C" w14:textId="386EC251"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57.</w:t>
      </w:r>
      <w:r w:rsidRPr="00D86945">
        <w:rPr>
          <w:rFonts w:ascii="Verdana" w:hAnsi="Verdana"/>
          <w:sz w:val="20"/>
          <w:szCs w:val="20"/>
        </w:rPr>
        <w:tab/>
        <w:t xml:space="preserve">De lo anterior se desprende que el artículo 505 del Código Orgánico de Justicia Militar no delimita estrictamente los elementos de la conducta delictuosa, ni considera la existencia del dolo, resultando así en una tipificación vaga y ambigua en su formulación como para responder a las exigencias de legalidad contenidas en el artículo 9 de la Convención y a aquéllas establecidas en el artículo 13.2 del mismo instrumento para efectos de la imposición de responsabilidades ulteriores. </w:t>
      </w:r>
    </w:p>
    <w:p w14:paraId="0FEC71A8" w14:textId="0C217BC4"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58.</w:t>
      </w:r>
      <w:r w:rsidRPr="00D86945">
        <w:rPr>
          <w:rFonts w:ascii="Verdana" w:hAnsi="Verdana"/>
          <w:sz w:val="20"/>
          <w:szCs w:val="20"/>
        </w:rPr>
        <w:tab/>
        <w:t>En razón de lo anterior, la Corte considera que la tipificación penal correspondiente al artículo 505 del Código Orgánico de Justicia Militar contraviene los artículos 9, 13.1 y 13.2 de la Convención, en relación con los artículos 1.1 y 2 de la misma.</w:t>
      </w:r>
    </w:p>
    <w:p w14:paraId="54429E76" w14:textId="7B95B59D" w:rsidR="00987FF9" w:rsidRPr="00D86945" w:rsidRDefault="00987FF9" w:rsidP="004F4FE7">
      <w:pPr>
        <w:spacing w:line="240" w:lineRule="auto"/>
        <w:ind w:right="49"/>
        <w:jc w:val="both"/>
        <w:rPr>
          <w:rFonts w:ascii="Verdana" w:hAnsi="Verdana"/>
          <w:b/>
          <w:bCs/>
          <w:sz w:val="20"/>
          <w:szCs w:val="20"/>
          <w:lang w:val="es-CL"/>
        </w:rPr>
      </w:pPr>
      <w:r w:rsidRPr="00D86945">
        <w:rPr>
          <w:rFonts w:ascii="Verdana" w:hAnsi="Verdana"/>
          <w:b/>
          <w:bCs/>
          <w:sz w:val="20"/>
          <w:szCs w:val="20"/>
        </w:rPr>
        <w:t xml:space="preserve">Corte IDH. Caso </w:t>
      </w:r>
      <w:proofErr w:type="spellStart"/>
      <w:r w:rsidRPr="00D86945">
        <w:rPr>
          <w:rFonts w:ascii="Verdana" w:hAnsi="Verdana"/>
          <w:b/>
          <w:bCs/>
          <w:sz w:val="20"/>
          <w:szCs w:val="20"/>
        </w:rPr>
        <w:t>Fontevecchia</w:t>
      </w:r>
      <w:proofErr w:type="spellEnd"/>
      <w:r w:rsidRPr="00D86945">
        <w:rPr>
          <w:rFonts w:ascii="Verdana" w:hAnsi="Verdana"/>
          <w:b/>
          <w:bCs/>
          <w:sz w:val="20"/>
          <w:szCs w:val="20"/>
        </w:rPr>
        <w:t xml:space="preserve"> y </w:t>
      </w:r>
      <w:proofErr w:type="spellStart"/>
      <w:r w:rsidRPr="00D86945">
        <w:rPr>
          <w:rFonts w:ascii="Verdana" w:hAnsi="Verdana"/>
          <w:b/>
          <w:bCs/>
          <w:sz w:val="20"/>
          <w:szCs w:val="20"/>
        </w:rPr>
        <w:t>D`Amico</w:t>
      </w:r>
      <w:proofErr w:type="spellEnd"/>
      <w:r w:rsidRPr="00D86945">
        <w:rPr>
          <w:rFonts w:ascii="Verdana" w:hAnsi="Verdana"/>
          <w:b/>
          <w:bCs/>
          <w:sz w:val="20"/>
          <w:szCs w:val="20"/>
        </w:rPr>
        <w:t xml:space="preserve"> Vs. Argentina. Fondo, Reparaciones y Costas. Sentencia de 29 de noviembre de 2011. Serie C No. 238.</w:t>
      </w:r>
      <w:r w:rsidRPr="00D86945">
        <w:rPr>
          <w:rStyle w:val="Refdenotaalpie"/>
          <w:rFonts w:ascii="Verdana" w:hAnsi="Verdana"/>
          <w:b/>
          <w:bCs/>
          <w:sz w:val="20"/>
          <w:szCs w:val="20"/>
        </w:rPr>
        <w:footnoteReference w:id="27"/>
      </w:r>
    </w:p>
    <w:p w14:paraId="35B45782" w14:textId="0C2669D8"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lastRenderedPageBreak/>
        <w:t>52.</w:t>
      </w:r>
      <w:r w:rsidRPr="00D86945">
        <w:rPr>
          <w:rFonts w:ascii="Verdana" w:hAnsi="Verdana"/>
          <w:sz w:val="20"/>
          <w:szCs w:val="20"/>
        </w:rPr>
        <w:tab/>
        <w:t xml:space="preserve">El derecho a la intimidad por cuya violación fueron condenadas civilmente las presuntas víctimas estaba previsto en el artículo 1071 bis del Código Civil, el cual es una ley en sentido formal y material. En cuanto a lo alegado por los representantes, que la norma cuestionada no satisface el requisito de ley material </w:t>
      </w:r>
      <w:r w:rsidR="005E0C2B">
        <w:rPr>
          <w:rFonts w:ascii="Verdana" w:hAnsi="Verdana"/>
          <w:sz w:val="20"/>
          <w:szCs w:val="20"/>
        </w:rPr>
        <w:t>[...]</w:t>
      </w:r>
      <w:r w:rsidRPr="00D86945">
        <w:rPr>
          <w:rFonts w:ascii="Verdana" w:hAnsi="Verdana"/>
          <w:sz w:val="20"/>
          <w:szCs w:val="20"/>
        </w:rPr>
        <w:t xml:space="preserve">, la Corte considera que si bien es una disposición que, efectivamente, está redactada en términos generales, ello no es suficiente para privarla de su carácter de ley material </w:t>
      </w:r>
      <w:r w:rsidR="005E0C2B">
        <w:rPr>
          <w:rFonts w:ascii="Verdana" w:hAnsi="Verdana"/>
          <w:sz w:val="20"/>
          <w:szCs w:val="20"/>
        </w:rPr>
        <w:t>[...]</w:t>
      </w:r>
      <w:r w:rsidRPr="00D86945">
        <w:rPr>
          <w:rFonts w:ascii="Verdana" w:hAnsi="Verdana"/>
          <w:sz w:val="20"/>
          <w:szCs w:val="20"/>
        </w:rPr>
        <w:t>.</w:t>
      </w:r>
    </w:p>
    <w:p w14:paraId="7B1FC3C2" w14:textId="6B749A6D"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89.</w:t>
      </w:r>
      <w:r w:rsidRPr="00D86945">
        <w:rPr>
          <w:rFonts w:ascii="Verdana" w:hAnsi="Verdana"/>
          <w:sz w:val="20"/>
          <w:szCs w:val="20"/>
        </w:rPr>
        <w:tab/>
        <w:t>La Corte recuerda que es la ley la que debe establecer las restricciones a la libertad de expresión y solamente para lograr los fines que la propia Convención señala. La definición legal debe ser necesariamente expresa y taxativa</w:t>
      </w:r>
      <w:r w:rsidR="00215583">
        <w:rPr>
          <w:rFonts w:ascii="Verdana" w:hAnsi="Verdana"/>
          <w:sz w:val="20"/>
          <w:szCs w:val="20"/>
        </w:rPr>
        <w:t>.</w:t>
      </w:r>
      <w:r w:rsidRPr="00D86945">
        <w:rPr>
          <w:rFonts w:ascii="Verdana" w:hAnsi="Verdana"/>
          <w:sz w:val="20"/>
          <w:szCs w:val="20"/>
        </w:rPr>
        <w:t xml:space="preserve"> No obstante, el grado de precisión requerido a la legislación interna depende considerablemente de la materia. La precisión de una norma civil puede ser diferente a la requerida por el principio de legalidad en materia penal, por la naturaleza de los conflictos que la primera está destinada a resolver. No puede exigirse que la norma civil, al contrario de lo que usualmente ocurre con las normas penales, prevea con extrema precisión los supuestos de hecho que puedan presentarse; ello impediría que la norma civil resolviera una innumerable cantidad de conflictos que la realidad ofrece en forma permanente y que resulta de imposible previsión para el legislador.</w:t>
      </w:r>
    </w:p>
    <w:p w14:paraId="6391A52B" w14:textId="49D59BF2"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90.</w:t>
      </w:r>
      <w:r w:rsidRPr="00D86945">
        <w:rPr>
          <w:rFonts w:ascii="Verdana" w:hAnsi="Verdana"/>
          <w:sz w:val="20"/>
          <w:szCs w:val="20"/>
        </w:rPr>
        <w:tab/>
        <w:t>La Corte considera que la ley debe estar formulada con precisión suficiente para permitir a las personas regular su conducta, de manera de ser capaces de prever con un grado que sea razonable, de acuerdo a las circunstancias, las consecuencias que una acción determinada puede conllevar. Como ha sido señalado, si bien la certeza en la ley es altamente deseable, ello puede traer una rigidez excesiva. Por otra parte, la ley debe ser capaz de mantenerse vigente a pesar de las circunstancias cambiantes. En consecuencia, muchas leyes están formuladas en términos que, en mayor o menor medida, son vagos y cuya interpretación y aplicación son cuestiones de práctica.</w:t>
      </w:r>
      <w:r w:rsidR="00D35646" w:rsidRPr="00D86945">
        <w:rPr>
          <w:rFonts w:ascii="Verdana" w:hAnsi="Verdana"/>
          <w:sz w:val="20"/>
          <w:szCs w:val="20"/>
        </w:rPr>
        <w:t xml:space="preserve">  </w:t>
      </w:r>
    </w:p>
    <w:p w14:paraId="278A5908" w14:textId="6A531619"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91.</w:t>
      </w:r>
      <w:r w:rsidRPr="00D86945">
        <w:rPr>
          <w:rFonts w:ascii="Verdana" w:hAnsi="Verdana"/>
          <w:sz w:val="20"/>
          <w:szCs w:val="20"/>
        </w:rPr>
        <w:tab/>
        <w:t xml:space="preserve">La Corte determinó que la violación del artículo 13 de la Convención Americana resultó de la decisión de la Corte Suprema que confirmó la condena civil impuesta por un tribunal de alzada. De tal modo la medida de responsabilidad ulterior impuesta resultó innecesaria en una sociedad democrática e incompatible con aquel tratado </w:t>
      </w:r>
      <w:r w:rsidR="005E0C2B">
        <w:rPr>
          <w:rFonts w:ascii="Verdana" w:hAnsi="Verdana"/>
          <w:sz w:val="20"/>
          <w:szCs w:val="20"/>
        </w:rPr>
        <w:t>[...]</w:t>
      </w:r>
      <w:r w:rsidRPr="00D86945">
        <w:rPr>
          <w:rFonts w:ascii="Verdana" w:hAnsi="Verdana"/>
          <w:sz w:val="20"/>
          <w:szCs w:val="20"/>
        </w:rPr>
        <w:t>. En el presente caso no fue la norma en sí misma la que determinó el resultado lesivo e incompatible con la Convención Americana, sino su aplicación en el caso concreto por las autoridades judiciales del Estado, la cual no observó los criterios de necesidad mencionados.</w:t>
      </w:r>
      <w:r w:rsidR="00D35646" w:rsidRPr="00D86945">
        <w:rPr>
          <w:rFonts w:ascii="Verdana" w:hAnsi="Verdana"/>
          <w:sz w:val="20"/>
          <w:szCs w:val="20"/>
        </w:rPr>
        <w:t xml:space="preserve">  </w:t>
      </w:r>
    </w:p>
    <w:p w14:paraId="01863EFC" w14:textId="77777777"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92.</w:t>
      </w:r>
      <w:r w:rsidRPr="00D86945">
        <w:rPr>
          <w:rFonts w:ascii="Verdana" w:hAnsi="Verdana"/>
          <w:sz w:val="20"/>
          <w:szCs w:val="20"/>
        </w:rPr>
        <w:tab/>
        <w:t>Si bien los argumentos de los representantes y las consideraciones de los peritos sobre la eventualidad que, con base a la norma cuestionada, se arriben a decisiones contrarias al derecho a la libre expresión resultan atendibles, la Corte considera que, en general, aquella disposición, en grado suficiente, permite a las personas regular sus conductas y prever razonablemente las consecuencias de su infracción. De tal modo que su aplicación resulte conforme a la Convención dependerá de su interpretación judicial en el caso concreto.</w:t>
      </w:r>
    </w:p>
    <w:p w14:paraId="72C0FF3A" w14:textId="0E31E4AB" w:rsidR="00987FF9" w:rsidRPr="00D86945" w:rsidRDefault="00987FF9" w:rsidP="004F4FE7">
      <w:pPr>
        <w:spacing w:line="240" w:lineRule="auto"/>
        <w:ind w:right="49"/>
        <w:jc w:val="both"/>
        <w:rPr>
          <w:rFonts w:ascii="Verdana" w:hAnsi="Verdana"/>
          <w:b/>
          <w:sz w:val="20"/>
          <w:szCs w:val="20"/>
          <w:lang w:val="es-MX"/>
        </w:rPr>
      </w:pPr>
      <w:r w:rsidRPr="00D86945">
        <w:rPr>
          <w:rFonts w:ascii="Verdana" w:hAnsi="Verdana"/>
          <w:b/>
          <w:sz w:val="20"/>
          <w:szCs w:val="20"/>
          <w:lang w:val="es-MX"/>
        </w:rPr>
        <w:t>Corte IDH. Caso Mémoli Vs. Argentina. Excepciones Preliminares, Fondo, Reparaciones y Costas. Sentencia de 22 de agosto de 2013. Serie C No. 265</w:t>
      </w:r>
      <w:r w:rsidR="00731231">
        <w:rPr>
          <w:rFonts w:ascii="Verdana" w:hAnsi="Verdana"/>
          <w:b/>
          <w:sz w:val="20"/>
          <w:szCs w:val="20"/>
          <w:lang w:val="es-MX"/>
        </w:rPr>
        <w:t>.</w:t>
      </w:r>
    </w:p>
    <w:p w14:paraId="576C59E1" w14:textId="261BCC8F"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131.</w:t>
      </w:r>
      <w:r w:rsidRPr="00D86945">
        <w:rPr>
          <w:rFonts w:ascii="Verdana" w:hAnsi="Verdana"/>
          <w:sz w:val="20"/>
          <w:szCs w:val="20"/>
        </w:rPr>
        <w:tab/>
        <w:t xml:space="preserve">La Corte recuerda que los señores Carlos y Pablo </w:t>
      </w:r>
      <w:proofErr w:type="spellStart"/>
      <w:r w:rsidRPr="00D86945">
        <w:rPr>
          <w:rFonts w:ascii="Verdana" w:hAnsi="Verdana"/>
          <w:sz w:val="20"/>
          <w:szCs w:val="20"/>
        </w:rPr>
        <w:t>Mémoli</w:t>
      </w:r>
      <w:proofErr w:type="spellEnd"/>
      <w:r w:rsidRPr="00D86945">
        <w:rPr>
          <w:rFonts w:ascii="Verdana" w:hAnsi="Verdana"/>
          <w:sz w:val="20"/>
          <w:szCs w:val="20"/>
        </w:rPr>
        <w:t xml:space="preserve"> fueron condenados penalmente a uno y cinco meses de prisión en suspenso, respectivamente, por el delito de injurias, en virtud de expresiones contenidas en siete intervenciones que, tanto el Juzgado de primera instancia como la Sala de segunda instancia, </w:t>
      </w:r>
      <w:r w:rsidRPr="00D86945">
        <w:rPr>
          <w:rFonts w:ascii="Verdana" w:hAnsi="Verdana"/>
          <w:sz w:val="20"/>
          <w:szCs w:val="20"/>
        </w:rPr>
        <w:lastRenderedPageBreak/>
        <w:t xml:space="preserve">consideraron que deshonraban o desacreditaban el honor o la reputación de los querellantes. Al mismo tiempo,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fueron absueltos por el delito de injurias por las otras intervenciones por las cuales fueron denunciados, así como por el delito de calumnias por todas las intervenciones por las cuales fueron procesados penalmente </w:t>
      </w:r>
      <w:r w:rsidR="005E0C2B">
        <w:rPr>
          <w:rFonts w:ascii="Verdana" w:hAnsi="Verdana"/>
          <w:sz w:val="20"/>
          <w:szCs w:val="20"/>
        </w:rPr>
        <w:t>[...]</w:t>
      </w:r>
      <w:r w:rsidRPr="00D86945">
        <w:rPr>
          <w:rFonts w:ascii="Verdana" w:hAnsi="Verdana"/>
          <w:sz w:val="20"/>
          <w:szCs w:val="20"/>
        </w:rPr>
        <w:t>.</w:t>
      </w:r>
    </w:p>
    <w:p w14:paraId="35DF4049" w14:textId="26B9775D"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132.</w:t>
      </w:r>
      <w:r w:rsidRPr="00D86945">
        <w:rPr>
          <w:rFonts w:ascii="Verdana" w:hAnsi="Verdana"/>
          <w:sz w:val="20"/>
          <w:szCs w:val="20"/>
        </w:rPr>
        <w:tab/>
        <w:t xml:space="preserve">Respecto al primer requisito del artículo 13.2 de la Convención (previsto en la ley), la Corte observa que en el presente caso,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fueron condenados por el entonces vigente delito de injurias, tipificado en el artículo 110 del Código Penal de la Nación. Dicha norma establecía que “[e]l que deshonrare o desacreditare a otro, será reprimido con multa de pesos mil quinientos a pesos noventa mil o prisión de un mes a un año”</w:t>
      </w:r>
      <w:r w:rsidR="00215583">
        <w:rPr>
          <w:rFonts w:ascii="Verdana" w:hAnsi="Verdana"/>
          <w:sz w:val="20"/>
          <w:szCs w:val="20"/>
        </w:rPr>
        <w:t>.</w:t>
      </w:r>
      <w:r w:rsidR="00D35646" w:rsidRPr="00D86945">
        <w:rPr>
          <w:rFonts w:ascii="Verdana" w:hAnsi="Verdana"/>
          <w:sz w:val="20"/>
          <w:szCs w:val="20"/>
        </w:rPr>
        <w:t xml:space="preserve"> </w:t>
      </w:r>
      <w:r w:rsidRPr="00D86945">
        <w:rPr>
          <w:rFonts w:ascii="Verdana" w:hAnsi="Verdana"/>
          <w:sz w:val="20"/>
          <w:szCs w:val="20"/>
        </w:rPr>
        <w:t xml:space="preserve"> </w:t>
      </w:r>
    </w:p>
    <w:p w14:paraId="670E4503" w14:textId="30E321B7"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133.</w:t>
      </w:r>
      <w:r w:rsidRPr="00D86945">
        <w:rPr>
          <w:rFonts w:ascii="Verdana" w:hAnsi="Verdana"/>
          <w:sz w:val="20"/>
          <w:szCs w:val="20"/>
        </w:rPr>
        <w:tab/>
        <w:t xml:space="preserve">La Corte advierte que, contrario a lo alegado por la Comisión, en el caso Kimel este Tribunal no consideró incompatible con la Convención Americana los delitos de injuria y calumnia en sentido general. Como se ha reiterado en jurisprudencia constante de la Corte, no se estima contraria a la Convención una medida penal a propósito de la expresión de informaciones u opiniones </w:t>
      </w:r>
      <w:r w:rsidR="005E0C2B">
        <w:rPr>
          <w:rFonts w:ascii="Verdana" w:hAnsi="Verdana"/>
          <w:sz w:val="20"/>
          <w:szCs w:val="20"/>
        </w:rPr>
        <w:t>[...]</w:t>
      </w:r>
      <w:r w:rsidRPr="00D86945">
        <w:rPr>
          <w:rFonts w:ascii="Verdana" w:hAnsi="Verdana"/>
          <w:sz w:val="20"/>
          <w:szCs w:val="20"/>
        </w:rPr>
        <w:t>. En el caso Kimel la Corte se pronunció específicamente en relación a los entonces vigentes artículos 109 y 110 del Código Penal estableciendo que no cumplían con los estándares de estricta legalidad exigibles en materia penal</w:t>
      </w:r>
      <w:r w:rsidR="00D35646" w:rsidRPr="00D86945">
        <w:rPr>
          <w:rFonts w:ascii="Verdana" w:hAnsi="Verdana"/>
          <w:sz w:val="20"/>
          <w:szCs w:val="20"/>
        </w:rPr>
        <w:t xml:space="preserve"> </w:t>
      </w:r>
      <w:r w:rsidRPr="00D86945">
        <w:rPr>
          <w:rFonts w:ascii="Verdana" w:hAnsi="Verdana"/>
          <w:sz w:val="20"/>
          <w:szCs w:val="20"/>
        </w:rPr>
        <w:t>por “la falta de precisiones suficientes en el marco de la normativa penal que sanciona las calumnias y las injurias” que, por lo demás, había sido reconocida por el propio Estado</w:t>
      </w:r>
      <w:r w:rsidR="00215583">
        <w:rPr>
          <w:rFonts w:ascii="Verdana" w:hAnsi="Verdana"/>
          <w:sz w:val="20"/>
          <w:szCs w:val="20"/>
        </w:rPr>
        <w:t>.</w:t>
      </w:r>
      <w:r w:rsidRPr="00D86945">
        <w:rPr>
          <w:rFonts w:ascii="Verdana" w:hAnsi="Verdana"/>
          <w:sz w:val="20"/>
          <w:szCs w:val="20"/>
        </w:rPr>
        <w:t xml:space="preserve"> Sobre esa base es que la Corte Interamericana dispuso, específicamente, que se corrigieran tales “imprecisiones”</w:t>
      </w:r>
      <w:r w:rsidR="00215583">
        <w:rPr>
          <w:rFonts w:ascii="Verdana" w:hAnsi="Verdana"/>
          <w:sz w:val="20"/>
          <w:szCs w:val="20"/>
        </w:rPr>
        <w:t>.</w:t>
      </w:r>
      <w:r w:rsidRPr="00D86945">
        <w:rPr>
          <w:rFonts w:ascii="Verdana" w:hAnsi="Verdana"/>
          <w:sz w:val="20"/>
          <w:szCs w:val="20"/>
        </w:rPr>
        <w:t xml:space="preserve"> Cuando Argentina corrigió las referidas imprecisiones, a través de la Ley 26.551 de noviembre de 2009, modificando las tipificaciones existentes dentro del mismo Código Penal, la Corte Interamericana estableció que el Estado había dado cumplimiento total a su obligación de adecuar su derecho interno a la Convención Americana</w:t>
      </w:r>
      <w:r w:rsidR="00215583">
        <w:rPr>
          <w:rFonts w:ascii="Verdana" w:hAnsi="Verdana"/>
          <w:sz w:val="20"/>
          <w:szCs w:val="20"/>
        </w:rPr>
        <w:t>.</w:t>
      </w:r>
    </w:p>
    <w:p w14:paraId="716E152F" w14:textId="1FE25FBA"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134.</w:t>
      </w:r>
      <w:r w:rsidRPr="00D86945">
        <w:rPr>
          <w:rFonts w:ascii="Verdana" w:hAnsi="Verdana"/>
          <w:sz w:val="20"/>
          <w:szCs w:val="20"/>
        </w:rPr>
        <w:tab/>
        <w:t xml:space="preserve">De acuerdo a lo que obra en autos, este Tribunal constata que las condenas impuestas a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se hicieron con fundamento en una norma prevista en el ordenamiento jurídico argentino destinada a proteger una finalidad legítima y compatible con la Convención, como lo es la protección de la honra y la reputación de otras personas </w:t>
      </w:r>
      <w:r w:rsidR="005E0C2B">
        <w:rPr>
          <w:rFonts w:ascii="Verdana" w:hAnsi="Verdana"/>
          <w:sz w:val="20"/>
          <w:szCs w:val="20"/>
        </w:rPr>
        <w:t>[...]</w:t>
      </w:r>
      <w:r w:rsidRPr="00D86945">
        <w:rPr>
          <w:rFonts w:ascii="Verdana" w:hAnsi="Verdana"/>
          <w:sz w:val="20"/>
          <w:szCs w:val="20"/>
        </w:rPr>
        <w:t>. Las consideraciones de la Corte sobre la legalidad material de la norma que tipificaba la injuria en el ordenamiento jurídico argentino, realizadas en el caso Kimel, no son aplicables al presente caso por diferencia en la naturaleza fáctica y jurídica del caso.</w:t>
      </w:r>
      <w:r w:rsidR="00D35646" w:rsidRPr="00D86945">
        <w:rPr>
          <w:rFonts w:ascii="Verdana" w:hAnsi="Verdana"/>
          <w:sz w:val="20"/>
          <w:szCs w:val="20"/>
        </w:rPr>
        <w:t xml:space="preserve"> </w:t>
      </w:r>
    </w:p>
    <w:p w14:paraId="6B713794" w14:textId="6ACEAEDB"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136.</w:t>
      </w:r>
      <w:r w:rsidRPr="00D86945">
        <w:rPr>
          <w:rFonts w:ascii="Verdana" w:hAnsi="Verdana"/>
          <w:sz w:val="20"/>
          <w:szCs w:val="20"/>
        </w:rPr>
        <w:tab/>
        <w:t xml:space="preserve">En dicho caso, la Corte concluyó que la regulación penal sobre injurias y calumnias había resultado deficiente pues las mencionadas “imprecisiones” no permitían determinar con exactitud cuáles eran las conductas prohibidas en las expresiones analíticas por las cuales se había sido denunciado el señor Kimel o los hechos suficientemente previsibles por los que las críticas del señor Kimel se podían considerar punibles o ilícitas. Para ilustrar el efecto que dichas “imprecisiones” tuvieron en la libertad de expresión del señor Kimel, la Corte resaltó que en dicho caso la víctima había sido condenada en primera instancia por injurias, absuelta en segunda instancia y condenada en casación por el delito de calumnia. </w:t>
      </w:r>
    </w:p>
    <w:p w14:paraId="16C68CD4" w14:textId="2288A3F0"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137.</w:t>
      </w:r>
      <w:r w:rsidRPr="00D86945">
        <w:rPr>
          <w:rFonts w:ascii="Verdana" w:hAnsi="Verdana"/>
          <w:sz w:val="20"/>
          <w:szCs w:val="20"/>
        </w:rPr>
        <w:tab/>
        <w:t xml:space="preserve">En el presente caso no se presenta una situación similar a la del caso Kimel ya que era suficientemente previsible que ciertas expresiones y calificaciones utilizadas por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(en las que acusan a los querellantes como posibles autores o encubridores del delito de estafa, los califican como “delincuentes”, “inescrupulosos”, “corruptos” o que “se manejan con tretas y manganetas”, entre otras) podrían dar lugar a una acción judicial por alegada afectación al honor o la reputación de los querellantes. </w:t>
      </w:r>
    </w:p>
    <w:p w14:paraId="2CB5D499" w14:textId="2B1E20C8" w:rsidR="007D0445" w:rsidRPr="00D86945" w:rsidRDefault="007D0445" w:rsidP="004F4FE7">
      <w:pPr>
        <w:spacing w:line="240" w:lineRule="auto"/>
        <w:ind w:right="49"/>
        <w:jc w:val="both"/>
        <w:rPr>
          <w:rFonts w:ascii="Verdana" w:hAnsi="Verdana"/>
          <w:b/>
          <w:sz w:val="20"/>
          <w:szCs w:val="20"/>
        </w:rPr>
      </w:pPr>
      <w:r w:rsidRPr="00D86945">
        <w:rPr>
          <w:rFonts w:ascii="Verdana" w:hAnsi="Verdana"/>
          <w:b/>
          <w:sz w:val="20"/>
          <w:szCs w:val="20"/>
        </w:rPr>
        <w:lastRenderedPageBreak/>
        <w:t>Corte IDH. Caso Lagos del Campo Vs. Perú. Excepciones Preliminares, Fondo, Reparaciones y Costas. Sentencia de 31 de agosto de 2017. Serie C No. 340</w:t>
      </w:r>
      <w:r w:rsidR="00731231">
        <w:rPr>
          <w:rFonts w:ascii="Verdana" w:hAnsi="Verdana"/>
          <w:b/>
          <w:sz w:val="20"/>
          <w:szCs w:val="20"/>
        </w:rPr>
        <w:t>.</w:t>
      </w:r>
    </w:p>
    <w:p w14:paraId="2A6ECA99" w14:textId="0CFB3AE1" w:rsidR="007D0445" w:rsidRPr="00D86945" w:rsidRDefault="007D0445" w:rsidP="004F4FE7">
      <w:pPr>
        <w:spacing w:line="240" w:lineRule="auto"/>
        <w:ind w:right="49"/>
        <w:jc w:val="both"/>
        <w:rPr>
          <w:rFonts w:ascii="Verdana" w:hAnsi="Verdana"/>
          <w:sz w:val="20"/>
          <w:szCs w:val="20"/>
        </w:rPr>
      </w:pPr>
      <w:r w:rsidRPr="00D86945">
        <w:rPr>
          <w:rFonts w:ascii="Verdana" w:hAnsi="Verdana"/>
          <w:sz w:val="20"/>
          <w:szCs w:val="20"/>
        </w:rPr>
        <w:t>119.</w:t>
      </w:r>
      <w:r w:rsidRPr="00D86945">
        <w:rPr>
          <w:rFonts w:ascii="Verdana" w:hAnsi="Verdana"/>
          <w:sz w:val="20"/>
          <w:szCs w:val="20"/>
        </w:rPr>
        <w:tab/>
        <w:t>De conformidad con el artículo 13.2, a fin de evaluar si una restricción a un derecho establecido en la Convención Americana es permitida a la luz de dicho tratado consiste en examinar si la medida limitativa cumple con el requisito de legalidad. Ello significa que las condiciones y circunstancias generales que autorizan las restricciones a un derecho humano deben estar claramente establecidas en la ley, entendida esta tanto en su sentido formal como material</w:t>
      </w:r>
      <w:r w:rsidR="00215583">
        <w:rPr>
          <w:rFonts w:ascii="Verdana" w:hAnsi="Verdana"/>
          <w:sz w:val="20"/>
          <w:szCs w:val="20"/>
        </w:rPr>
        <w:t>.</w:t>
      </w:r>
      <w:r w:rsidRPr="00D86945">
        <w:rPr>
          <w:rFonts w:ascii="Verdana" w:hAnsi="Verdana"/>
          <w:sz w:val="20"/>
          <w:szCs w:val="20"/>
        </w:rPr>
        <w:t xml:space="preserve"> </w:t>
      </w:r>
    </w:p>
    <w:p w14:paraId="14E81266" w14:textId="5261BC12" w:rsidR="007D0445" w:rsidRPr="00D86945" w:rsidRDefault="007D0445" w:rsidP="004F4FE7">
      <w:pPr>
        <w:spacing w:line="240" w:lineRule="auto"/>
        <w:ind w:right="49"/>
        <w:jc w:val="both"/>
        <w:rPr>
          <w:rFonts w:ascii="Verdana" w:hAnsi="Verdana"/>
          <w:sz w:val="20"/>
          <w:szCs w:val="20"/>
        </w:rPr>
      </w:pPr>
      <w:r w:rsidRPr="00D86945">
        <w:rPr>
          <w:rFonts w:ascii="Verdana" w:hAnsi="Verdana"/>
          <w:sz w:val="20"/>
          <w:szCs w:val="20"/>
        </w:rPr>
        <w:t>120.</w:t>
      </w:r>
      <w:r w:rsidRPr="00D86945">
        <w:rPr>
          <w:rFonts w:ascii="Verdana" w:hAnsi="Verdana"/>
          <w:sz w:val="20"/>
          <w:szCs w:val="20"/>
        </w:rPr>
        <w:tab/>
        <w:t>En materia de limitaciones de orden penal, este Tribunal ha establecido que es preciso observar los estrictos requerimientos característicos de la tipificación penal para satisfacer el principio de legalidad</w:t>
      </w:r>
      <w:r w:rsidR="00215583">
        <w:rPr>
          <w:rFonts w:ascii="Verdana" w:hAnsi="Verdana"/>
          <w:sz w:val="20"/>
          <w:szCs w:val="20"/>
        </w:rPr>
        <w:t>.</w:t>
      </w:r>
      <w:r w:rsidRPr="00D86945">
        <w:rPr>
          <w:rFonts w:ascii="Verdana" w:hAnsi="Verdana"/>
          <w:sz w:val="20"/>
          <w:szCs w:val="20"/>
        </w:rPr>
        <w:t xml:space="preserve"> Sin embargo, la Corte advierte que la norma aplicada como fundamento para el despido del señor Lagos del Campo no era de naturaleza penal, sino laboral, y por lo tanto considera que el cumplimiento del requisito de legalidad no es susceptible de una evaluación análoga a la realizada en casos que involucren la afectación de bienes protegidos por el orden penal. Lo anterior puesto que, tal y como lo ha sostenido este Tribunal al evaluar el cumplimiento del requisito de legalidad en casos que no involucran cuestiones penales, “el grado de precisión requerido a la legislación interna depende considerablemente de la materia”. De esta forma, no es exigible un nivel homogéneo de precisión para todas las normas de un ordenamiento jurídico que prevean restricciones a un derecho protegido por la Convención, pues:</w:t>
      </w:r>
    </w:p>
    <w:p w14:paraId="48E364B3" w14:textId="447C4881" w:rsidR="007D0445" w:rsidRPr="00D86945" w:rsidRDefault="007D0445" w:rsidP="004F4FE7">
      <w:pPr>
        <w:spacing w:line="240" w:lineRule="auto"/>
        <w:ind w:left="1416" w:right="49"/>
        <w:jc w:val="both"/>
        <w:rPr>
          <w:rFonts w:ascii="Verdana" w:hAnsi="Verdana"/>
          <w:sz w:val="18"/>
          <w:szCs w:val="18"/>
        </w:rPr>
      </w:pPr>
      <w:r w:rsidRPr="00D86945">
        <w:rPr>
          <w:rFonts w:ascii="Verdana" w:hAnsi="Verdana"/>
          <w:sz w:val="18"/>
          <w:szCs w:val="18"/>
        </w:rPr>
        <w:t>[L]a ley debe estar formulada con precisión suficiente para permitir a las personas regular su conducta, de manera de ser capaces de prever con un grado que sea razonable, de acuerdo a las circunstancias, las consecuencias que una acción determinada puede conllevar. Como ha sido señalado, si bien la certeza en la ley es altamente deseable, ello puede traer una rigidez excesiva. Por otra parte, la ley debe ser capaz de mantenerse vigente a pesar de las circunstancias cambiantes. En consecuencia, muchas leyes están formuladas en términos que, en mayor o menor medida, son vagos y cuya interpretación y aplicación son cuestiones de práctica.</w:t>
      </w:r>
    </w:p>
    <w:p w14:paraId="13775695" w14:textId="53F9040C" w:rsidR="007D0445" w:rsidRPr="00D86945" w:rsidRDefault="007D0445" w:rsidP="004F4FE7">
      <w:pPr>
        <w:spacing w:line="240" w:lineRule="auto"/>
        <w:ind w:right="49"/>
        <w:jc w:val="both"/>
        <w:rPr>
          <w:rFonts w:ascii="Verdana" w:hAnsi="Verdana"/>
          <w:sz w:val="20"/>
          <w:szCs w:val="20"/>
        </w:rPr>
      </w:pPr>
      <w:r w:rsidRPr="00D86945">
        <w:rPr>
          <w:rFonts w:ascii="Verdana" w:hAnsi="Verdana"/>
          <w:sz w:val="20"/>
          <w:szCs w:val="20"/>
        </w:rPr>
        <w:t>121.</w:t>
      </w:r>
      <w:r w:rsidRPr="00D86945">
        <w:rPr>
          <w:rFonts w:ascii="Verdana" w:hAnsi="Verdana"/>
          <w:sz w:val="20"/>
          <w:szCs w:val="20"/>
        </w:rPr>
        <w:tab/>
        <w:t>Por otro lado, la Corte constata que la norma bajo análisis estaba destinada a proteger un fin legítimo y compatible con la Convención, como lo es la protección de la honra y la dignidad de los empleadores y de otros trabajadores que laboraran en la empresa o en el centro de trabajo. En este sentido, esta Corte considera que el hecho de que el inciso h) del artículo 5 de la Ley 24514 no previera expresamente una delimitación a su aplicación para proteger discursos de interés público, o aquellos discursos pronunciados por representantes de trabajadores en ejercicio de sus funciones, no resulta per se incompatible con la Convención. Lo anterior, debido a que el Estado no está obligado a determinar de manera taxativa en la ley aquellos discursos que requieren una protección especial, sino que serán las autoridades encargadas de su aplicación las que deberán velar por la protección a otros derechos que se encuentren en juego, en atención a los fines legítimos que persigue la norma, mediante un adecuado control de legalidad.</w:t>
      </w:r>
    </w:p>
    <w:p w14:paraId="06A4894F" w14:textId="0BDBF53D" w:rsidR="00987FF9" w:rsidRPr="00D86945" w:rsidRDefault="007D0445" w:rsidP="004F4FE7">
      <w:pPr>
        <w:spacing w:line="240" w:lineRule="auto"/>
        <w:ind w:right="49"/>
        <w:jc w:val="both"/>
        <w:rPr>
          <w:rFonts w:ascii="Verdana" w:hAnsi="Verdana"/>
          <w:sz w:val="20"/>
          <w:szCs w:val="20"/>
        </w:rPr>
      </w:pPr>
      <w:r w:rsidRPr="00D86945">
        <w:rPr>
          <w:rFonts w:ascii="Verdana" w:hAnsi="Verdana"/>
          <w:sz w:val="20"/>
          <w:szCs w:val="20"/>
        </w:rPr>
        <w:t>122.</w:t>
      </w:r>
      <w:r w:rsidRPr="00D86945">
        <w:rPr>
          <w:rFonts w:ascii="Verdana" w:hAnsi="Verdana"/>
          <w:sz w:val="20"/>
          <w:szCs w:val="20"/>
        </w:rPr>
        <w:tab/>
        <w:t>En relación con lo anterior, la Corte recuerda que, en virtud del artículo 2 de la Convención, los Estados tienen el deber de desarrollar prácticas conducentes a la efectiva observancia de los derechos protegidos por la Convención, pues la existencia de una norma no garantiza por si misma su aplicación adecuada. Por esta razón, la Corte ha sostenido que es menester que la aplicación de las normas o su interpretación, en tanto prácticas jurisdiccionales y manifestación del orden público estatal, se encuentren ajustadas al mismo fin que persigue el artículo 2 de la Convención</w:t>
      </w:r>
      <w:r w:rsidR="00215583">
        <w:rPr>
          <w:rFonts w:ascii="Verdana" w:hAnsi="Verdana"/>
          <w:sz w:val="20"/>
          <w:szCs w:val="20"/>
        </w:rPr>
        <w:t>.</w:t>
      </w:r>
      <w:r w:rsidRPr="00D86945">
        <w:rPr>
          <w:rFonts w:ascii="Verdana" w:hAnsi="Verdana"/>
          <w:sz w:val="20"/>
          <w:szCs w:val="20"/>
        </w:rPr>
        <w:t xml:space="preserve"> En consecuencia, aun cuando la Corte encuentra que el inciso h) del artículo 5 de la Ley 24514 no era per se una norma que contraviniera el artículo 13.2 de la Convención Americana, esto no eximía a las autoridades de que la aplicación </w:t>
      </w:r>
      <w:r w:rsidRPr="00D86945">
        <w:rPr>
          <w:rFonts w:ascii="Verdana" w:hAnsi="Verdana"/>
          <w:sz w:val="20"/>
          <w:szCs w:val="20"/>
        </w:rPr>
        <w:lastRenderedPageBreak/>
        <w:t xml:space="preserve">de dicha norma fuera realizada con la debida consideración a los demás derechos constitucionales y convencionales de los trabajadores y de sus representantes </w:t>
      </w:r>
      <w:r w:rsidR="005E0C2B">
        <w:rPr>
          <w:rFonts w:ascii="Verdana" w:hAnsi="Verdana"/>
          <w:sz w:val="20"/>
          <w:szCs w:val="20"/>
        </w:rPr>
        <w:t>[...]</w:t>
      </w:r>
      <w:r w:rsidRPr="00D86945">
        <w:rPr>
          <w:rFonts w:ascii="Verdana" w:hAnsi="Verdana"/>
          <w:sz w:val="20"/>
          <w:szCs w:val="20"/>
        </w:rPr>
        <w:t>.</w:t>
      </w:r>
    </w:p>
    <w:p w14:paraId="6C03E465" w14:textId="2315415C" w:rsidR="00987FF9" w:rsidRPr="00D86945" w:rsidRDefault="00215583" w:rsidP="00215583">
      <w:pPr>
        <w:pStyle w:val="Ttulo4"/>
      </w:pPr>
      <w:r>
        <w:t>III</w:t>
      </w:r>
      <w:r w:rsidR="00904DBE" w:rsidRPr="00D86945">
        <w:t>)</w:t>
      </w:r>
      <w:r w:rsidR="00D35646" w:rsidRPr="00D86945">
        <w:t xml:space="preserve"> </w:t>
      </w:r>
      <w:r w:rsidR="00987FF9" w:rsidRPr="00D86945">
        <w:t xml:space="preserve">Objetivos permitidos </w:t>
      </w:r>
    </w:p>
    <w:p w14:paraId="7EA275EB" w14:textId="77777777" w:rsidR="00987FF9" w:rsidRPr="00D86945" w:rsidRDefault="00987FF9" w:rsidP="004F4FE7">
      <w:pPr>
        <w:pStyle w:val="Prrafodelista"/>
        <w:spacing w:line="240" w:lineRule="auto"/>
        <w:ind w:left="357" w:right="51"/>
        <w:jc w:val="both"/>
        <w:rPr>
          <w:rFonts w:ascii="Verdana" w:hAnsi="Verdana" w:cs="Times New Roman"/>
          <w:b/>
          <w:sz w:val="20"/>
          <w:szCs w:val="20"/>
          <w:lang w:val="es-ES"/>
        </w:rPr>
      </w:pPr>
    </w:p>
    <w:p w14:paraId="6C38E9EC" w14:textId="1E98B0FF" w:rsidR="00987FF9" w:rsidRPr="00D86945" w:rsidRDefault="00BF3BF6" w:rsidP="00215583">
      <w:pPr>
        <w:pStyle w:val="Ttulo4"/>
        <w:rPr>
          <w:lang w:val="es-ES"/>
        </w:rPr>
      </w:pPr>
      <w:r>
        <w:rPr>
          <w:lang w:val="es-ES"/>
        </w:rPr>
        <w:t>Derechos de los demás</w:t>
      </w:r>
    </w:p>
    <w:p w14:paraId="7CC938FE" w14:textId="0AF2B238"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b/>
          <w:sz w:val="20"/>
          <w:szCs w:val="20"/>
        </w:rPr>
        <w:t xml:space="preserve">Corte IDH. Caso Ricardo </w:t>
      </w:r>
      <w:proofErr w:type="spellStart"/>
      <w:r w:rsidRPr="00D86945">
        <w:rPr>
          <w:rFonts w:ascii="Verdana" w:hAnsi="Verdana" w:cs="Times New Roman"/>
          <w:b/>
          <w:sz w:val="20"/>
          <w:szCs w:val="20"/>
        </w:rPr>
        <w:t>Canese</w:t>
      </w:r>
      <w:proofErr w:type="spellEnd"/>
      <w:r w:rsidRPr="00D86945">
        <w:rPr>
          <w:rFonts w:ascii="Verdana" w:hAnsi="Verdana" w:cs="Times New Roman"/>
          <w:b/>
          <w:sz w:val="20"/>
          <w:szCs w:val="20"/>
        </w:rPr>
        <w:t xml:space="preserve"> Vs. Paraguay. Fondo, Reparaciones y Costas. Sentencia de 31 de agosto de 2004. Serie C No. 111</w:t>
      </w:r>
      <w:r w:rsidRPr="00D86945">
        <w:rPr>
          <w:rFonts w:ascii="Verdana" w:hAnsi="Verdana" w:cs="Times New Roman"/>
          <w:sz w:val="20"/>
          <w:szCs w:val="20"/>
        </w:rPr>
        <w:t>.</w:t>
      </w:r>
    </w:p>
    <w:p w14:paraId="49CDF1FC" w14:textId="13BEEAF4" w:rsidR="00987FF9" w:rsidRPr="00D86945" w:rsidRDefault="00987FF9" w:rsidP="004F4FE7">
      <w:pPr>
        <w:spacing w:line="240" w:lineRule="auto"/>
        <w:ind w:right="49"/>
        <w:jc w:val="both"/>
        <w:rPr>
          <w:rFonts w:ascii="Verdana" w:hAnsi="Verdana" w:cs="Times New Roman"/>
          <w:sz w:val="18"/>
          <w:szCs w:val="18"/>
        </w:rPr>
      </w:pPr>
      <w:r w:rsidRPr="00D86945">
        <w:rPr>
          <w:rFonts w:ascii="Verdana" w:hAnsi="Verdana" w:cs="Times New Roman"/>
          <w:sz w:val="20"/>
          <w:szCs w:val="20"/>
        </w:rPr>
        <w:t>101.</w:t>
      </w:r>
      <w:r w:rsidRPr="00D86945">
        <w:rPr>
          <w:rFonts w:ascii="Verdana" w:hAnsi="Verdana" w:cs="Times New Roman"/>
          <w:sz w:val="20"/>
          <w:szCs w:val="20"/>
        </w:rPr>
        <w:tab/>
        <w:t>El artículo 11 de la Convención establece que toda persona tiene derecho al respeto de su honra y al reconocimiento de su dignidad, por lo que este derecho implica un límite a la expresión, ataques o injerencias de los particulares y del Estado.</w:t>
      </w:r>
      <w:r w:rsidR="00D35646" w:rsidRPr="00D86945">
        <w:rPr>
          <w:rFonts w:ascii="Verdana" w:hAnsi="Verdana" w:cs="Times New Roman"/>
          <w:sz w:val="20"/>
          <w:szCs w:val="20"/>
        </w:rPr>
        <w:t xml:space="preserve"> </w:t>
      </w:r>
      <w:r w:rsidRPr="00D86945">
        <w:rPr>
          <w:rFonts w:ascii="Verdana" w:hAnsi="Verdana" w:cs="Times New Roman"/>
          <w:sz w:val="20"/>
          <w:szCs w:val="20"/>
        </w:rPr>
        <w:t xml:space="preserve">Por ello, es legítimo que quien se sienta afectado en su honor recurra a los mecanismos judiciales que el Estado disponga para su protección. </w:t>
      </w:r>
      <w:r w:rsidR="00731231">
        <w:rPr>
          <w:rFonts w:ascii="Verdana" w:hAnsi="Verdana" w:cs="Times New Roman"/>
          <w:b/>
          <w:bCs/>
          <w:sz w:val="20"/>
          <w:szCs w:val="20"/>
        </w:rPr>
        <w:t>[</w:t>
      </w:r>
      <w:r w:rsidR="002A5747">
        <w:rPr>
          <w:rFonts w:ascii="Verdana" w:hAnsi="Verdana" w:cs="Times New Roman"/>
          <w:b/>
          <w:sz w:val="18"/>
          <w:szCs w:val="18"/>
        </w:rPr>
        <w:t>En similar sentido, ver entre otros:</w:t>
      </w:r>
      <w:r w:rsidRPr="00D86945">
        <w:rPr>
          <w:rFonts w:ascii="Verdana" w:hAnsi="Verdana" w:cs="Times New Roman"/>
          <w:sz w:val="18"/>
          <w:szCs w:val="18"/>
        </w:rPr>
        <w:t xml:space="preserve"> </w:t>
      </w:r>
      <w:r w:rsidRPr="00D86945">
        <w:rPr>
          <w:rFonts w:ascii="Verdana" w:hAnsi="Verdana" w:cs="Times New Roman"/>
          <w:b/>
          <w:sz w:val="18"/>
          <w:szCs w:val="18"/>
        </w:rPr>
        <w:t>Caso Kimel Vs. Argentina. Fondo, Reparaciones y Costas. Sentencia de 2 de mayo de 2008. Serie C No. 177, párr.55;</w:t>
      </w:r>
      <w:r w:rsidRPr="00D86945">
        <w:rPr>
          <w:rFonts w:ascii="Verdana" w:hAnsi="Verdana" w:cs="Times New Roman"/>
          <w:sz w:val="18"/>
          <w:szCs w:val="18"/>
        </w:rPr>
        <w:t xml:space="preserve"> </w:t>
      </w:r>
      <w:r w:rsidRPr="00D86945">
        <w:rPr>
          <w:rFonts w:ascii="Verdana" w:hAnsi="Verdana" w:cs="Times New Roman"/>
          <w:b/>
          <w:sz w:val="18"/>
          <w:szCs w:val="18"/>
        </w:rPr>
        <w:t xml:space="preserve">Caso Tristán Donoso Vs. Panamá. Excepción Preliminar, Fondo, Reparaciones y Costas. Sentencia de 27 de enero de 2009. Serie C No. 193, párr.111; </w:t>
      </w:r>
      <w:r w:rsidR="00731231">
        <w:rPr>
          <w:rFonts w:ascii="Verdana" w:hAnsi="Verdana" w:cs="Times New Roman"/>
          <w:b/>
          <w:sz w:val="18"/>
          <w:szCs w:val="18"/>
        </w:rPr>
        <w:t xml:space="preserve">y </w:t>
      </w:r>
      <w:r w:rsidRPr="00D86945">
        <w:rPr>
          <w:rFonts w:ascii="Verdana" w:hAnsi="Verdana" w:cs="Times New Roman"/>
          <w:b/>
          <w:sz w:val="18"/>
          <w:szCs w:val="18"/>
        </w:rPr>
        <w:t xml:space="preserve">Caso </w:t>
      </w:r>
      <w:proofErr w:type="spellStart"/>
      <w:r w:rsidRPr="00D86945">
        <w:rPr>
          <w:rFonts w:ascii="Verdana" w:hAnsi="Verdana" w:cs="Times New Roman"/>
          <w:b/>
          <w:sz w:val="18"/>
          <w:szCs w:val="18"/>
        </w:rPr>
        <w:t>Usón</w:t>
      </w:r>
      <w:proofErr w:type="spellEnd"/>
      <w:r w:rsidRPr="00D86945">
        <w:rPr>
          <w:rFonts w:ascii="Verdana" w:hAnsi="Verdana" w:cs="Times New Roman"/>
          <w:b/>
          <w:sz w:val="18"/>
          <w:szCs w:val="18"/>
        </w:rPr>
        <w:t xml:space="preserve"> Ramírez Vs. Venezuela. Excepción Preliminar, Fondo, Reparaciones y Costas. Sentencia de 20 de noviembre de 2009. Serie C No. 207, párr.46</w:t>
      </w:r>
      <w:r w:rsidR="00731231">
        <w:rPr>
          <w:rFonts w:ascii="Verdana" w:hAnsi="Verdana" w:cs="Times New Roman"/>
          <w:b/>
          <w:sz w:val="18"/>
          <w:szCs w:val="18"/>
        </w:rPr>
        <w:t>]</w:t>
      </w:r>
      <w:r w:rsidRPr="00D86945">
        <w:rPr>
          <w:rFonts w:ascii="Verdana" w:hAnsi="Verdana" w:cs="Times New Roman"/>
          <w:b/>
          <w:sz w:val="18"/>
          <w:szCs w:val="18"/>
        </w:rPr>
        <w:t>.</w:t>
      </w:r>
    </w:p>
    <w:p w14:paraId="04451E87" w14:textId="77777777"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t>Corte IDH. Caso Kimel Vs. Argentina. Fondo, Reparaciones y Costas. Sentencia de 2 de mayo de 2008. Serie C No. 177.</w:t>
      </w:r>
    </w:p>
    <w:p w14:paraId="6AB0E06E" w14:textId="59881299" w:rsidR="00987FF9" w:rsidRPr="00D86945" w:rsidRDefault="00987FF9" w:rsidP="004F4FE7">
      <w:pPr>
        <w:spacing w:before="120" w:after="120" w:line="240" w:lineRule="auto"/>
        <w:ind w:right="49"/>
        <w:jc w:val="both"/>
        <w:rPr>
          <w:rFonts w:ascii="Verdana" w:hAnsi="Verdana"/>
          <w:sz w:val="18"/>
          <w:szCs w:val="18"/>
        </w:rPr>
      </w:pPr>
      <w:r w:rsidRPr="00D86945">
        <w:rPr>
          <w:rFonts w:ascii="Verdana" w:hAnsi="Verdana"/>
          <w:sz w:val="20"/>
          <w:szCs w:val="20"/>
        </w:rPr>
        <w:t>51.</w:t>
      </w:r>
      <w:r w:rsidRPr="00D86945">
        <w:rPr>
          <w:rFonts w:ascii="Verdana" w:hAnsi="Verdana"/>
          <w:sz w:val="20"/>
          <w:szCs w:val="20"/>
        </w:rPr>
        <w:tab/>
        <w:t xml:space="preserve">En torno a estos hechos las partes presentaron diversos alegatos en los que subyace un conflicto entre el derecho a la libertad de expresión en temas de interés público y la protección de la honra de los funcionarios públicos. La Corte reconoce que tanto la libertad de expresión como el derecho a la honra, acogidos por la Convención, revisten suma importancia. Es necesario garantizar el ejercicio de ambos. En este sentido, la prevalencia de alguno en determinado caso dependerá de la ponderación que se haga a través de un juicio de proporcionalidad. La solución del conflicto que se presenta entre ciertos derechos requiere el examen de cada caso, conforme a sus características y circunstancias, para apreciar la existencia e intensidad de los elementos en que se sustenta dicho juicio. </w:t>
      </w:r>
      <w:r w:rsidR="00731231">
        <w:rPr>
          <w:rFonts w:ascii="Verdana" w:hAnsi="Verdana"/>
          <w:b/>
          <w:bCs/>
          <w:sz w:val="20"/>
          <w:szCs w:val="20"/>
        </w:rPr>
        <w:t>[</w:t>
      </w:r>
      <w:r w:rsidR="002A5747">
        <w:rPr>
          <w:rFonts w:ascii="Verdana" w:hAnsi="Verdana"/>
          <w:b/>
          <w:sz w:val="18"/>
          <w:szCs w:val="18"/>
        </w:rPr>
        <w:t>En similar sentido, ver entre otros:</w:t>
      </w:r>
      <w:r w:rsidRPr="00D86945">
        <w:rPr>
          <w:rFonts w:ascii="Verdana" w:hAnsi="Verdana"/>
          <w:sz w:val="18"/>
          <w:szCs w:val="18"/>
        </w:rPr>
        <w:t xml:space="preserve"> </w:t>
      </w:r>
      <w:r w:rsidRPr="00D86945">
        <w:rPr>
          <w:rFonts w:ascii="Verdana" w:hAnsi="Verdana"/>
          <w:b/>
          <w:sz w:val="18"/>
          <w:szCs w:val="18"/>
        </w:rPr>
        <w:t xml:space="preserve">Caso Tristán Donoso Vs. Panamá. Excepción Preliminar, Fondo, Reparaciones y Costas. Sentencia de 27 de enero de 2009. Serie C No. 193, párr.93; </w:t>
      </w:r>
      <w:r w:rsidR="00731231">
        <w:rPr>
          <w:rFonts w:ascii="Verdana" w:hAnsi="Verdana"/>
          <w:b/>
          <w:sz w:val="18"/>
          <w:szCs w:val="18"/>
        </w:rPr>
        <w:t xml:space="preserve">y </w:t>
      </w:r>
      <w:r w:rsidRPr="00D86945">
        <w:rPr>
          <w:rFonts w:ascii="Verdana" w:hAnsi="Verdana"/>
          <w:b/>
          <w:sz w:val="18"/>
          <w:szCs w:val="18"/>
        </w:rPr>
        <w:t xml:space="preserve">Caso </w:t>
      </w:r>
      <w:proofErr w:type="spellStart"/>
      <w:r w:rsidRPr="00D86945">
        <w:rPr>
          <w:rFonts w:ascii="Verdana" w:hAnsi="Verdana"/>
          <w:b/>
          <w:sz w:val="18"/>
          <w:szCs w:val="18"/>
        </w:rPr>
        <w:t>Mémoli</w:t>
      </w:r>
      <w:proofErr w:type="spellEnd"/>
      <w:r w:rsidRPr="00D86945">
        <w:rPr>
          <w:rFonts w:ascii="Verdana" w:hAnsi="Verdana"/>
          <w:b/>
          <w:sz w:val="18"/>
          <w:szCs w:val="18"/>
        </w:rPr>
        <w:t xml:space="preserve"> Vs. Argentina. Excepciones Preliminares, Fondo, Reparaciones y Costas. Sentencia de 22 de agosto de 2013. Serie C No. 265, párr.127</w:t>
      </w:r>
      <w:r w:rsidR="00731231">
        <w:rPr>
          <w:rFonts w:ascii="Verdana" w:hAnsi="Verdana"/>
          <w:b/>
          <w:sz w:val="18"/>
          <w:szCs w:val="18"/>
        </w:rPr>
        <w:t>]</w:t>
      </w:r>
      <w:r w:rsidRPr="00D86945">
        <w:rPr>
          <w:rFonts w:ascii="Verdana" w:hAnsi="Verdana"/>
          <w:b/>
          <w:sz w:val="18"/>
          <w:szCs w:val="18"/>
        </w:rPr>
        <w:t>.</w:t>
      </w:r>
    </w:p>
    <w:p w14:paraId="1E9ECF6E" w14:textId="77777777" w:rsidR="00987FF9" w:rsidRPr="00D86945" w:rsidRDefault="00987FF9" w:rsidP="004F4FE7">
      <w:pPr>
        <w:spacing w:before="120" w:after="120" w:line="240" w:lineRule="auto"/>
        <w:ind w:right="49"/>
        <w:jc w:val="both"/>
        <w:rPr>
          <w:rFonts w:ascii="Verdana" w:hAnsi="Verdana"/>
          <w:sz w:val="20"/>
          <w:szCs w:val="20"/>
        </w:rPr>
      </w:pPr>
      <w:r w:rsidRPr="00D86945">
        <w:rPr>
          <w:rFonts w:ascii="Verdana" w:hAnsi="Verdana"/>
          <w:sz w:val="20"/>
          <w:szCs w:val="20"/>
        </w:rPr>
        <w:t>52.</w:t>
      </w:r>
      <w:r w:rsidRPr="00D86945">
        <w:rPr>
          <w:rFonts w:ascii="Verdana" w:hAnsi="Verdana"/>
          <w:sz w:val="20"/>
          <w:szCs w:val="20"/>
        </w:rPr>
        <w:tab/>
        <w:t xml:space="preserve">La Corte ha precisado las condiciones que se deben cumplir al momento de suspender, limitar o restringir los derechos y libertades consagrados en la Convención. En particular, ha analizado la suspensión de garantías en estados de excepción y las limitaciones a la libertad de expresión, propiedad privada, libertad de locomoción y libertad personal, entre otros. </w:t>
      </w:r>
    </w:p>
    <w:p w14:paraId="30DC08AA" w14:textId="78728F20" w:rsidR="00987FF9" w:rsidRPr="004F4FE7" w:rsidRDefault="00987FF9" w:rsidP="004F4FE7">
      <w:pPr>
        <w:spacing w:line="240" w:lineRule="auto"/>
        <w:ind w:right="49"/>
        <w:jc w:val="both"/>
        <w:rPr>
          <w:rFonts w:ascii="Verdana" w:hAnsi="Verdana"/>
          <w:sz w:val="18"/>
          <w:szCs w:val="18"/>
        </w:rPr>
      </w:pPr>
      <w:r w:rsidRPr="00D86945">
        <w:rPr>
          <w:rFonts w:ascii="Verdana" w:hAnsi="Verdana"/>
          <w:sz w:val="20"/>
          <w:szCs w:val="20"/>
        </w:rPr>
        <w:t>56.</w:t>
      </w:r>
      <w:r w:rsidRPr="00D86945">
        <w:rPr>
          <w:rFonts w:ascii="Verdana" w:hAnsi="Verdana"/>
          <w:sz w:val="20"/>
          <w:szCs w:val="20"/>
        </w:rPr>
        <w:tab/>
        <w:t xml:space="preserve">La necesidad de proteger los derechos a la honra y a la reputación, así como otros derechos que pudieran verse afectados por un ejercicio abusivo de la libertad de expresión, requiere la debida observancia de los límites fijados a este respecto por la propia Convención. Estos deben responder a un criterio de estricta proporcionalidad. </w:t>
      </w:r>
      <w:r w:rsidR="00731231">
        <w:rPr>
          <w:rFonts w:ascii="Verdana" w:hAnsi="Verdana"/>
          <w:b/>
          <w:bCs/>
          <w:sz w:val="20"/>
          <w:szCs w:val="20"/>
        </w:rPr>
        <w:t>[</w:t>
      </w:r>
      <w:r w:rsidR="002A5747">
        <w:rPr>
          <w:rFonts w:ascii="Verdana" w:hAnsi="Verdana"/>
          <w:b/>
          <w:sz w:val="18"/>
          <w:szCs w:val="18"/>
        </w:rPr>
        <w:t>En similar sentido, ver entre otros:</w:t>
      </w:r>
      <w:r w:rsidRPr="004F4FE7">
        <w:rPr>
          <w:rFonts w:ascii="Verdana" w:hAnsi="Verdana"/>
          <w:b/>
          <w:sz w:val="18"/>
          <w:szCs w:val="18"/>
        </w:rPr>
        <w:t xml:space="preserve"> Corte IDH. Caso Tristán Donoso Vs. Panamá. Excepción Preliminar, Fondo, Reparaciones y Costas. Sentencia de 27 de enero de 2009. Serie C No. 193, párr</w:t>
      </w:r>
      <w:r w:rsidRPr="00731231">
        <w:rPr>
          <w:rFonts w:ascii="Verdana" w:hAnsi="Verdana"/>
          <w:b/>
          <w:sz w:val="18"/>
          <w:szCs w:val="18"/>
        </w:rPr>
        <w:t>. 112;</w:t>
      </w:r>
      <w:r w:rsidRPr="004F4FE7">
        <w:rPr>
          <w:rFonts w:ascii="Verdana" w:hAnsi="Verdana"/>
          <w:sz w:val="18"/>
          <w:szCs w:val="18"/>
        </w:rPr>
        <w:t xml:space="preserve"> </w:t>
      </w:r>
      <w:r w:rsidR="00731231">
        <w:rPr>
          <w:rFonts w:ascii="Verdana" w:hAnsi="Verdana"/>
          <w:b/>
          <w:sz w:val="18"/>
          <w:szCs w:val="18"/>
        </w:rPr>
        <w:t xml:space="preserve">y </w:t>
      </w:r>
      <w:r w:rsidRPr="004F4FE7">
        <w:rPr>
          <w:rFonts w:ascii="Verdana" w:hAnsi="Verdana"/>
          <w:b/>
          <w:sz w:val="18"/>
          <w:szCs w:val="18"/>
        </w:rPr>
        <w:t xml:space="preserve">Caso </w:t>
      </w:r>
      <w:proofErr w:type="spellStart"/>
      <w:r w:rsidRPr="004F4FE7">
        <w:rPr>
          <w:rFonts w:ascii="Verdana" w:hAnsi="Verdana"/>
          <w:b/>
          <w:sz w:val="18"/>
          <w:szCs w:val="18"/>
        </w:rPr>
        <w:t>Fontevecchia</w:t>
      </w:r>
      <w:proofErr w:type="spellEnd"/>
      <w:r w:rsidRPr="004F4FE7">
        <w:rPr>
          <w:rFonts w:ascii="Verdana" w:hAnsi="Verdana"/>
          <w:b/>
          <w:sz w:val="18"/>
          <w:szCs w:val="18"/>
        </w:rPr>
        <w:t xml:space="preserve"> y </w:t>
      </w:r>
      <w:proofErr w:type="spellStart"/>
      <w:r w:rsidRPr="004F4FE7">
        <w:rPr>
          <w:rFonts w:ascii="Verdana" w:hAnsi="Verdana"/>
          <w:b/>
          <w:sz w:val="18"/>
          <w:szCs w:val="18"/>
        </w:rPr>
        <w:t>D`Amico</w:t>
      </w:r>
      <w:proofErr w:type="spellEnd"/>
      <w:r w:rsidRPr="004F4FE7">
        <w:rPr>
          <w:rFonts w:ascii="Verdana" w:hAnsi="Verdana"/>
          <w:b/>
          <w:sz w:val="18"/>
          <w:szCs w:val="18"/>
        </w:rPr>
        <w:t xml:space="preserve"> Vs. Argentina. Fondo, Reparaciones y Costas. Sentencia de 29 de noviembre de 2011. Serie C No. 238, párr.50</w:t>
      </w:r>
      <w:r w:rsidR="00731231">
        <w:rPr>
          <w:rFonts w:ascii="Verdana" w:hAnsi="Verdana"/>
          <w:b/>
          <w:sz w:val="18"/>
          <w:szCs w:val="18"/>
        </w:rPr>
        <w:t>]</w:t>
      </w:r>
      <w:r w:rsidRPr="004F4FE7">
        <w:rPr>
          <w:rFonts w:ascii="Verdana" w:hAnsi="Verdana"/>
          <w:b/>
          <w:sz w:val="18"/>
          <w:szCs w:val="18"/>
        </w:rPr>
        <w:t>.</w:t>
      </w:r>
    </w:p>
    <w:p w14:paraId="16C54E1A" w14:textId="67F7C30A" w:rsidR="00987FF9" w:rsidRPr="00D86945" w:rsidRDefault="00987FF9" w:rsidP="004F4FE7">
      <w:pPr>
        <w:spacing w:before="120" w:after="120" w:line="240" w:lineRule="auto"/>
        <w:ind w:right="49"/>
        <w:jc w:val="both"/>
        <w:rPr>
          <w:rFonts w:ascii="Verdana" w:hAnsi="Verdana"/>
          <w:sz w:val="20"/>
          <w:szCs w:val="20"/>
        </w:rPr>
      </w:pPr>
      <w:r w:rsidRPr="00D86945">
        <w:rPr>
          <w:rFonts w:ascii="Verdana" w:hAnsi="Verdana"/>
          <w:sz w:val="20"/>
          <w:szCs w:val="20"/>
        </w:rPr>
        <w:t>71.</w:t>
      </w:r>
      <w:r w:rsidRPr="00D86945">
        <w:rPr>
          <w:rFonts w:ascii="Verdana" w:hAnsi="Verdana"/>
          <w:sz w:val="20"/>
          <w:szCs w:val="20"/>
        </w:rPr>
        <w:tab/>
        <w:t xml:space="preserve">Como quedó establecido en el párrafo 55 supra, los jueces, al igual que cualquier otra persona, están amparados por la protección que les brinda el artículo 11 convencional que consagra el derecho a la honra. Por otra parte, el artículo </w:t>
      </w:r>
      <w:r w:rsidRPr="00D86945">
        <w:rPr>
          <w:rFonts w:ascii="Verdana" w:hAnsi="Verdana"/>
          <w:sz w:val="20"/>
          <w:szCs w:val="20"/>
        </w:rPr>
        <w:lastRenderedPageBreak/>
        <w:t xml:space="preserve">13.2.a) de la Convención establece que la “reputación de los demás” puede ser motivo para fijar responsabilidades ulteriores en el ejercicio de la libertad de expresión. En consecuencia, la protección de la honra y reputación de toda persona es un fin legítimo acorde con la Convención. Asimismo, el instrumento penal es idóneo porque sirve el fin de salvaguardar, a través de la conminación de pena, el bien jurídico que se quiere proteger, es decir, podría estar en capacidad de contribuir a la realización de dicho objetivo. Sin embargo, la Corte advierte que esto no significa que, en la especie que se analiza, la vía penal sea necesaria y proporcional, como se verá </w:t>
      </w:r>
      <w:r w:rsidRPr="00BF3BF6">
        <w:rPr>
          <w:rFonts w:ascii="Verdana" w:hAnsi="Verdana"/>
          <w:i/>
          <w:iCs/>
          <w:sz w:val="20"/>
          <w:szCs w:val="20"/>
        </w:rPr>
        <w:t>infra</w:t>
      </w:r>
      <w:r w:rsidRPr="00D86945">
        <w:rPr>
          <w:rFonts w:ascii="Verdana" w:hAnsi="Verdana"/>
          <w:sz w:val="20"/>
          <w:szCs w:val="20"/>
        </w:rPr>
        <w:t xml:space="preserve">. </w:t>
      </w:r>
      <w:r w:rsidR="00731231">
        <w:rPr>
          <w:rFonts w:ascii="Verdana" w:hAnsi="Verdana"/>
          <w:b/>
          <w:bCs/>
          <w:sz w:val="20"/>
          <w:szCs w:val="20"/>
        </w:rPr>
        <w:t>[</w:t>
      </w:r>
      <w:r w:rsidR="002A5747">
        <w:rPr>
          <w:rFonts w:ascii="Verdana" w:hAnsi="Verdana"/>
          <w:b/>
          <w:sz w:val="18"/>
          <w:szCs w:val="18"/>
        </w:rPr>
        <w:t>En similar sentido, ver entre otros:</w:t>
      </w:r>
      <w:r w:rsidRPr="004F4FE7">
        <w:rPr>
          <w:rFonts w:ascii="Verdana" w:hAnsi="Verdana"/>
          <w:sz w:val="18"/>
          <w:szCs w:val="18"/>
        </w:rPr>
        <w:t xml:space="preserve"> </w:t>
      </w:r>
      <w:r w:rsidRPr="004F4FE7">
        <w:rPr>
          <w:rFonts w:ascii="Verdana" w:hAnsi="Verdana"/>
          <w:b/>
          <w:sz w:val="18"/>
          <w:szCs w:val="18"/>
        </w:rPr>
        <w:t>Caso Tristán Donoso Vs. Panamá. Excepción Preliminar, Fondo, Reparaciones y Costas. Sentencia de 27 de enero de 2009. Serie C No. 193, párr.118</w:t>
      </w:r>
      <w:r w:rsidR="00731231">
        <w:rPr>
          <w:rFonts w:ascii="Verdana" w:hAnsi="Verdana"/>
          <w:b/>
          <w:sz w:val="18"/>
          <w:szCs w:val="18"/>
        </w:rPr>
        <w:t>]</w:t>
      </w:r>
      <w:r w:rsidRPr="004F4FE7">
        <w:rPr>
          <w:rFonts w:ascii="Verdana" w:hAnsi="Verdana"/>
          <w:b/>
          <w:sz w:val="18"/>
          <w:szCs w:val="18"/>
        </w:rPr>
        <w:t>.</w:t>
      </w:r>
    </w:p>
    <w:p w14:paraId="6A72D694" w14:textId="06F1162B" w:rsidR="00987FF9" w:rsidRPr="00D86945" w:rsidRDefault="00987FF9" w:rsidP="004F4FE7">
      <w:pPr>
        <w:spacing w:before="120" w:after="120" w:line="240" w:lineRule="auto"/>
        <w:ind w:right="49"/>
        <w:jc w:val="both"/>
        <w:rPr>
          <w:rFonts w:ascii="Verdana" w:hAnsi="Verdana"/>
          <w:sz w:val="20"/>
          <w:szCs w:val="20"/>
        </w:rPr>
      </w:pPr>
      <w:r w:rsidRPr="00D86945">
        <w:rPr>
          <w:rFonts w:ascii="Verdana" w:hAnsi="Verdana"/>
          <w:sz w:val="20"/>
          <w:szCs w:val="20"/>
        </w:rPr>
        <w:t>75.</w:t>
      </w:r>
      <w:r w:rsidRPr="00D86945">
        <w:rPr>
          <w:rFonts w:ascii="Verdana" w:hAnsi="Verdana"/>
          <w:sz w:val="20"/>
          <w:szCs w:val="20"/>
        </w:rPr>
        <w:tab/>
        <w:t xml:space="preserve">El ejercicio de cada derecho fundamental tiene que hacerse con respeto y salvaguarda de los demás derechos fundamentales. En ese proceso de armonización le cabe un papel medular al Estado buscando establecer las responsabilidades y sanciones que fueren necesarias para obtener tal propósito. Que se haga uso de la vía civil o penal dependerá de las consideraciones que abajo se mencionan. </w:t>
      </w:r>
    </w:p>
    <w:p w14:paraId="53DD47EB" w14:textId="23540328"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t>Corte IDH. Caso Tristán Donoso Vs. Panamá. Excepción Preliminar, Fondo, Reparaciones y Costas. Sentencia de 27 de enero de 2009. Serie C No. 193</w:t>
      </w:r>
      <w:r w:rsidR="00731231">
        <w:rPr>
          <w:rFonts w:ascii="Verdana" w:hAnsi="Verdana"/>
          <w:b/>
          <w:sz w:val="20"/>
          <w:szCs w:val="20"/>
        </w:rPr>
        <w:t>.</w:t>
      </w:r>
    </w:p>
    <w:p w14:paraId="3EC6B725" w14:textId="1F99439D" w:rsidR="00987FF9" w:rsidRPr="004F4FE7" w:rsidRDefault="00987FF9" w:rsidP="004F4FE7">
      <w:pPr>
        <w:spacing w:line="240" w:lineRule="auto"/>
        <w:ind w:right="49"/>
        <w:jc w:val="both"/>
        <w:rPr>
          <w:rFonts w:ascii="Verdana" w:hAnsi="Verdana"/>
          <w:sz w:val="18"/>
          <w:szCs w:val="18"/>
        </w:rPr>
      </w:pPr>
      <w:r w:rsidRPr="00D86945">
        <w:rPr>
          <w:rFonts w:ascii="Verdana" w:hAnsi="Verdana"/>
          <w:sz w:val="20"/>
          <w:szCs w:val="20"/>
        </w:rPr>
        <w:t>112.</w:t>
      </w:r>
      <w:r w:rsidRPr="00D86945">
        <w:rPr>
          <w:rFonts w:ascii="Verdana" w:hAnsi="Verdana"/>
          <w:sz w:val="20"/>
          <w:szCs w:val="20"/>
        </w:rPr>
        <w:tab/>
        <w:t xml:space="preserve">El ejercicio de cada derecho fundamental tiene que hacerse con respeto y salvaguarda de los demás derechos fundamentales. En ese proceso de armonización le cabe un papel medular al Estado buscando establecer las responsabilidades y sanciones que fueren necesarias para obtener tal propósito. La necesidad de proteger los derechos a la honra y a la reputación, así como otros derechos que pudieran verse afectados por un ejercicio abusivo de la libertad de expresión, requiere la debida observancia de los límites fijados a este respecto por la propia Convención. </w:t>
      </w:r>
      <w:r w:rsidR="00731231">
        <w:rPr>
          <w:rFonts w:ascii="Verdana" w:hAnsi="Verdana"/>
          <w:b/>
          <w:bCs/>
          <w:sz w:val="20"/>
          <w:szCs w:val="20"/>
        </w:rPr>
        <w:t>[</w:t>
      </w:r>
      <w:r w:rsidR="002A5747">
        <w:rPr>
          <w:rFonts w:ascii="Verdana" w:hAnsi="Verdana"/>
          <w:b/>
          <w:sz w:val="18"/>
          <w:szCs w:val="18"/>
        </w:rPr>
        <w:t>En similar sentido, ver entre otros:</w:t>
      </w:r>
      <w:r w:rsidRPr="004F4FE7">
        <w:rPr>
          <w:rFonts w:ascii="Verdana" w:hAnsi="Verdana"/>
          <w:sz w:val="18"/>
          <w:szCs w:val="18"/>
        </w:rPr>
        <w:t xml:space="preserve"> </w:t>
      </w:r>
      <w:r w:rsidRPr="004F4FE7">
        <w:rPr>
          <w:rFonts w:ascii="Verdana" w:hAnsi="Verdana"/>
          <w:b/>
          <w:sz w:val="18"/>
          <w:szCs w:val="18"/>
        </w:rPr>
        <w:t xml:space="preserve">Caso </w:t>
      </w:r>
      <w:proofErr w:type="spellStart"/>
      <w:r w:rsidRPr="004F4FE7">
        <w:rPr>
          <w:rFonts w:ascii="Verdana" w:hAnsi="Verdana"/>
          <w:b/>
          <w:sz w:val="18"/>
          <w:szCs w:val="18"/>
        </w:rPr>
        <w:t>Fontevecchia</w:t>
      </w:r>
      <w:proofErr w:type="spellEnd"/>
      <w:r w:rsidRPr="004F4FE7">
        <w:rPr>
          <w:rFonts w:ascii="Verdana" w:hAnsi="Verdana"/>
          <w:b/>
          <w:sz w:val="18"/>
          <w:szCs w:val="18"/>
        </w:rPr>
        <w:t xml:space="preserve"> y </w:t>
      </w:r>
      <w:proofErr w:type="spellStart"/>
      <w:r w:rsidRPr="004F4FE7">
        <w:rPr>
          <w:rFonts w:ascii="Verdana" w:hAnsi="Verdana"/>
          <w:b/>
          <w:sz w:val="18"/>
          <w:szCs w:val="18"/>
        </w:rPr>
        <w:t>D`Amico</w:t>
      </w:r>
      <w:proofErr w:type="spellEnd"/>
      <w:r w:rsidRPr="004F4FE7">
        <w:rPr>
          <w:rFonts w:ascii="Verdana" w:hAnsi="Verdana"/>
          <w:b/>
          <w:sz w:val="18"/>
          <w:szCs w:val="18"/>
        </w:rPr>
        <w:t xml:space="preserve"> Vs. Argentina. Fondo, Reparaciones y Costas. Sentencia de 29 de noviembre de 2011. Serie C No. 238, párr.50</w:t>
      </w:r>
      <w:r w:rsidR="00731231">
        <w:rPr>
          <w:rFonts w:ascii="Verdana" w:hAnsi="Verdana"/>
          <w:b/>
          <w:sz w:val="18"/>
          <w:szCs w:val="18"/>
        </w:rPr>
        <w:t>]</w:t>
      </w:r>
      <w:r w:rsidRPr="004F4FE7">
        <w:rPr>
          <w:rFonts w:ascii="Verdana" w:hAnsi="Verdana"/>
          <w:b/>
          <w:sz w:val="18"/>
          <w:szCs w:val="18"/>
        </w:rPr>
        <w:t>.</w:t>
      </w:r>
    </w:p>
    <w:p w14:paraId="6281D7F3" w14:textId="7C89CA28" w:rsidR="00987FF9" w:rsidRPr="00D86945" w:rsidRDefault="00987FF9" w:rsidP="004F4FE7">
      <w:pPr>
        <w:spacing w:line="240" w:lineRule="auto"/>
        <w:ind w:right="49"/>
        <w:jc w:val="both"/>
        <w:rPr>
          <w:rFonts w:ascii="Verdana" w:hAnsi="Verdana"/>
          <w:sz w:val="20"/>
          <w:szCs w:val="20"/>
        </w:rPr>
      </w:pPr>
      <w:r w:rsidRPr="00D86945">
        <w:rPr>
          <w:rFonts w:ascii="Verdana" w:hAnsi="Verdana"/>
          <w:b/>
          <w:sz w:val="20"/>
          <w:szCs w:val="20"/>
        </w:rPr>
        <w:t xml:space="preserve">Corte IDH. Caso </w:t>
      </w:r>
      <w:proofErr w:type="spellStart"/>
      <w:r w:rsidRPr="00D86945">
        <w:rPr>
          <w:rFonts w:ascii="Verdana" w:hAnsi="Verdana"/>
          <w:b/>
          <w:sz w:val="20"/>
          <w:szCs w:val="20"/>
        </w:rPr>
        <w:t>Usón</w:t>
      </w:r>
      <w:proofErr w:type="spellEnd"/>
      <w:r w:rsidRPr="00D86945">
        <w:rPr>
          <w:rFonts w:ascii="Verdana" w:hAnsi="Verdana"/>
          <w:b/>
          <w:sz w:val="20"/>
          <w:szCs w:val="20"/>
        </w:rPr>
        <w:t xml:space="preserve"> Ramírez Vs. Venezuela. Excepción Preliminar, Fondo, Reparaciones y Costas. Sentencia de 20 de noviembre de 2009. Serie C No. 207</w:t>
      </w:r>
      <w:r w:rsidRPr="00D86945">
        <w:rPr>
          <w:rFonts w:ascii="Verdana" w:hAnsi="Verdana"/>
          <w:sz w:val="20"/>
          <w:szCs w:val="20"/>
        </w:rPr>
        <w:t>.</w:t>
      </w:r>
    </w:p>
    <w:p w14:paraId="2512EFAF" w14:textId="2D3406AA"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62.</w:t>
      </w:r>
      <w:r w:rsidRPr="00D86945">
        <w:rPr>
          <w:rFonts w:ascii="Verdana" w:hAnsi="Verdana"/>
          <w:sz w:val="20"/>
          <w:szCs w:val="20"/>
        </w:rPr>
        <w:tab/>
        <w:t xml:space="preserve">Como se señaló anteriormente </w:t>
      </w:r>
      <w:r w:rsidR="005E0C2B">
        <w:rPr>
          <w:rFonts w:ascii="Verdana" w:hAnsi="Verdana"/>
          <w:sz w:val="20"/>
          <w:szCs w:val="20"/>
        </w:rPr>
        <w:t>[...]</w:t>
      </w:r>
      <w:r w:rsidRPr="00D86945">
        <w:rPr>
          <w:rFonts w:ascii="Verdana" w:hAnsi="Verdana"/>
          <w:sz w:val="20"/>
          <w:szCs w:val="20"/>
        </w:rPr>
        <w:t>, corresponde al Tribunal determinar si la protección de la reputación de las Fuerzas Armadas sirve una finalidad legítima que justifique una restricción de la libertad de expresión y, en su caso, si la sanción penal resulta idónea para lograr la finalidad perseguida.</w:t>
      </w:r>
    </w:p>
    <w:p w14:paraId="4313B319" w14:textId="4250C05F"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63.</w:t>
      </w:r>
      <w:r w:rsidRPr="00D86945">
        <w:rPr>
          <w:rFonts w:ascii="Verdana" w:hAnsi="Verdana"/>
          <w:sz w:val="20"/>
          <w:szCs w:val="20"/>
        </w:rPr>
        <w:tab/>
        <w:t xml:space="preserve">Al respecto, la Corte toma nota que el derecho interno venezolano reconoce que las Fuerzas Armadas, como institución del Estado o persona jurídica, puede estar amparada por la protección del derecho a la honra o reputación. Asimismo, el artículo 13.2.a) de la Convención establece que la “reputación de los demás” puede ser motivo para fijar responsabilidades ulteriores en el ejercicio de la libertad de expresión. Si bien el sujeto del derecho al honor o a la reputación en este caso se trata de las Fuerzas Armadas, no de una persona física, y por ende no está protegido por la Convención, la protección del derecho al honor o a la reputación en sí es considerada en la Convención como una de las finalidades legítimas para justificar una restricción al derecho a la libertad de expresión. En este sentido, el Tribunal reitera que al realizar un análisis sobre la legitimidad del fin señalado en el presente caso (la protección del derecho al honor o reputación de las Fuerzas Armadas), no se pretende determinar si efectivamente las Fuerzas Armadas tienen o no un “derecho” al honor o reputación, sino que se analiza si dicho fin sería legítimo para efectos de la restricción del derecho a la libertad de expresión que la Convención reconoce al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w:t>
      </w:r>
    </w:p>
    <w:p w14:paraId="0537FBE4" w14:textId="2EF0C51E"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lastRenderedPageBreak/>
        <w:t>64.</w:t>
      </w:r>
      <w:r w:rsidRPr="00D86945">
        <w:rPr>
          <w:rFonts w:ascii="Verdana" w:hAnsi="Verdana"/>
          <w:sz w:val="20"/>
          <w:szCs w:val="20"/>
        </w:rPr>
        <w:tab/>
        <w:t xml:space="preserve">Asimismo, el Tribunal observa que la Convención no establece que las únicas restricciones a derechos individuales que pueden ser legítimas son aquellas que pretenden proteger otros derechos individuales. Por el contrario, la Convención también contempla que sean legítimas aquellas restricciones que tengan como finalidad otros motivos no relacionados con el ejercicio de derechos individuales reconocidos en la Convención. </w:t>
      </w:r>
    </w:p>
    <w:p w14:paraId="7819E195" w14:textId="464DF537"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65.</w:t>
      </w:r>
      <w:r w:rsidRPr="00D86945">
        <w:rPr>
          <w:rFonts w:ascii="Verdana" w:hAnsi="Verdana"/>
          <w:sz w:val="20"/>
          <w:szCs w:val="20"/>
        </w:rPr>
        <w:tab/>
        <w:t xml:space="preserve">La Corte Europea de Derechos Humanos ha tenido oportunidad de pronunciarse sobre este tema y ha considerado que la protección del derecho a la reputación de compañías, no sólo de individuos, puede ser un fin legítimo para restringir el derecho a la libertad de expresión. En el </w:t>
      </w:r>
      <w:r w:rsidRPr="00D86945">
        <w:rPr>
          <w:rFonts w:ascii="Verdana" w:hAnsi="Verdana"/>
          <w:i/>
          <w:sz w:val="20"/>
          <w:szCs w:val="20"/>
        </w:rPr>
        <w:t>caso Steel and Morris v. the United Kingdom</w:t>
      </w:r>
      <w:r w:rsidRPr="00D86945">
        <w:rPr>
          <w:rFonts w:ascii="Verdana" w:hAnsi="Verdana"/>
          <w:sz w:val="20"/>
          <w:szCs w:val="20"/>
        </w:rPr>
        <w:t>, por ejemplo, el Tribunal Europeo realizó un análisis con relación a “la necesidad de proteger el derecho a la libertad de expresión de los solicitantes y la necesidad de proteger la reputación y los derechos de [una compañía]”.</w:t>
      </w:r>
      <w:r w:rsidR="00D35646" w:rsidRPr="00D86945">
        <w:rPr>
          <w:rFonts w:ascii="Verdana" w:hAnsi="Verdana"/>
          <w:sz w:val="20"/>
          <w:szCs w:val="20"/>
        </w:rPr>
        <w:t xml:space="preserve"> </w:t>
      </w:r>
      <w:r w:rsidRPr="00D86945">
        <w:rPr>
          <w:rFonts w:ascii="Verdana" w:hAnsi="Verdana"/>
          <w:sz w:val="20"/>
          <w:szCs w:val="20"/>
        </w:rPr>
        <w:t xml:space="preserve">Igualmente, en el </w:t>
      </w:r>
      <w:r w:rsidRPr="00D86945">
        <w:rPr>
          <w:rFonts w:ascii="Verdana" w:hAnsi="Verdana"/>
          <w:i/>
          <w:sz w:val="20"/>
          <w:szCs w:val="20"/>
        </w:rPr>
        <w:t xml:space="preserve">caso </w:t>
      </w:r>
      <w:proofErr w:type="spellStart"/>
      <w:r w:rsidRPr="00D86945">
        <w:rPr>
          <w:rFonts w:ascii="Verdana" w:hAnsi="Verdana"/>
          <w:i/>
          <w:sz w:val="20"/>
          <w:szCs w:val="20"/>
        </w:rPr>
        <w:t>Kuliś</w:t>
      </w:r>
      <w:proofErr w:type="spellEnd"/>
      <w:r w:rsidRPr="00D86945">
        <w:rPr>
          <w:rFonts w:ascii="Verdana" w:hAnsi="Verdana"/>
          <w:i/>
          <w:sz w:val="20"/>
          <w:szCs w:val="20"/>
        </w:rPr>
        <w:t xml:space="preserve"> and </w:t>
      </w:r>
      <w:proofErr w:type="spellStart"/>
      <w:r w:rsidRPr="00D86945">
        <w:rPr>
          <w:rFonts w:ascii="Verdana" w:hAnsi="Verdana"/>
          <w:i/>
          <w:sz w:val="20"/>
          <w:szCs w:val="20"/>
        </w:rPr>
        <w:t>Różycki</w:t>
      </w:r>
      <w:proofErr w:type="spellEnd"/>
      <w:r w:rsidRPr="00D86945">
        <w:rPr>
          <w:rFonts w:ascii="Verdana" w:hAnsi="Verdana"/>
          <w:i/>
          <w:sz w:val="20"/>
          <w:szCs w:val="20"/>
        </w:rPr>
        <w:t xml:space="preserve"> v. </w:t>
      </w:r>
      <w:proofErr w:type="spellStart"/>
      <w:r w:rsidRPr="00D86945">
        <w:rPr>
          <w:rFonts w:ascii="Verdana" w:hAnsi="Verdana"/>
          <w:i/>
          <w:sz w:val="20"/>
          <w:szCs w:val="20"/>
        </w:rPr>
        <w:t>Poland</w:t>
      </w:r>
      <w:proofErr w:type="spellEnd"/>
      <w:r w:rsidRPr="00D86945">
        <w:rPr>
          <w:rFonts w:ascii="Verdana" w:hAnsi="Verdana"/>
          <w:sz w:val="20"/>
          <w:szCs w:val="20"/>
        </w:rPr>
        <w:t xml:space="preserve"> el Tribunal Europeo señaló que la protección del derecho a la reputación de una compañía era un “fin legítimo”, en los términos del artículo 10.2 del Convenio Europeo.</w:t>
      </w:r>
    </w:p>
    <w:p w14:paraId="0ACA87B8" w14:textId="6BCCB412"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66.</w:t>
      </w:r>
      <w:r w:rsidRPr="00D86945">
        <w:rPr>
          <w:rFonts w:ascii="Verdana" w:hAnsi="Verdana"/>
          <w:sz w:val="20"/>
          <w:szCs w:val="20"/>
        </w:rPr>
        <w:tab/>
        <w:t>Por tanto, el Tribunal considera que la finalidad en cuestión en el presente caso es legítima, en tanto pretende proteger un derecho que la normativa interna venezolana reconoce a las Fuerzas Armadas y que en términos generales se encuentra reconocido en la Convención Americana respecto de personas naturales. Sin embargo, resulta pertinente aclarar que la legitimidad del fin es sólo uno de los elementos en el presente análisis de proporcionalidad y no necesariamente hace que la restricción en cuestión haya sido legal (lo cual ya fue analizado por el Tribunal</w:t>
      </w:r>
      <w:r w:rsidR="00215583">
        <w:rPr>
          <w:rFonts w:ascii="Verdana" w:hAnsi="Verdana"/>
          <w:sz w:val="20"/>
          <w:szCs w:val="20"/>
        </w:rPr>
        <w:t>.</w:t>
      </w:r>
      <w:r w:rsidR="00904DBE" w:rsidRPr="00D86945">
        <w:rPr>
          <w:rFonts w:ascii="Verdana" w:hAnsi="Verdana"/>
          <w:sz w:val="20"/>
          <w:szCs w:val="20"/>
        </w:rPr>
        <w:t>..</w:t>
      </w:r>
      <w:r w:rsidRPr="00D86945">
        <w:rPr>
          <w:rFonts w:ascii="Verdana" w:hAnsi="Verdana"/>
          <w:sz w:val="20"/>
          <w:szCs w:val="20"/>
        </w:rPr>
        <w:t xml:space="preserve">), por la vía idónea, necesaria o proporcional (lo cual el Tribunal analizará </w:t>
      </w:r>
      <w:r w:rsidRPr="00D86945">
        <w:rPr>
          <w:rFonts w:ascii="Verdana" w:hAnsi="Verdana"/>
          <w:i/>
          <w:iCs/>
          <w:sz w:val="20"/>
          <w:szCs w:val="20"/>
        </w:rPr>
        <w:t>infra</w:t>
      </w:r>
      <w:r w:rsidRPr="00D86945">
        <w:rPr>
          <w:rFonts w:ascii="Verdana" w:hAnsi="Verdana"/>
          <w:sz w:val="20"/>
          <w:szCs w:val="20"/>
        </w:rPr>
        <w:t xml:space="preserve">, </w:t>
      </w:r>
      <w:proofErr w:type="gramStart"/>
      <w:r w:rsidRPr="00D86945">
        <w:rPr>
          <w:rFonts w:ascii="Verdana" w:hAnsi="Verdana"/>
          <w:sz w:val="20"/>
          <w:szCs w:val="20"/>
        </w:rPr>
        <w:t>párrs.</w:t>
      </w:r>
      <w:r w:rsidR="00215583">
        <w:rPr>
          <w:rFonts w:ascii="Verdana" w:hAnsi="Verdana"/>
          <w:sz w:val="20"/>
          <w:szCs w:val="20"/>
        </w:rPr>
        <w:t>.</w:t>
      </w:r>
      <w:r w:rsidR="00904DBE" w:rsidRPr="00D86945">
        <w:rPr>
          <w:rFonts w:ascii="Verdana" w:hAnsi="Verdana"/>
          <w:sz w:val="20"/>
          <w:szCs w:val="20"/>
        </w:rPr>
        <w:t>..</w:t>
      </w:r>
      <w:proofErr w:type="gramEnd"/>
      <w:r w:rsidRPr="00D86945">
        <w:rPr>
          <w:rFonts w:ascii="Verdana" w:hAnsi="Verdana"/>
          <w:sz w:val="20"/>
          <w:szCs w:val="20"/>
        </w:rPr>
        <w:t>).</w:t>
      </w:r>
    </w:p>
    <w:p w14:paraId="5F8DD4BE" w14:textId="1B1028B0" w:rsidR="00987FF9" w:rsidRPr="00D86945" w:rsidRDefault="00987FF9" w:rsidP="004F4FE7">
      <w:pPr>
        <w:spacing w:line="240" w:lineRule="auto"/>
        <w:ind w:right="49"/>
        <w:jc w:val="both"/>
        <w:rPr>
          <w:rFonts w:ascii="Verdana" w:hAnsi="Verdana"/>
          <w:b/>
          <w:bCs/>
          <w:sz w:val="20"/>
          <w:szCs w:val="20"/>
        </w:rPr>
      </w:pPr>
      <w:r w:rsidRPr="00D86945">
        <w:rPr>
          <w:rFonts w:ascii="Verdana" w:hAnsi="Verdana"/>
          <w:b/>
          <w:bCs/>
          <w:sz w:val="20"/>
          <w:szCs w:val="20"/>
        </w:rPr>
        <w:t xml:space="preserve">Corte IDH. Caso </w:t>
      </w:r>
      <w:proofErr w:type="spellStart"/>
      <w:r w:rsidRPr="00D86945">
        <w:rPr>
          <w:rFonts w:ascii="Verdana" w:hAnsi="Verdana"/>
          <w:b/>
          <w:bCs/>
          <w:sz w:val="20"/>
          <w:szCs w:val="20"/>
        </w:rPr>
        <w:t>Fontevecchia</w:t>
      </w:r>
      <w:proofErr w:type="spellEnd"/>
      <w:r w:rsidRPr="00D86945">
        <w:rPr>
          <w:rFonts w:ascii="Verdana" w:hAnsi="Verdana"/>
          <w:b/>
          <w:bCs/>
          <w:sz w:val="20"/>
          <w:szCs w:val="20"/>
        </w:rPr>
        <w:t xml:space="preserve"> y </w:t>
      </w:r>
      <w:proofErr w:type="spellStart"/>
      <w:r w:rsidRPr="00D86945">
        <w:rPr>
          <w:rFonts w:ascii="Verdana" w:hAnsi="Verdana"/>
          <w:b/>
          <w:bCs/>
          <w:sz w:val="20"/>
          <w:szCs w:val="20"/>
        </w:rPr>
        <w:t>D`Amico</w:t>
      </w:r>
      <w:proofErr w:type="spellEnd"/>
      <w:r w:rsidRPr="00D86945">
        <w:rPr>
          <w:rFonts w:ascii="Verdana" w:hAnsi="Verdana"/>
          <w:b/>
          <w:bCs/>
          <w:sz w:val="20"/>
          <w:szCs w:val="20"/>
        </w:rPr>
        <w:t xml:space="preserve"> Vs. Argentina. Fondo, Reparaciones y Costas. Sentencia de 29 de noviembre de 2011. Serie C No. 238.</w:t>
      </w:r>
    </w:p>
    <w:p w14:paraId="5F276FAA" w14:textId="2CC22C7A"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48.</w:t>
      </w:r>
      <w:r w:rsidRPr="00D86945">
        <w:rPr>
          <w:rFonts w:ascii="Verdana" w:hAnsi="Verdana"/>
          <w:sz w:val="20"/>
          <w:szCs w:val="20"/>
        </w:rPr>
        <w:tab/>
        <w:t>Por su parte, el artículo 11 de la Convención Americana reconoce que toda persona tiene, entre otros, derecho a la vida privada y prohíbe toda injerencia arbitraria o abusiva en ella, enunciando diversos ámbitos de la misma como la vida privada de sus familias, sus domicilios o sus correspondencias. El ámbito de la privacidad se caracteriza por quedar exento e inmune a las invasiones o agresiones abusivas o arbitrarias por parte de terceros o de la autoridad pública y comprende, entre otras dimensiones, tomar decisiones relacionadas con diversas áreas de la propia vida libremente, tener un espacio de tranquilidad personal, mantener reservados ciertos aspectos de la vida privada y controlar la difusión de información personal hacia el público.</w:t>
      </w:r>
    </w:p>
    <w:p w14:paraId="15F8F448" w14:textId="30310DAD"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49.</w:t>
      </w:r>
      <w:r w:rsidRPr="00D86945">
        <w:rPr>
          <w:rFonts w:ascii="Verdana" w:hAnsi="Verdana"/>
          <w:sz w:val="20"/>
          <w:szCs w:val="20"/>
        </w:rPr>
        <w:tab/>
        <w:t xml:space="preserve">El artículo 11.2 de la Convención Americana protege al individuo frente a la posible interferencia arbitraria o abusiva del Estado. Sin embargo, eso no significa que el Estado cumpla sus obligaciones convencionales con el solo hecho de abstenerse de realizar tales interferencias. Además, el artículo 11.3 de la Convención impone a los Estados el deber de brindar la protección de la ley contra aquellas injerencias. En consecuencia, el Estado tiene la obligación de garantizar el derecho a la vida privada mediante acciones positivas, lo cual puede implicar, en ciertos casos, la adopción de medidas dirigidas a asegurar dicho derecho protegiéndolo de las interferencias de las autoridades públicas así como también de las personas o instituciones privadas, incluyendo los medios de comunicación. </w:t>
      </w:r>
    </w:p>
    <w:p w14:paraId="4467B161" w14:textId="64E67904"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53.</w:t>
      </w:r>
      <w:r w:rsidRPr="00D86945">
        <w:rPr>
          <w:rFonts w:ascii="Verdana" w:hAnsi="Verdana"/>
          <w:sz w:val="20"/>
          <w:szCs w:val="20"/>
        </w:rPr>
        <w:tab/>
        <w:t xml:space="preserve">La Corte ha señalado que los funcionarios públicos, al igual que cualquier otra persona, están amparados por la protección que les brinda el artículo 11 convencional que consagra, entre otros, el derecho a la vida privada. Asimismo, el artículo 13.2.a de la Convención establece que “el respeto a los derechos […] de los </w:t>
      </w:r>
      <w:r w:rsidRPr="00D86945">
        <w:rPr>
          <w:rFonts w:ascii="Verdana" w:hAnsi="Verdana"/>
          <w:sz w:val="20"/>
          <w:szCs w:val="20"/>
        </w:rPr>
        <w:lastRenderedPageBreak/>
        <w:t xml:space="preserve">demás” puede ser motivo para fijar responsabilidades ulteriores en el ejercicio de la libertad de expresión. En consecuencia, la protección del derecho a la vida privada de toda persona es un fin legítimo acorde con la Convención. Por otra parte, la vía civil es idónea porque sirve al fin de salvaguardar, a través de medidas de reparación de daños, el bien jurídico que se quiere proteger, es decir, podría estar en capacidad de contribuir a la realización de dicho objetivo. </w:t>
      </w:r>
    </w:p>
    <w:p w14:paraId="610929D4" w14:textId="78BD801E"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64.</w:t>
      </w:r>
      <w:r w:rsidRPr="00D86945">
        <w:rPr>
          <w:rFonts w:ascii="Verdana" w:hAnsi="Verdana"/>
          <w:sz w:val="20"/>
          <w:szCs w:val="20"/>
        </w:rPr>
        <w:tab/>
        <w:t xml:space="preserve">De lo anterior se desprende que, para el momento de la publicación por parte de la revista Noticias, los hechos cuestionados que dieron lugar a la presente controversia relativos a la paternidad no reconocida de un hijo extramatrimonial, habían tenido difusión pública en medios escritos, tanto en Argentina como en el extranjero. Por otro lado, no consta al Tribunal que ante aquellas difusiones públicas previas de la información, el señor Menem se hubiera interesado en disponer medidas de resguardo de su vida privada o en evitar, de cualquier otra manera, la difusión pública que luego objetó respecto de la revista Noticias. </w:t>
      </w:r>
    </w:p>
    <w:p w14:paraId="4FC6FB52" w14:textId="0932960D"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65.</w:t>
      </w:r>
      <w:r w:rsidRPr="00D86945">
        <w:rPr>
          <w:rFonts w:ascii="Verdana" w:hAnsi="Verdana"/>
          <w:sz w:val="20"/>
          <w:szCs w:val="20"/>
        </w:rPr>
        <w:tab/>
        <w:t xml:space="preserve">Adicionalmente, el Tribunal constata que el señor Menem adoptó, con anterioridad a que se realizaran las publicaciones que luego cuestionó, pautas de comportamiento favorables a dar a conocer esas relaciones personales, al compartir actos o situaciones públicas con dichas personas, las cuales aparecen registradas en varias de las fotos que ilustran las notas, e incluso recibiendo al niño y a su madre en un lugar oficial como la Casa de Gobierno </w:t>
      </w:r>
      <w:r w:rsidR="005E0C2B">
        <w:rPr>
          <w:rFonts w:ascii="Verdana" w:hAnsi="Verdana"/>
          <w:sz w:val="20"/>
          <w:szCs w:val="20"/>
        </w:rPr>
        <w:t>[...]</w:t>
      </w:r>
      <w:r w:rsidR="00215583">
        <w:rPr>
          <w:rFonts w:ascii="Verdana" w:hAnsi="Verdana"/>
          <w:sz w:val="20"/>
          <w:szCs w:val="20"/>
        </w:rPr>
        <w:t>.</w:t>
      </w:r>
      <w:r w:rsidRPr="00D86945">
        <w:rPr>
          <w:rFonts w:ascii="Verdana" w:hAnsi="Verdana"/>
          <w:sz w:val="20"/>
          <w:szCs w:val="20"/>
        </w:rPr>
        <w:t xml:space="preserve"> La Corte recuerda que el derecho a la vida privada es disponible para el interesado y, por ello, resulta relevante la conducta desplegada por el mismo. En este caso, su conducta no fue de resguardo de la vida privada en ese aspecto.</w:t>
      </w:r>
    </w:p>
    <w:p w14:paraId="297AAA01" w14:textId="1C4382B6"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67.</w:t>
      </w:r>
      <w:r w:rsidRPr="00D86945">
        <w:rPr>
          <w:rFonts w:ascii="Verdana" w:hAnsi="Verdana"/>
          <w:sz w:val="20"/>
          <w:szCs w:val="20"/>
        </w:rPr>
        <w:tab/>
        <w:t>En relación con las cinco fotografías que ilustran las notas cuestionadas en las cuales aparece el señor Menem con su hijo, la Corte recuerda que la protección que otorga la Convención Americana a la vida privada se extiende a otros ámbitos además de los que específicamente enumera dicha norma</w:t>
      </w:r>
      <w:r w:rsidR="00215583">
        <w:rPr>
          <w:rFonts w:ascii="Verdana" w:hAnsi="Verdana"/>
          <w:sz w:val="20"/>
          <w:szCs w:val="20"/>
        </w:rPr>
        <w:t>.</w:t>
      </w:r>
      <w:r w:rsidRPr="00D86945">
        <w:rPr>
          <w:rFonts w:ascii="Verdana" w:hAnsi="Verdana"/>
          <w:sz w:val="20"/>
          <w:szCs w:val="20"/>
        </w:rPr>
        <w:t xml:space="preserve"> Aunque el derecho a la propia imagen no se encuentra expresamente enunciado en el artículo 11 de la Convención, las imágenes o fotografías personales, evidentemente, están incluidas dentro del ámbito de protección de la vida privada. Asimismo, la fotografía es una forma de expresión que recae en el ámbito de protección del artículo 13 de la Convención</w:t>
      </w:r>
      <w:r w:rsidR="00215583">
        <w:rPr>
          <w:rFonts w:ascii="Verdana" w:hAnsi="Verdana"/>
          <w:sz w:val="20"/>
          <w:szCs w:val="20"/>
        </w:rPr>
        <w:t>.</w:t>
      </w:r>
      <w:r w:rsidRPr="00D86945">
        <w:rPr>
          <w:rFonts w:ascii="Verdana" w:hAnsi="Verdana"/>
          <w:sz w:val="20"/>
          <w:szCs w:val="20"/>
        </w:rPr>
        <w:t xml:space="preserve"> La fotografía no solo tiene el valor de respaldar o dar credibilidad a informaciones brindadas por medio de la escritura, sino que tiene en sí misma un importante contenido y valor expresivo, comunicativo e informativo; de hecho, en algunos casos, las imágenes pueden comunicar o informar con igual o mayor impacto que la palabra escrita. Por ello, su protección cobra importancia en tiempos donde los medios de comunicación audiovisual predominan. Sin embargo, por esa misma razón y por el contenido de información personal e íntima que pueden tener las imágenes, su potencial para afectar la vida privada de una persona es muy alto.</w:t>
      </w:r>
    </w:p>
    <w:p w14:paraId="612607A0" w14:textId="16895553"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69.</w:t>
      </w:r>
      <w:r w:rsidRPr="00D86945">
        <w:rPr>
          <w:rFonts w:ascii="Verdana" w:hAnsi="Verdana"/>
          <w:sz w:val="20"/>
          <w:szCs w:val="20"/>
        </w:rPr>
        <w:tab/>
        <w:t xml:space="preserve">Adicionalmente, el Tribunal considera relevante atender a las circunstancias sobre cómo las fotografías fueron obtenidas. Al respecto, el Estado no objetó ni controvirtió ante esta Corte lo afirmado por la Comisión y los representantes sobre el hecho de que las fotografías fueron tomadas con consentimiento del mandatario </w:t>
      </w:r>
      <w:r w:rsidR="005E0C2B">
        <w:rPr>
          <w:rFonts w:ascii="Verdana" w:hAnsi="Verdana"/>
          <w:sz w:val="20"/>
          <w:szCs w:val="20"/>
        </w:rPr>
        <w:t>[...]</w:t>
      </w:r>
      <w:r w:rsidRPr="00D86945">
        <w:rPr>
          <w:rFonts w:ascii="Verdana" w:hAnsi="Verdana"/>
          <w:sz w:val="20"/>
          <w:szCs w:val="20"/>
        </w:rPr>
        <w:t xml:space="preserve">, ni lo afirmado por el señor </w:t>
      </w:r>
      <w:proofErr w:type="spellStart"/>
      <w:r w:rsidRPr="00D86945">
        <w:rPr>
          <w:rFonts w:ascii="Verdana" w:hAnsi="Verdana"/>
          <w:sz w:val="20"/>
          <w:szCs w:val="20"/>
        </w:rPr>
        <w:t>D’Amico</w:t>
      </w:r>
      <w:proofErr w:type="spellEnd"/>
      <w:r w:rsidRPr="00D86945">
        <w:rPr>
          <w:rFonts w:ascii="Verdana" w:hAnsi="Verdana"/>
          <w:sz w:val="20"/>
          <w:szCs w:val="20"/>
        </w:rPr>
        <w:t xml:space="preserve"> en la audiencia pública del presente caso, en el sentido de que ninguna de las fotografías fue tomada por la revista sino que fueron entregadas a Noticias por la Oficina de Prensa de la Presidencia de la Nación</w:t>
      </w:r>
      <w:r w:rsidR="00215583">
        <w:rPr>
          <w:rFonts w:ascii="Verdana" w:hAnsi="Verdana"/>
          <w:sz w:val="20"/>
          <w:szCs w:val="20"/>
        </w:rPr>
        <w:t>.</w:t>
      </w:r>
      <w:r w:rsidRPr="00D86945">
        <w:rPr>
          <w:rFonts w:ascii="Verdana" w:hAnsi="Verdana"/>
          <w:sz w:val="20"/>
          <w:szCs w:val="20"/>
        </w:rPr>
        <w:t xml:space="preserve"> Con base en lo anterior, el Tribunal no encuentra en el presente caso algún elemento que indique que las fotografías en cuestión fueron obtenidas en un clima de hostigamiento o persecución respecto del señor Menem o de cualquier otro modo que le hubiera generado un fuerte sentimiento de intrusión, tales como el ingreso físico a un lugar restringido o el uso de medios tecnológicos que posibiliten la captación de imágenes a distancia o que hayan sido tomadas de cualquier otra manera subrepticia.</w:t>
      </w:r>
    </w:p>
    <w:p w14:paraId="0AFF6928" w14:textId="77777777"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lastRenderedPageBreak/>
        <w:t>70.</w:t>
      </w:r>
      <w:r w:rsidRPr="00D86945">
        <w:rPr>
          <w:rFonts w:ascii="Verdana" w:hAnsi="Verdana"/>
          <w:sz w:val="20"/>
          <w:szCs w:val="20"/>
        </w:rPr>
        <w:tab/>
        <w:t xml:space="preserve">Por otra parte, si bien la Corte Suprema señaló en su decisión que las publicaciones de las imágenes “no [fueron] autorizadas por el actor en el tiempo y en el contexto en que fueron usadas por el medio de prensa”, este Tribunal considera que no toda publicación de imágenes requiere el consentimiento de la persona retratada. Esto resulta aún más claro cuando las imágenes se refieren a quien desempeña el más alto cargo ejecutivo de un país, dado que no sería razonable exigir que un medio de comunicación deba obtener un consentimiento expreso en cada ocasión que pretenda publicar una imagen del Presidente de la Nación. Por ello, en este caso en particular, la alegada ausencia de autorización del señor Menem tampoco transforma a las imágenes publicadas en violatorias de su privacidad. </w:t>
      </w:r>
    </w:p>
    <w:p w14:paraId="4DBBBC84" w14:textId="43BBF540" w:rsidR="00987FF9" w:rsidRPr="00D86945" w:rsidRDefault="00987FF9" w:rsidP="004F4FE7">
      <w:pPr>
        <w:spacing w:line="240" w:lineRule="auto"/>
        <w:ind w:right="49"/>
        <w:jc w:val="both"/>
        <w:rPr>
          <w:rFonts w:ascii="Verdana" w:hAnsi="Verdana"/>
          <w:b/>
          <w:sz w:val="20"/>
          <w:szCs w:val="20"/>
          <w:lang w:val="es-MX"/>
        </w:rPr>
      </w:pPr>
      <w:r w:rsidRPr="00D86945">
        <w:rPr>
          <w:rFonts w:ascii="Verdana" w:hAnsi="Verdana"/>
          <w:b/>
          <w:sz w:val="20"/>
          <w:szCs w:val="20"/>
          <w:lang w:val="es-MX"/>
        </w:rPr>
        <w:t>Corte IDH. Caso Mémoli Vs. Argentina. Excepciones Preliminares, Fondo, Reparaciones y Costas. Sentencia de 22 de agosto de 2013. Serie C No. 265</w:t>
      </w:r>
      <w:r w:rsidR="00F532AD">
        <w:rPr>
          <w:rFonts w:ascii="Verdana" w:hAnsi="Verdana"/>
          <w:b/>
          <w:sz w:val="20"/>
          <w:szCs w:val="20"/>
          <w:lang w:val="es-MX"/>
        </w:rPr>
        <w:t>.</w:t>
      </w:r>
    </w:p>
    <w:p w14:paraId="33FBD7F9" w14:textId="1DF7CEE6"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125.</w:t>
      </w:r>
      <w:r w:rsidRPr="00D86945">
        <w:rPr>
          <w:rFonts w:ascii="Verdana" w:hAnsi="Verdana"/>
          <w:sz w:val="20"/>
          <w:szCs w:val="20"/>
        </w:rPr>
        <w:tab/>
        <w:t>El artículo 11.2 de la Convención prohíbe toda injerencia arbitraria o abusiva en la vida privada de las personas o ataques ilegales a su honra o reputación, por parte de terceros particulares o de la autoridad pública. Por ello, es legítimo que quien se considere afectado en su honor recurra a los medios judiciales que el Estado disponga para su protección</w:t>
      </w:r>
      <w:r w:rsidR="00215583">
        <w:rPr>
          <w:rFonts w:ascii="Verdana" w:hAnsi="Verdana"/>
          <w:sz w:val="20"/>
          <w:szCs w:val="20"/>
        </w:rPr>
        <w:t>.</w:t>
      </w:r>
      <w:r w:rsidRPr="00D86945">
        <w:rPr>
          <w:rFonts w:ascii="Verdana" w:hAnsi="Verdana"/>
          <w:sz w:val="20"/>
          <w:szCs w:val="20"/>
        </w:rPr>
        <w:t xml:space="preserve"> Además, de forma particular, el artículo 11.3 de la Convención impone a los Estados el deber de brindar la protección de la ley contra aquellas injerencias. El Estado se encuentra obligado a garantizar a las personas que se sientan afectadas en su derecho al honor, los medios judiciales apropiados para que se establezcan las responsabilidades y sanciones correspondientes. De no hacerlo, el Estado podría incurrir en responsabilidad internacional. En consecuencia, el Estado tiene la obligación de garantizar el derecho a la honra y la reputación mediante acciones positivas, lo cual puede implicar, en ciertos casos, la adopción de medidas dirigidas a asegurar dicho derecho protegiéndolo de las interferencias de las autoridades públicas, así como también de las personas o instituciones privadas, incluyendo los medios de comunicación</w:t>
      </w:r>
      <w:r w:rsidR="00215583">
        <w:rPr>
          <w:rFonts w:ascii="Verdana" w:hAnsi="Verdana"/>
          <w:sz w:val="20"/>
          <w:szCs w:val="20"/>
        </w:rPr>
        <w:t>.</w:t>
      </w:r>
    </w:p>
    <w:p w14:paraId="5F992992" w14:textId="305AD729"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126.</w:t>
      </w:r>
      <w:r w:rsidRPr="00D86945">
        <w:rPr>
          <w:rFonts w:ascii="Verdana" w:hAnsi="Verdana"/>
          <w:sz w:val="20"/>
          <w:szCs w:val="20"/>
        </w:rPr>
        <w:tab/>
        <w:t>La Corte reitera su jurisprudencia constante en el sentido que “no estima contraria a la Convención cualquier medida penal a propósito de la expresión de informaciones u opiniones”</w:t>
      </w:r>
      <w:r w:rsidR="00215583">
        <w:rPr>
          <w:rFonts w:ascii="Verdana" w:hAnsi="Verdana"/>
          <w:sz w:val="20"/>
          <w:szCs w:val="20"/>
        </w:rPr>
        <w:t>.</w:t>
      </w:r>
      <w:r w:rsidRPr="00D86945">
        <w:rPr>
          <w:rFonts w:ascii="Verdana" w:hAnsi="Verdana"/>
          <w:sz w:val="20"/>
          <w:szCs w:val="20"/>
        </w:rPr>
        <w:t xml:space="preserve"> Tanto la vía civil como la vía penal son legítimas, bajo ciertas circunstancias y en la medida que reúnan los requisitos de necesidad y proporcionalidad, como medios para establecer responsabilidades ulteriores ante la expresión de informaciones u opiniones que afecten la honra o la reputación. Al mismo tiempo que el artículo 13.2.a de la Convención establece que “el respeto a los derechos o la reputación de los demás” puede ser motivo para fijar responsabilidades ulteriores en el ejercicio de la libertad de expresión, el artículo 11 de la Convención consagra la protección de la honra y de la dignidad de cualquier persona </w:t>
      </w:r>
      <w:r w:rsidR="005E0C2B">
        <w:rPr>
          <w:rFonts w:ascii="Verdana" w:hAnsi="Verdana"/>
          <w:sz w:val="20"/>
          <w:szCs w:val="20"/>
        </w:rPr>
        <w:t>[...]</w:t>
      </w:r>
      <w:r w:rsidRPr="00D86945">
        <w:rPr>
          <w:rFonts w:ascii="Verdana" w:hAnsi="Verdana"/>
          <w:sz w:val="20"/>
          <w:szCs w:val="20"/>
        </w:rPr>
        <w:t xml:space="preserve">. En consecuencia, como se ha establecido en otros casos, la protección de la honra y la reputación de toda persona constituye un fin legítimo para el establecimiento de responsabilidades ulteriores conforme con dicha norma de la Convención. Asimismo, este Tribunal ha establecido que el instrumento penal puede ser idóneo para salvaguardar el bien jurídico que se quiere proteger, en la medida en que podría estar en capacidad de contribuir a la realización de dicho objetivo. </w:t>
      </w:r>
    </w:p>
    <w:p w14:paraId="1A21B7DB" w14:textId="281FEB16"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t>Corte IDH. Caso López Lone y otros Vs. Honduras. Excepción Preliminar, Fondo, Reparaciones y Costas. Sentencia de 5 de octubre de 2015. Serie C No. 302</w:t>
      </w:r>
      <w:r w:rsidR="00F532AD">
        <w:rPr>
          <w:rFonts w:ascii="Verdana" w:hAnsi="Verdana"/>
          <w:b/>
          <w:sz w:val="20"/>
          <w:szCs w:val="20"/>
        </w:rPr>
        <w:t>.</w:t>
      </w:r>
    </w:p>
    <w:p w14:paraId="090311F6" w14:textId="47A1174D"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171.</w:t>
      </w:r>
      <w:r w:rsidRPr="00D86945">
        <w:rPr>
          <w:rFonts w:ascii="Verdana" w:hAnsi="Verdana"/>
          <w:sz w:val="20"/>
          <w:szCs w:val="20"/>
          <w:lang w:val="es-CR"/>
        </w:rPr>
        <w:tab/>
        <w:t xml:space="preserve">El objetivo general de garantizar la independencia e imparcialidad es, en principio, un fin legítimo para restringir ciertos derechos de los jueces. El artículo 8.1 de la Convención Americana establece que “[t]oda persona tiene derecho a ser oída, con las debidas garantías y dentro de un plazo razonable, por un juez o tribunal competente, independiente e imparcial”. En este sentido, el Estado tiene la obligación de regular que sus jueces y tribunales cumplan con dichos preceptos. Por tanto, resulta acorde con la Convención Americana la restricción de ciertas conductas </w:t>
      </w:r>
      <w:r w:rsidRPr="00D86945">
        <w:rPr>
          <w:rFonts w:ascii="Verdana" w:hAnsi="Verdana"/>
          <w:sz w:val="20"/>
          <w:szCs w:val="20"/>
          <w:lang w:val="es-CR"/>
        </w:rPr>
        <w:lastRenderedPageBreak/>
        <w:t>a los jueces, con la finalidad de proteger la independencia y la imparcialidad en el ejercicio de la justicia, como un “derecho o libertad de los demás”.</w:t>
      </w:r>
    </w:p>
    <w:p w14:paraId="401E300F" w14:textId="71108F64"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172.</w:t>
      </w:r>
      <w:r w:rsidRPr="00D86945">
        <w:rPr>
          <w:rFonts w:ascii="Verdana" w:hAnsi="Verdana"/>
          <w:sz w:val="20"/>
          <w:szCs w:val="20"/>
          <w:lang w:val="es-CR"/>
        </w:rPr>
        <w:tab/>
        <w:t>Al respecto, existe un consenso regional en cuanto a la necesidad de restringir la participación de los jueces en las actividades político-partidistas, siendo que en algunos Estados, de forma más general, se prohíbe cualquier participación en política, salvo la emisión del voto en las elecciones</w:t>
      </w:r>
      <w:r w:rsidR="00215583">
        <w:rPr>
          <w:rFonts w:ascii="Verdana" w:hAnsi="Verdana"/>
          <w:sz w:val="20"/>
          <w:szCs w:val="20"/>
          <w:lang w:val="es-CR"/>
        </w:rPr>
        <w:t>.</w:t>
      </w:r>
      <w:r w:rsidRPr="00D86945">
        <w:rPr>
          <w:rFonts w:ascii="Verdana" w:hAnsi="Verdana"/>
          <w:sz w:val="20"/>
          <w:szCs w:val="20"/>
          <w:lang w:val="es-CR"/>
        </w:rPr>
        <w:t xml:space="preserve"> Sin embargo, la facultad de los Estados de regular o restringir estos derechos no es discrecional y cualquier limitación a los derechos consagrados en la Convención debe interpretarse de manera restrictiva. La restricción de participación en actividades de tipo partidista a los jueces no debe ser interpretada de manera amplia, de forma tal que impida que los jueces participen en cualquier discusión de índole política. </w:t>
      </w:r>
    </w:p>
    <w:p w14:paraId="46D6F913" w14:textId="4983E5F8"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173.</w:t>
      </w:r>
      <w:r w:rsidRPr="00D86945">
        <w:rPr>
          <w:rFonts w:ascii="Verdana" w:hAnsi="Verdana"/>
          <w:sz w:val="20"/>
          <w:szCs w:val="20"/>
          <w:lang w:val="es-CR"/>
        </w:rPr>
        <w:tab/>
        <w:t xml:space="preserve"> En este sentido, pueden existir situaciones donde un juez, como ciudadano parte de la sociedad, considere que tiene un deber moral de expresarse. Al respecto, el perito Leandro </w:t>
      </w:r>
      <w:proofErr w:type="spellStart"/>
      <w:r w:rsidRPr="00D86945">
        <w:rPr>
          <w:rFonts w:ascii="Verdana" w:hAnsi="Verdana"/>
          <w:sz w:val="20"/>
          <w:szCs w:val="20"/>
          <w:lang w:val="es-CR"/>
        </w:rPr>
        <w:t>Despouy</w:t>
      </w:r>
      <w:proofErr w:type="spellEnd"/>
      <w:r w:rsidRPr="00D86945">
        <w:rPr>
          <w:rFonts w:ascii="Verdana" w:hAnsi="Verdana"/>
          <w:sz w:val="20"/>
          <w:szCs w:val="20"/>
          <w:lang w:val="es-CR"/>
        </w:rPr>
        <w:t xml:space="preserve"> señaló que puede constituir un deber para los jueces pronunciarse “en un contexto en donde se esté afectando la democracia, por ser los funcionarios públicos[,] específicamente los operadores judiciales, guardianes de los derechos fundamentales frente a abusos de poder de otros funcionarios públicos u otros grupos de poder”</w:t>
      </w:r>
      <w:r w:rsidR="00215583">
        <w:rPr>
          <w:rFonts w:ascii="Verdana" w:hAnsi="Verdana"/>
          <w:sz w:val="20"/>
          <w:szCs w:val="20"/>
          <w:lang w:val="es-CR"/>
        </w:rPr>
        <w:t>.</w:t>
      </w:r>
      <w:r w:rsidRPr="00D86945">
        <w:rPr>
          <w:rFonts w:ascii="Verdana" w:hAnsi="Verdana"/>
          <w:sz w:val="20"/>
          <w:szCs w:val="20"/>
          <w:lang w:val="es-CR"/>
        </w:rPr>
        <w:t xml:space="preserve"> Asimismo, el perito Martin Federico </w:t>
      </w:r>
      <w:proofErr w:type="spellStart"/>
      <w:r w:rsidRPr="00D86945">
        <w:rPr>
          <w:rFonts w:ascii="Verdana" w:hAnsi="Verdana"/>
          <w:sz w:val="20"/>
          <w:szCs w:val="20"/>
          <w:lang w:val="es-CR"/>
        </w:rPr>
        <w:t>Böhmer</w:t>
      </w:r>
      <w:proofErr w:type="spellEnd"/>
      <w:r w:rsidRPr="00D86945">
        <w:rPr>
          <w:rFonts w:ascii="Verdana" w:hAnsi="Verdana"/>
          <w:sz w:val="20"/>
          <w:szCs w:val="20"/>
          <w:lang w:val="es-CR"/>
        </w:rPr>
        <w:t xml:space="preserve"> señaló que en un golpe de Estado los jueces “tienen la obligación de sostener y asegurarse de que la población sepa que ellos y ellas sostienen el sistema constitucional”. Resaltó además que “[s]i hay alguna expresión política no partidista, es la que realizan ciudadanos de una democracia constitucional cuando afirman con convicción su lealtad a ella”. En el mismo sentido, el perito Perfecto Andrés Ibáñez señaló que incluso para los jueces “es un deber jurídico[,] un deber ciudadano oponerse a [los golpes de Estado]”. </w:t>
      </w:r>
    </w:p>
    <w:p w14:paraId="55D4B334" w14:textId="6B8A795E" w:rsidR="00987FF9"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174.</w:t>
      </w:r>
      <w:r w:rsidRPr="00D86945">
        <w:rPr>
          <w:rFonts w:ascii="Verdana" w:hAnsi="Verdana"/>
          <w:sz w:val="20"/>
          <w:szCs w:val="20"/>
          <w:lang w:val="es-CR"/>
        </w:rPr>
        <w:tab/>
        <w:t>Es posible concluir entonces que, en momentos de graves crisis democráticas, como la ocurrida en el presente caso, no son aplicables a las actuaciones de los jueces y de las juezas en defensa del orden democrático las normas que ordinariamente restringen su derecho a la participación en política. En este sentido, sería contrario a la propia independencia de los poderes estatales, así como a las obligaciones internacionales del Estado derivadas de su participación en la OEA, que los jueces y juezas no puedan pronunciarse en contra de un golpe de Estado. Por tanto, dadas las particulares circunstancias del presente caso, las conductas de las presuntas víctimas por las cuales les fueron iniciados procesos disciplinarios no pueden considerarse contrarias a sus obligaciones como jueces o juezas y, en esa medida, infracciones del régimen disciplinario que ordinariamente les era aplicable. Por el contrario, deben entenderse como un ejercicio legítimo de sus derechos como ciudadanos a participar en política, la libertad de expresión y el derecho de reunión y de manifestación, según sea el caso de la específica actuación desplegada por cada una de estas presuntas víctimas.</w:t>
      </w:r>
    </w:p>
    <w:p w14:paraId="7733D546" w14:textId="6C744A14" w:rsidR="00B234DE" w:rsidRPr="00D86945" w:rsidRDefault="00B234DE" w:rsidP="004F4FE7">
      <w:pPr>
        <w:spacing w:line="240" w:lineRule="auto"/>
        <w:ind w:right="49"/>
        <w:jc w:val="both"/>
        <w:rPr>
          <w:rFonts w:ascii="Verdana" w:hAnsi="Verdana"/>
          <w:b/>
          <w:sz w:val="20"/>
          <w:szCs w:val="20"/>
          <w:lang w:val="es-CR"/>
        </w:rPr>
      </w:pPr>
      <w:r w:rsidRPr="00D86945">
        <w:rPr>
          <w:rFonts w:ascii="Verdana" w:hAnsi="Verdana"/>
          <w:b/>
          <w:sz w:val="20"/>
          <w:szCs w:val="20"/>
          <w:lang w:val="es-CR"/>
        </w:rPr>
        <w:t>Corte IDH. Caso Lagos del Campo Vs. Perú. Excepciones Preliminares, Fondo, Reparaciones y Costas. Sentencia de 31 de agosto de 2017. Serie C No. 340</w:t>
      </w:r>
    </w:p>
    <w:p w14:paraId="10730CEB" w14:textId="6E53224B" w:rsidR="00B234DE" w:rsidRPr="00D86945" w:rsidRDefault="00B234DE" w:rsidP="004F4FE7">
      <w:pPr>
        <w:spacing w:line="240" w:lineRule="auto"/>
        <w:ind w:right="49"/>
        <w:jc w:val="both"/>
        <w:rPr>
          <w:rFonts w:ascii="Verdana" w:hAnsi="Verdana"/>
          <w:sz w:val="20"/>
          <w:szCs w:val="20"/>
          <w:lang w:val="es-CR"/>
        </w:rPr>
      </w:pPr>
      <w:r w:rsidRPr="00D86945">
        <w:rPr>
          <w:rFonts w:ascii="Verdana" w:hAnsi="Verdana"/>
          <w:sz w:val="20"/>
          <w:szCs w:val="20"/>
          <w:lang w:val="es-CR"/>
        </w:rPr>
        <w:t>98.</w:t>
      </w:r>
      <w:r w:rsidRPr="00D86945">
        <w:rPr>
          <w:rFonts w:ascii="Verdana" w:hAnsi="Verdana"/>
          <w:sz w:val="20"/>
          <w:szCs w:val="20"/>
          <w:lang w:val="es-CR"/>
        </w:rPr>
        <w:tab/>
        <w:t>La Corte ha reiterado que la libertad de expresión no es un derecho absoluto. El artículo 13.2 de la Convención, que prohíbe la censura previa, también prevé la posibilidad de exigir responsabilidades ulteriores por el ejercicio abusivo de este derecho, inclusive para asegurar “el respeto a los derechos o la reputación de los demás” (literal “a” del artículo 13.2). Estas restricciones tienen carácter excepcional y no deben limitar, más allá de lo estrictamente necesario, el pleno ejercicio de la libertad de expresión y convertirse en un mecanismo directo o indirecto de censura previa</w:t>
      </w:r>
      <w:r w:rsidR="00215583">
        <w:rPr>
          <w:rFonts w:ascii="Verdana" w:hAnsi="Verdana"/>
          <w:sz w:val="20"/>
          <w:szCs w:val="20"/>
          <w:lang w:val="es-CR"/>
        </w:rPr>
        <w:t>.</w:t>
      </w:r>
      <w:r w:rsidRPr="00D86945">
        <w:rPr>
          <w:rFonts w:ascii="Verdana" w:hAnsi="Verdana"/>
          <w:sz w:val="20"/>
          <w:szCs w:val="20"/>
          <w:lang w:val="es-CR"/>
        </w:rPr>
        <w:t xml:space="preserve"> En este sentido, la Corte ha establecido que se pueden imponer tales responsabilidades ulteriores, en tanto se pudiera haber afectado el derecho a la honra y la reputación</w:t>
      </w:r>
      <w:r w:rsidR="00215583">
        <w:rPr>
          <w:rFonts w:ascii="Verdana" w:hAnsi="Verdana"/>
          <w:sz w:val="20"/>
          <w:szCs w:val="20"/>
          <w:lang w:val="es-CR"/>
        </w:rPr>
        <w:t>.</w:t>
      </w:r>
      <w:r w:rsidRPr="00D86945">
        <w:rPr>
          <w:rFonts w:ascii="Verdana" w:hAnsi="Verdana"/>
          <w:sz w:val="20"/>
          <w:szCs w:val="20"/>
          <w:lang w:val="es-CR"/>
        </w:rPr>
        <w:t xml:space="preserve"> </w:t>
      </w:r>
    </w:p>
    <w:p w14:paraId="35B9DD5F" w14:textId="5121DFB5" w:rsidR="00B234DE" w:rsidRPr="00D86945" w:rsidRDefault="00B234DE" w:rsidP="004F4FE7">
      <w:pPr>
        <w:spacing w:line="240" w:lineRule="auto"/>
        <w:ind w:right="49"/>
        <w:jc w:val="both"/>
        <w:rPr>
          <w:rFonts w:ascii="Verdana" w:hAnsi="Verdana"/>
          <w:sz w:val="20"/>
          <w:szCs w:val="20"/>
          <w:lang w:val="es-CR"/>
        </w:rPr>
      </w:pPr>
      <w:r w:rsidRPr="00D86945">
        <w:rPr>
          <w:rFonts w:ascii="Verdana" w:hAnsi="Verdana"/>
          <w:sz w:val="20"/>
          <w:szCs w:val="20"/>
          <w:lang w:val="es-CR"/>
        </w:rPr>
        <w:lastRenderedPageBreak/>
        <w:t>99.</w:t>
      </w:r>
      <w:r w:rsidRPr="00D86945">
        <w:rPr>
          <w:rFonts w:ascii="Verdana" w:hAnsi="Verdana"/>
          <w:sz w:val="20"/>
          <w:szCs w:val="20"/>
          <w:lang w:val="es-CR"/>
        </w:rPr>
        <w:tab/>
        <w:t xml:space="preserve">El artículo 11 de la Convención establece, en efecto, que toda persona tiene derecho a la protección de su honra y al reconocimiento de su dignidad. La Corte ha señalado que el derecho a la honra “reconoce que toda persona tiene derecho al respeto de esta, prohíbe todo ataque ilegal contra la honra o reputación e impone a los Estados el deber de brindar la protección de la ley contra tales ataques. En términos generales, este Tribunal ha indicado que el derecho a la honra se relaciona con la estima y valía propia, mientras que la reputación se refiere a la opinión que otros tienen de una persona”.  </w:t>
      </w:r>
    </w:p>
    <w:p w14:paraId="27422F11" w14:textId="674060A2" w:rsidR="00B234DE" w:rsidRPr="00D86945" w:rsidRDefault="00B234DE" w:rsidP="004F4FE7">
      <w:pPr>
        <w:spacing w:line="240" w:lineRule="auto"/>
        <w:ind w:right="49"/>
        <w:jc w:val="both"/>
        <w:rPr>
          <w:rFonts w:ascii="Verdana" w:hAnsi="Verdana"/>
          <w:sz w:val="20"/>
          <w:szCs w:val="20"/>
          <w:lang w:val="es-CR"/>
        </w:rPr>
      </w:pPr>
      <w:r w:rsidRPr="00D86945">
        <w:rPr>
          <w:rFonts w:ascii="Verdana" w:hAnsi="Verdana"/>
          <w:sz w:val="20"/>
          <w:szCs w:val="20"/>
          <w:lang w:val="es-CR"/>
        </w:rPr>
        <w:t>100.</w:t>
      </w:r>
      <w:r w:rsidRPr="00D86945">
        <w:rPr>
          <w:rFonts w:ascii="Verdana" w:hAnsi="Verdana"/>
          <w:sz w:val="20"/>
          <w:szCs w:val="20"/>
          <w:lang w:val="es-CR"/>
        </w:rPr>
        <w:tab/>
        <w:t>En este sentido, este Tribunal ha sostenido que, “tanto la libertad de expresión como el derecho a la honra, derechos ambos protegidos por la Convención, revisten suma importancia, por lo cual es necesario garantizar ambos derechos, de forma que coexistan de manera armoniosa”. El ejercicio de cada derecho fundamental tiene que hacerse con respeto y salvaguarda de los demás derechos fundamentales</w:t>
      </w:r>
      <w:r w:rsidR="00215583">
        <w:rPr>
          <w:rFonts w:ascii="Verdana" w:hAnsi="Verdana"/>
          <w:sz w:val="20"/>
          <w:szCs w:val="20"/>
          <w:lang w:val="es-CR"/>
        </w:rPr>
        <w:t>.</w:t>
      </w:r>
      <w:r w:rsidRPr="00D86945">
        <w:rPr>
          <w:rFonts w:ascii="Verdana" w:hAnsi="Verdana"/>
          <w:sz w:val="20"/>
          <w:szCs w:val="20"/>
          <w:lang w:val="es-CR"/>
        </w:rPr>
        <w:t xml:space="preserve"> Por ende, la Corte ha señalado que “la solución del conflicto que se presenta entre ambos derechos requiere de una ponderación entre los mismos, para lo cual deberá examinarse cada caso, conforme a sus características y circunstancias, a fin de apreciar la existencia e intensidad de los elementos en que se sustenta dicho juicio”.</w:t>
      </w:r>
    </w:p>
    <w:p w14:paraId="67DBC942" w14:textId="61F9129A" w:rsidR="005E7BEF" w:rsidRPr="00D86945" w:rsidRDefault="005E7BEF" w:rsidP="004F4FE7">
      <w:pPr>
        <w:spacing w:line="240" w:lineRule="auto"/>
        <w:ind w:right="49"/>
        <w:jc w:val="both"/>
        <w:rPr>
          <w:rFonts w:ascii="Verdana" w:hAnsi="Verdana"/>
          <w:b/>
          <w:bCs/>
          <w:sz w:val="20"/>
          <w:szCs w:val="20"/>
          <w:lang w:val="es-CR"/>
        </w:rPr>
      </w:pPr>
      <w:r w:rsidRPr="00D86945">
        <w:rPr>
          <w:rFonts w:ascii="Verdana" w:hAnsi="Verdana"/>
          <w:b/>
          <w:bCs/>
          <w:sz w:val="20"/>
          <w:szCs w:val="20"/>
          <w:lang w:val="es-CR"/>
        </w:rPr>
        <w:t>Corte IDH. Caso Álvarez Ramos Vs. Venezuela. Excepción Preliminar, Fondo, Reparaciones y Costas. Sentencia de 30 de agosto de 2019. Serie C No. 380.</w:t>
      </w:r>
    </w:p>
    <w:p w14:paraId="27716D1F" w14:textId="7C5784D5" w:rsidR="009822C4" w:rsidRPr="00D86945" w:rsidRDefault="009822C4" w:rsidP="004F4FE7">
      <w:pPr>
        <w:spacing w:line="240" w:lineRule="auto"/>
        <w:ind w:right="49"/>
        <w:jc w:val="both"/>
        <w:rPr>
          <w:rFonts w:ascii="Verdana" w:hAnsi="Verdana"/>
          <w:sz w:val="20"/>
          <w:szCs w:val="20"/>
          <w:lang w:val="es-CO"/>
        </w:rPr>
      </w:pPr>
      <w:r w:rsidRPr="00D86945">
        <w:rPr>
          <w:rFonts w:ascii="Verdana" w:hAnsi="Verdana"/>
          <w:sz w:val="20"/>
          <w:szCs w:val="20"/>
          <w:lang w:val="es-CO"/>
        </w:rPr>
        <w:t>112.</w:t>
      </w:r>
      <w:r w:rsidRPr="00D86945">
        <w:rPr>
          <w:rFonts w:ascii="Verdana" w:hAnsi="Verdana"/>
          <w:sz w:val="20"/>
          <w:szCs w:val="20"/>
          <w:lang w:val="es-CO"/>
        </w:rPr>
        <w:tab/>
        <w:t>Respecto a la naturaleza de la nota titulada “Asaltada Caja de Ahorro de la Asamblea Nacional”, publicada en el diario “Así es la Noticia”, la Corte desea anotar las siguientes valoraciones: i) la nota hacía referencia al manejo de recursos públicos destinados a las pensiones de funcionarios de la Asamblea Nacional, ii) se refería al señor Lara en el marco de su actividad como funcionario público en cabeza de la Asamblea Nacional y, por defecto, de la Caja de Ahorro de la Asamblea Nacional, iii) las manifestaciones del señor Álvarez se hacían con fundamento de un documento emitido por una institución estatal.</w:t>
      </w:r>
    </w:p>
    <w:p w14:paraId="0D8EE001" w14:textId="448FDA30" w:rsidR="009822C4" w:rsidRPr="00D86945" w:rsidRDefault="009822C4" w:rsidP="004F4FE7">
      <w:pPr>
        <w:spacing w:line="240" w:lineRule="auto"/>
        <w:ind w:right="49"/>
        <w:jc w:val="both"/>
        <w:rPr>
          <w:rFonts w:ascii="Verdana" w:hAnsi="Verdana"/>
          <w:sz w:val="20"/>
          <w:szCs w:val="20"/>
          <w:lang w:val="es-CO"/>
        </w:rPr>
      </w:pPr>
      <w:r w:rsidRPr="00D86945">
        <w:rPr>
          <w:rFonts w:ascii="Verdana" w:hAnsi="Verdana"/>
          <w:sz w:val="20"/>
          <w:szCs w:val="20"/>
          <w:lang w:val="es-CO"/>
        </w:rPr>
        <w:t>113.</w:t>
      </w:r>
      <w:r w:rsidRPr="00D86945">
        <w:rPr>
          <w:rFonts w:ascii="Verdana" w:hAnsi="Verdana"/>
          <w:sz w:val="20"/>
          <w:szCs w:val="20"/>
          <w:lang w:val="es-CO"/>
        </w:rPr>
        <w:tab/>
        <w:t>En esa misma línea, en peritaje que consta en autos  se señaló que se necesita la concurrencia de al menos tres elementos para que una determinada nota o información haga parte del debate público, a saber: i) el elemento subjetivo, es decir, que la persona sea funcionaria pública en la época relacionada con la denuncia realizada por medios públicos; ii) el elemento funcional, es decir, que la persona haya ejercido como funcionario en los hechos relacionados, y iii) el elemento material, es decir, que el tema tratado sea de relevancia pública. En el presente caso, la Corte encuentra acreditados estos tres elementos porque la nota i) hace referencia de manera textual a la administración del señor Lara al frente de la Asamblea Nacional; ii) se refiere al ejercicio de las funciones del señor Lara como funcionario público, y iii) el manejo o gestión de dineros o recursos públicos de la Caja de Ahorros y Previsión Social de los trabajadores de la Asamblea Nacional es un tema de interés público.</w:t>
      </w:r>
    </w:p>
    <w:p w14:paraId="1B059777" w14:textId="5847DCCD" w:rsidR="009822C4" w:rsidRPr="00D86945" w:rsidRDefault="009822C4" w:rsidP="004F4FE7">
      <w:pPr>
        <w:spacing w:line="240" w:lineRule="auto"/>
        <w:ind w:right="49"/>
        <w:jc w:val="both"/>
        <w:rPr>
          <w:rFonts w:ascii="Verdana" w:hAnsi="Verdana"/>
          <w:sz w:val="20"/>
          <w:szCs w:val="20"/>
          <w:lang w:val="es-CO"/>
        </w:rPr>
      </w:pPr>
      <w:r w:rsidRPr="00D86945">
        <w:rPr>
          <w:rFonts w:ascii="Verdana" w:hAnsi="Verdana"/>
          <w:sz w:val="20"/>
          <w:szCs w:val="20"/>
          <w:lang w:val="es-CO"/>
        </w:rPr>
        <w:t>114.</w:t>
      </w:r>
      <w:r w:rsidRPr="00D86945">
        <w:rPr>
          <w:rFonts w:ascii="Verdana" w:hAnsi="Verdana"/>
          <w:sz w:val="20"/>
          <w:szCs w:val="20"/>
          <w:lang w:val="es-CO"/>
        </w:rPr>
        <w:tab/>
        <w:t xml:space="preserve">Por otro lado, la jurisprudencia de este Tribunal ha establecido que en el marco del debate sobre temas de interés público, no solo se protege la emisión de expresiones inofensivas o bien recibidas por la opinión pública, sino también la de aquellas que chocan, irritan o inquietan a los funcionarios públicos o a un sector cualquiera de la población. De esta forma, la Corte ha protegido discursos de naturaleza similar a la del presente caso. Ejemplo de eso fue el discurso crítico del actuar de jueces en el caso </w:t>
      </w:r>
      <w:r w:rsidRPr="00D86945">
        <w:rPr>
          <w:rFonts w:ascii="Verdana" w:hAnsi="Verdana"/>
          <w:i/>
          <w:iCs/>
          <w:sz w:val="20"/>
          <w:szCs w:val="20"/>
          <w:lang w:val="es-CO"/>
        </w:rPr>
        <w:t>Kimel Vs. Argentina</w:t>
      </w:r>
      <w:r w:rsidRPr="00D86945">
        <w:rPr>
          <w:rFonts w:ascii="Verdana" w:hAnsi="Verdana"/>
          <w:sz w:val="20"/>
          <w:szCs w:val="20"/>
          <w:lang w:val="es-CO"/>
        </w:rPr>
        <w:t xml:space="preserve">  o el discurso con un lenguaje enérgico en el caso </w:t>
      </w:r>
      <w:r w:rsidRPr="00D86945">
        <w:rPr>
          <w:rFonts w:ascii="Verdana" w:hAnsi="Verdana"/>
          <w:i/>
          <w:iCs/>
          <w:sz w:val="20"/>
          <w:szCs w:val="20"/>
          <w:lang w:val="es-CO"/>
        </w:rPr>
        <w:t>Lagos del Campo Vs. Perú</w:t>
      </w:r>
      <w:r w:rsidRPr="00D86945">
        <w:rPr>
          <w:rFonts w:ascii="Verdana" w:hAnsi="Verdana"/>
          <w:sz w:val="20"/>
          <w:szCs w:val="20"/>
          <w:lang w:val="es-CO"/>
        </w:rPr>
        <w:t xml:space="preserve">. </w:t>
      </w:r>
    </w:p>
    <w:p w14:paraId="00369272" w14:textId="57EE87FA" w:rsidR="009822C4" w:rsidRPr="00D86945" w:rsidRDefault="009822C4" w:rsidP="004F4FE7">
      <w:pPr>
        <w:spacing w:line="240" w:lineRule="auto"/>
        <w:ind w:right="49"/>
        <w:jc w:val="both"/>
        <w:rPr>
          <w:rFonts w:ascii="Verdana" w:hAnsi="Verdana"/>
          <w:sz w:val="20"/>
          <w:szCs w:val="20"/>
          <w:lang w:val="es-CO"/>
        </w:rPr>
      </w:pPr>
      <w:r w:rsidRPr="00D86945">
        <w:rPr>
          <w:rFonts w:ascii="Verdana" w:hAnsi="Verdana"/>
          <w:sz w:val="20"/>
          <w:szCs w:val="20"/>
          <w:lang w:val="es-CO"/>
        </w:rPr>
        <w:t>115.</w:t>
      </w:r>
      <w:r w:rsidRPr="00D86945">
        <w:rPr>
          <w:rFonts w:ascii="Verdana" w:hAnsi="Verdana"/>
          <w:sz w:val="20"/>
          <w:szCs w:val="20"/>
          <w:lang w:val="es-CO"/>
        </w:rPr>
        <w:tab/>
        <w:t xml:space="preserve">Así, la valoración del presente caso no puede ser distinta. Si bien el señor Álvarez se manifestó de forma crítica, eso no implica que su discurso quede desprotegido bajo la óptica del derecho a la libertad de expresión. Esta clase de </w:t>
      </w:r>
      <w:r w:rsidRPr="00D86945">
        <w:rPr>
          <w:rFonts w:ascii="Verdana" w:hAnsi="Verdana"/>
          <w:sz w:val="20"/>
          <w:szCs w:val="20"/>
          <w:lang w:val="es-CO"/>
        </w:rPr>
        <w:lastRenderedPageBreak/>
        <w:t>discurso también debe ser protegido pese a ser incómodo y emplear un lenguaje incisivo, máxime cuando en una sociedad democrática las críticas hacia los funcionarios públicos no son solamente válidas sino necesarias.</w:t>
      </w:r>
    </w:p>
    <w:p w14:paraId="41C0D89B" w14:textId="65E89D78" w:rsidR="009822C4" w:rsidRPr="00D86945" w:rsidRDefault="009822C4" w:rsidP="004F4FE7">
      <w:pPr>
        <w:spacing w:line="240" w:lineRule="auto"/>
        <w:ind w:right="49"/>
        <w:jc w:val="both"/>
        <w:rPr>
          <w:rFonts w:ascii="Verdana" w:hAnsi="Verdana"/>
          <w:sz w:val="20"/>
          <w:szCs w:val="20"/>
          <w:lang w:val="es-CO"/>
        </w:rPr>
      </w:pPr>
      <w:r w:rsidRPr="00D86945">
        <w:rPr>
          <w:rFonts w:ascii="Verdana" w:hAnsi="Verdana"/>
          <w:sz w:val="20"/>
          <w:szCs w:val="20"/>
          <w:lang w:val="es-CO"/>
        </w:rPr>
        <w:t>116.</w:t>
      </w:r>
      <w:r w:rsidRPr="00D86945">
        <w:rPr>
          <w:rFonts w:ascii="Verdana" w:hAnsi="Verdana"/>
          <w:sz w:val="20"/>
          <w:szCs w:val="20"/>
          <w:lang w:val="es-CO"/>
        </w:rPr>
        <w:tab/>
        <w:t>Finalmente, en otros casos el Tribunal ha entendido que declaraciones similares son parte del debate público dentro de una sociedad democrática, lo cual requiere de protección de manera acorde con los principios del pluralismo democrático. La Corte ha reafirmado la protección a la libertad de expresión respecto de las opiniones o informaciones sobre asuntos en los cuales la sociedad tiene un legítimo interés de mantenerse informada; y de conocer lo que incide sobre el funcionamiento del Estado, o afecta derechos o intereses generales o le acarrea consecuencias importantes.</w:t>
      </w:r>
    </w:p>
    <w:p w14:paraId="2B4B94B5" w14:textId="1E429B96" w:rsidR="005E7BEF" w:rsidRPr="00D86945" w:rsidRDefault="009822C4" w:rsidP="004F4FE7">
      <w:pPr>
        <w:spacing w:line="240" w:lineRule="auto"/>
        <w:ind w:right="49"/>
        <w:jc w:val="both"/>
        <w:rPr>
          <w:rFonts w:ascii="Verdana" w:hAnsi="Verdana"/>
          <w:sz w:val="20"/>
          <w:szCs w:val="20"/>
          <w:lang w:val="es-CO"/>
        </w:rPr>
      </w:pPr>
      <w:r w:rsidRPr="00D86945">
        <w:rPr>
          <w:rFonts w:ascii="Verdana" w:hAnsi="Verdana"/>
          <w:sz w:val="20"/>
          <w:szCs w:val="20"/>
          <w:lang w:val="es-CO"/>
        </w:rPr>
        <w:t>117.</w:t>
      </w:r>
      <w:r w:rsidRPr="00D86945">
        <w:rPr>
          <w:rFonts w:ascii="Verdana" w:hAnsi="Verdana"/>
          <w:sz w:val="20"/>
          <w:szCs w:val="20"/>
          <w:lang w:val="es-CO"/>
        </w:rPr>
        <w:tab/>
        <w:t>Siguiendo todo lo anterior, el Tribunal concluye que las declaraciones del señor Álvarez hacían referencia a cuestiones propias al debate público susceptibles de ser protegidas bajo el derecho a la libertad de expresión. Por lo tanto, en el presente caso la Corte debe estudiar si las eventuales responsabilidades ulteriores a que fue sujeto el señor Álvarez cumplieron con los requisitos emanados del artículo 13.2 de la Convención.</w:t>
      </w:r>
    </w:p>
    <w:p w14:paraId="1FA45A0C" w14:textId="77777777" w:rsidR="00987FF9" w:rsidRPr="00D86945" w:rsidRDefault="00987FF9" w:rsidP="004F4FE7">
      <w:pPr>
        <w:spacing w:line="240" w:lineRule="auto"/>
        <w:ind w:right="51"/>
        <w:jc w:val="both"/>
        <w:rPr>
          <w:rFonts w:ascii="Verdana" w:hAnsi="Verdana" w:cs="Times New Roman"/>
          <w:b/>
          <w:sz w:val="20"/>
          <w:szCs w:val="20"/>
          <w:lang w:val="es-ES"/>
        </w:rPr>
      </w:pPr>
    </w:p>
    <w:p w14:paraId="48E1D664" w14:textId="4E84D332" w:rsidR="00987FF9" w:rsidRPr="00D86945" w:rsidRDefault="00987FF9" w:rsidP="00215583">
      <w:pPr>
        <w:pStyle w:val="Ttulo4"/>
        <w:rPr>
          <w:lang w:val="es-ES"/>
        </w:rPr>
      </w:pPr>
      <w:r w:rsidRPr="00D86945">
        <w:rPr>
          <w:lang w:val="es-ES"/>
        </w:rPr>
        <w:t>Protección de la seguridad nacional</w:t>
      </w:r>
    </w:p>
    <w:p w14:paraId="7F72473F" w14:textId="5392F25E" w:rsidR="00987FF9" w:rsidRPr="00D86945" w:rsidRDefault="00987FF9" w:rsidP="004F4FE7">
      <w:pPr>
        <w:spacing w:line="240" w:lineRule="auto"/>
        <w:ind w:right="49"/>
        <w:jc w:val="both"/>
        <w:rPr>
          <w:rFonts w:ascii="Verdana" w:hAnsi="Verdana"/>
          <w:sz w:val="20"/>
          <w:szCs w:val="20"/>
        </w:rPr>
      </w:pPr>
      <w:r w:rsidRPr="00D86945">
        <w:rPr>
          <w:rFonts w:ascii="Verdana" w:hAnsi="Verdana"/>
          <w:b/>
          <w:sz w:val="20"/>
          <w:szCs w:val="20"/>
        </w:rPr>
        <w:t xml:space="preserve">Corte IDH. Caso </w:t>
      </w:r>
      <w:proofErr w:type="spellStart"/>
      <w:r w:rsidRPr="00D86945">
        <w:rPr>
          <w:rFonts w:ascii="Verdana" w:hAnsi="Verdana"/>
          <w:b/>
          <w:sz w:val="20"/>
          <w:szCs w:val="20"/>
        </w:rPr>
        <w:t>Usón</w:t>
      </w:r>
      <w:proofErr w:type="spellEnd"/>
      <w:r w:rsidRPr="00D86945">
        <w:rPr>
          <w:rFonts w:ascii="Verdana" w:hAnsi="Verdana"/>
          <w:b/>
          <w:sz w:val="20"/>
          <w:szCs w:val="20"/>
        </w:rPr>
        <w:t xml:space="preserve"> Ramírez Vs. Venezuela. Excepción Preliminar, Fondo, Reparaciones y Costas. Sentencia de 20 de noviembre de 2009. Serie C No. 207</w:t>
      </w:r>
      <w:r w:rsidRPr="00D86945">
        <w:rPr>
          <w:rFonts w:ascii="Verdana" w:hAnsi="Verdana"/>
          <w:sz w:val="20"/>
          <w:szCs w:val="20"/>
        </w:rPr>
        <w:t>.</w:t>
      </w:r>
    </w:p>
    <w:p w14:paraId="5E244634" w14:textId="31197244"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92.</w:t>
      </w:r>
      <w:r w:rsidRPr="00D86945">
        <w:rPr>
          <w:rFonts w:ascii="Verdana" w:hAnsi="Verdana"/>
          <w:sz w:val="20"/>
          <w:szCs w:val="20"/>
        </w:rPr>
        <w:tab/>
        <w:t xml:space="preserve">En el presente caso, las partes se han referido a la alegada restricción de la libertad de expresión en virtud de lo dispuesto en el artículo 13.2.b) de la Convención, impuesta ante una supuesta necesidad de protección tanto de la “seguridad nacional” como del “orden público”. Si bien el artículo 13.2.b) de la Convención establece que el ejercicio de la libertad de expresión puede estar sujeto a responsabilidades ulteriores, siempre y cuando dicha restricción se encuentre fijada por la ley y sea necesaria para asegurar, </w:t>
      </w:r>
      <w:r w:rsidRPr="00D86945">
        <w:rPr>
          <w:rFonts w:ascii="Verdana" w:hAnsi="Verdana"/>
          <w:i/>
          <w:sz w:val="20"/>
          <w:szCs w:val="20"/>
        </w:rPr>
        <w:t>inter alia</w:t>
      </w:r>
      <w:r w:rsidRPr="00D86945">
        <w:rPr>
          <w:rFonts w:ascii="Verdana" w:hAnsi="Verdana"/>
          <w:sz w:val="20"/>
          <w:szCs w:val="20"/>
        </w:rPr>
        <w:t xml:space="preserve">, la protección de la seguridad nacional y el orden público, no se desprende del expediente que el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haya sido condenado con el propósito de asegurar la protección de la seguridad nacional o el orden público. Por el contrario, como se señaló anteriormente </w:t>
      </w:r>
      <w:r w:rsidR="005E0C2B">
        <w:rPr>
          <w:rFonts w:ascii="Verdana" w:hAnsi="Verdana"/>
          <w:sz w:val="20"/>
          <w:szCs w:val="20"/>
        </w:rPr>
        <w:t>[...]</w:t>
      </w:r>
      <w:r w:rsidRPr="00D86945">
        <w:rPr>
          <w:rFonts w:ascii="Verdana" w:hAnsi="Verdana"/>
          <w:sz w:val="20"/>
          <w:szCs w:val="20"/>
        </w:rPr>
        <w:t xml:space="preserve"> el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fue juzgado y encontrado culpable de haber cometido el delito de injuria contra las Fuerzas Armadas contemplado en el artículo 505 del Código Orgánico de Justicia Militar. El bien que dicha norma pretende proteger es el honor o la reputación. La afectación a la seguridad nacional o al orden público no se encuentran en el tipo penal por el cual el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fue condenado. </w:t>
      </w:r>
    </w:p>
    <w:p w14:paraId="30A61EB8" w14:textId="333F72EE"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93.</w:t>
      </w:r>
      <w:r w:rsidRPr="00D86945">
        <w:rPr>
          <w:rFonts w:ascii="Verdana" w:hAnsi="Verdana"/>
          <w:sz w:val="20"/>
          <w:szCs w:val="20"/>
        </w:rPr>
        <w:tab/>
        <w:t xml:space="preserve">El Tribunal observa que la única referencia sobre el tema de seguridad nacional que hizo el Tribunal Militar Primero de Juicio en la sentencia condenatoria fue cuando, al valorar la pena a imponer al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señaló que “el delito cometido por el acusado, atenta contra la seguridad de la Nación”</w:t>
      </w:r>
      <w:r w:rsidR="00215583">
        <w:rPr>
          <w:rFonts w:ascii="Verdana" w:hAnsi="Verdana"/>
          <w:sz w:val="20"/>
          <w:szCs w:val="20"/>
        </w:rPr>
        <w:t>.</w:t>
      </w:r>
      <w:r w:rsidR="00D35646" w:rsidRPr="00D86945">
        <w:rPr>
          <w:rFonts w:ascii="Verdana" w:hAnsi="Verdana"/>
          <w:sz w:val="20"/>
          <w:szCs w:val="20"/>
        </w:rPr>
        <w:t xml:space="preserve"> </w:t>
      </w:r>
      <w:r w:rsidRPr="00D86945">
        <w:rPr>
          <w:rFonts w:ascii="Verdana" w:hAnsi="Verdana"/>
          <w:sz w:val="20"/>
          <w:szCs w:val="20"/>
        </w:rPr>
        <w:t xml:space="preserve">Sin embargo, dicha valoración no forma parte de la fundamentación de la responsabilidad penal del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por el delito de injuria contra las Fuerzas Armadas, la cual ya había sido declarada en unos párrafos anteriores en dicha sentencia. Más bien, la referencia a la seguridad de la Nación se hace en la sentencia condenatoria bajo el acápite “De Las Penas a Imponer”, al valorar los agravantes y atenuantes correspondientes para la determinación de la pena, pero no para la determinación de culpabilidad. Por otro lado, el tribunal interno tampoco realizó consideraciones respecto al orden público al determinar la responsabilidad penal del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w:t>
      </w:r>
    </w:p>
    <w:p w14:paraId="69839507" w14:textId="50E0FC93"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lastRenderedPageBreak/>
        <w:t>94.</w:t>
      </w:r>
      <w:r w:rsidRPr="00D86945">
        <w:rPr>
          <w:rFonts w:ascii="Verdana" w:hAnsi="Verdana"/>
          <w:sz w:val="20"/>
          <w:szCs w:val="20"/>
        </w:rPr>
        <w:tab/>
        <w:t xml:space="preserve">Por lo tanto, dado que el delito por el cual se condenó al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no guarda relación explícita con la protección de la seguridad nacional o el orden público, este Tribunal considera innecesario analizar si el Estado violó el artículo 13.2.b) de la Convención Americana en el presente caso.</w:t>
      </w:r>
    </w:p>
    <w:p w14:paraId="77F914CB" w14:textId="19A9E887" w:rsidR="00987FF9" w:rsidRPr="00D86945" w:rsidRDefault="00987FF9" w:rsidP="004F4FE7">
      <w:pPr>
        <w:pStyle w:val="Prrafodelista"/>
        <w:spacing w:line="240" w:lineRule="auto"/>
        <w:ind w:right="51"/>
        <w:jc w:val="both"/>
        <w:rPr>
          <w:rFonts w:ascii="Verdana" w:hAnsi="Verdana" w:cs="Times New Roman"/>
          <w:b/>
          <w:sz w:val="20"/>
          <w:szCs w:val="20"/>
          <w:lang w:val="es-ES"/>
        </w:rPr>
      </w:pPr>
    </w:p>
    <w:p w14:paraId="1FF91D67" w14:textId="7EBC731A" w:rsidR="00987FF9" w:rsidRPr="00D86945" w:rsidRDefault="00987FF9" w:rsidP="00215583">
      <w:pPr>
        <w:pStyle w:val="Ttulo4"/>
        <w:rPr>
          <w:lang w:val="es-ES"/>
        </w:rPr>
      </w:pPr>
      <w:r w:rsidRPr="00D86945">
        <w:rPr>
          <w:lang w:val="es-ES"/>
        </w:rPr>
        <w:t>Orden público, salud o moralidad públicas</w:t>
      </w:r>
    </w:p>
    <w:p w14:paraId="29977837" w14:textId="68F04823"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b/>
          <w:bCs/>
          <w:sz w:val="20"/>
          <w:szCs w:val="20"/>
        </w:rPr>
        <w:t>Corte IDH. La colegiación obligatoria de periodistas (Arts. 13 y 29 Convención Americana sobre Derechos Humanos). Opinión Consultiva OC-5/85 de 13 de noviembre de 1985. Serie A No. 5</w:t>
      </w:r>
      <w:r w:rsidR="00F532AD">
        <w:rPr>
          <w:rFonts w:ascii="Verdana" w:hAnsi="Verdana" w:cs="Times New Roman"/>
          <w:b/>
          <w:bCs/>
          <w:sz w:val="20"/>
          <w:szCs w:val="20"/>
        </w:rPr>
        <w:t>.</w:t>
      </w:r>
      <w:r w:rsidRPr="00D86945">
        <w:rPr>
          <w:rFonts w:ascii="Verdana" w:hAnsi="Verdana" w:cs="Times New Roman"/>
          <w:sz w:val="20"/>
          <w:szCs w:val="20"/>
          <w:lang w:val="es-ES"/>
        </w:rPr>
        <w:t xml:space="preserve"> </w:t>
      </w:r>
    </w:p>
    <w:p w14:paraId="787A7653" w14:textId="6010D365"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63. </w:t>
      </w:r>
      <w:r w:rsidRPr="00D86945">
        <w:rPr>
          <w:rFonts w:ascii="Verdana" w:hAnsi="Verdana" w:cs="Times New Roman"/>
          <w:sz w:val="20"/>
          <w:szCs w:val="20"/>
          <w:lang w:val="es-ES"/>
        </w:rPr>
        <w:tab/>
        <w:t xml:space="preserve">La Corte, al relacionar los argumentos así expuestos con las restricciones a que se refiere el artículo 13.2 de la Convención, observa que los mismos no envuelven directamente la idea de justificar la colegiación obligatoria de los periodistas como un medio para garantizar "el respeto a los derechos o a la reputación de los demás" o "la protección de la seguridad nacional, "o la salud o la moral públicas" (art. 13.2); más bien apuntarían a justificar la colegiación obligatoria como un medio para asegurar el orden público (art. 13.2.b)) como una justa exigencia del bien común en una sociedad democrática (art. 32.2). </w:t>
      </w:r>
    </w:p>
    <w:p w14:paraId="66FACC66" w14:textId="008AADBA"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64. </w:t>
      </w:r>
      <w:r w:rsidRPr="00D86945">
        <w:rPr>
          <w:rFonts w:ascii="Verdana" w:hAnsi="Verdana" w:cs="Times New Roman"/>
          <w:sz w:val="20"/>
          <w:szCs w:val="20"/>
          <w:lang w:val="es-ES"/>
        </w:rPr>
        <w:tab/>
        <w:t xml:space="preserve">En efecto, una acepción posible del orden público dentro del marco de la Convención, hace referencia a las condiciones que aseguran el funcionamiento armónico y normal de las instituciones sobre la base de un sistema coherente de valores y principios. En tal sentido podrían justificarse restricciones al ejercicio de ciertos derechos y libertades para asegurar el orden público. La Corte interpreta que el alegato según el cual la colegiación obligatoria es estructuralmente el modo de organizar el ejercicio de las profesiones en general y que ello justifica que se someta a dicho régimen también a los periodistas, implica la idea de que tal colegiación se basa en el orden público. </w:t>
      </w:r>
    </w:p>
    <w:p w14:paraId="702F8438" w14:textId="63376F7E"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67. </w:t>
      </w:r>
      <w:r w:rsidRPr="00D86945">
        <w:rPr>
          <w:rFonts w:ascii="Verdana" w:hAnsi="Verdana" w:cs="Times New Roman"/>
          <w:sz w:val="20"/>
          <w:szCs w:val="20"/>
          <w:lang w:val="es-ES"/>
        </w:rPr>
        <w:tab/>
        <w:t xml:space="preserve">No escapa a la Corte, sin embargo, la dificultad de precisar de modo unívoco los conceptos de "orden público" y "bien común", ni que ambos conceptos pueden ser usados tanto para afirmar los derechos de la persona frente al poder público, como para justificar limitaciones a esos derechos en nombre de los intereses colectivos. A este respecto debe subrayarse que de ninguna manera podrían invocarse el "orden público" o el "bien común" como medios para suprimir un derecho garantizado por la Convención o para desnaturalizarlo o privarlo de contenido real (ver el art. 29.a) de la Convención). Esos conceptos, en cuanto se invoquen como fundamento de limitaciones a los derechos humanos, deben ser objeto de una interpretación estrictamente ceñida a las "justas exigencias" de "una sociedad democrática" que tenga en cuenta el equilibrio entre los distintos intereses en juego y la necesidad de preservar el objeto y fin de la Convención. </w:t>
      </w:r>
    </w:p>
    <w:p w14:paraId="000030B6" w14:textId="60BD1415"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68. </w:t>
      </w:r>
      <w:r w:rsidRPr="00D86945">
        <w:rPr>
          <w:rFonts w:ascii="Verdana" w:hAnsi="Verdana" w:cs="Times New Roman"/>
          <w:sz w:val="20"/>
          <w:szCs w:val="20"/>
          <w:lang w:val="es-ES"/>
        </w:rPr>
        <w:tab/>
        <w:t xml:space="preserve">La Corte observa que la organización de las profesiones en general, en colegios profesionales, no es </w:t>
      </w:r>
      <w:r w:rsidRPr="00D86945">
        <w:rPr>
          <w:rFonts w:ascii="Verdana" w:hAnsi="Verdana" w:cs="Times New Roman"/>
          <w:b/>
          <w:sz w:val="20"/>
          <w:szCs w:val="20"/>
          <w:lang w:val="es-ES"/>
        </w:rPr>
        <w:t>per se</w:t>
      </w:r>
      <w:r w:rsidRPr="00D86945">
        <w:rPr>
          <w:rFonts w:ascii="Verdana" w:hAnsi="Verdana" w:cs="Times New Roman"/>
          <w:sz w:val="20"/>
          <w:szCs w:val="20"/>
          <w:lang w:val="es-ES"/>
        </w:rPr>
        <w:t xml:space="preserve"> contraria a la Convención sino que constituye un medio de regulación y de control de la fe pública y de la ética a través de la actuación de los colegas. Por ello, si se considera la noción de orden público en el sentido referido anteriormente, es decir, como las condiciones que aseguran el funcionamiento armónico y normal de las instituciones sobre la base de un sistema coherente de valores y principios, es posible concluir que la organización del ejercicio de las profesiones está implicada en ese orden. </w:t>
      </w:r>
    </w:p>
    <w:p w14:paraId="729379FB" w14:textId="50B850BB"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69. </w:t>
      </w:r>
      <w:r w:rsidRPr="00D86945">
        <w:rPr>
          <w:rFonts w:ascii="Verdana" w:hAnsi="Verdana" w:cs="Times New Roman"/>
          <w:sz w:val="20"/>
          <w:szCs w:val="20"/>
          <w:lang w:val="es-ES"/>
        </w:rPr>
        <w:tab/>
        <w:t xml:space="preserve">Considera la Corte, sin embargo, que el mismo concepto de orden público reclama que, dentro de una sociedad democrática, se garanticen las mayores posibilidades de circulación de noticias, ideas y opiniones, así como el más amplio acceso a la información por parte de la sociedad en su conjunto. </w:t>
      </w:r>
      <w:r w:rsidRPr="00D86945">
        <w:rPr>
          <w:rFonts w:ascii="Verdana" w:hAnsi="Verdana" w:cs="Times New Roman"/>
          <w:b/>
          <w:sz w:val="20"/>
          <w:szCs w:val="20"/>
          <w:lang w:val="es-ES"/>
        </w:rPr>
        <w:t>La libertad de expresión se inserta en el orden público primario y radical de la democracia</w:t>
      </w:r>
      <w:r w:rsidRPr="00D86945">
        <w:rPr>
          <w:rFonts w:ascii="Verdana" w:hAnsi="Verdana" w:cs="Times New Roman"/>
          <w:sz w:val="20"/>
          <w:szCs w:val="20"/>
          <w:lang w:val="es-ES"/>
        </w:rPr>
        <w:t xml:space="preserve">, </w:t>
      </w:r>
      <w:r w:rsidRPr="00D86945">
        <w:rPr>
          <w:rFonts w:ascii="Verdana" w:hAnsi="Verdana" w:cs="Times New Roman"/>
          <w:sz w:val="20"/>
          <w:szCs w:val="20"/>
          <w:lang w:val="es-ES"/>
        </w:rPr>
        <w:lastRenderedPageBreak/>
        <w:t xml:space="preserve">que no es concebible sin el debate libre y sin que la disidencia tenga pleno derecho de manifestarse. En este sentido, la Corte adhiere a las ideas expuestas por la Comisión Europea de Derechos Humanos cuando, basándose en el Preámbulo de la Convención Europea, señaló: </w:t>
      </w:r>
    </w:p>
    <w:p w14:paraId="1EBB7C49" w14:textId="591A22C8" w:rsidR="00987FF9" w:rsidRPr="004F4FE7" w:rsidRDefault="00987FF9" w:rsidP="004F4FE7">
      <w:pPr>
        <w:spacing w:line="240" w:lineRule="auto"/>
        <w:ind w:left="1416" w:right="49"/>
        <w:jc w:val="both"/>
        <w:rPr>
          <w:rFonts w:ascii="Verdana" w:hAnsi="Verdana" w:cs="Times New Roman"/>
          <w:sz w:val="18"/>
          <w:szCs w:val="18"/>
          <w:lang w:val="es-CL"/>
        </w:rPr>
      </w:pPr>
      <w:r w:rsidRPr="004F4FE7">
        <w:rPr>
          <w:rFonts w:ascii="Verdana" w:hAnsi="Verdana" w:cs="Times New Roman"/>
          <w:sz w:val="18"/>
          <w:szCs w:val="18"/>
          <w:lang w:val="es-ES"/>
        </w:rPr>
        <w:t xml:space="preserve">que el propósito de las Altas Partes Contratantes al aprobar la Convención no fue concederse derechos y obligaciones recíprocos con el fin de satisfacer sus intereses nacionales sino... establecer un orden público común de las democracias libres de Europa con el objetivo de salvaguardar su herencia común de tradiciones políticas, ideales, libertad y régimen de derecho. </w:t>
      </w:r>
      <w:r w:rsidR="004F4FE7">
        <w:rPr>
          <w:rFonts w:ascii="Verdana" w:hAnsi="Verdana" w:cs="Times New Roman"/>
          <w:sz w:val="18"/>
          <w:szCs w:val="18"/>
          <w:lang w:val="es-ES"/>
        </w:rPr>
        <w:t>(</w:t>
      </w:r>
      <w:r w:rsidR="004F4FE7" w:rsidRPr="004F4FE7">
        <w:rPr>
          <w:rFonts w:ascii="Verdana" w:hAnsi="Verdana" w:cs="Times New Roman"/>
          <w:sz w:val="18"/>
          <w:szCs w:val="18"/>
          <w:lang w:val="es-CL"/>
        </w:rPr>
        <w:t>…</w:t>
      </w:r>
      <w:r w:rsidRPr="004F4FE7">
        <w:rPr>
          <w:rFonts w:ascii="Verdana" w:hAnsi="Verdana" w:cs="Times New Roman"/>
          <w:sz w:val="18"/>
          <w:szCs w:val="18"/>
          <w:lang w:val="es-CL"/>
        </w:rPr>
        <w:t>).</w:t>
      </w:r>
    </w:p>
    <w:p w14:paraId="5D89703B" w14:textId="4F60CA55" w:rsidR="00987FF9" w:rsidRPr="004F4FE7" w:rsidRDefault="00987FF9" w:rsidP="004F4FE7">
      <w:pPr>
        <w:spacing w:line="240" w:lineRule="auto"/>
        <w:ind w:right="49"/>
        <w:jc w:val="both"/>
        <w:rPr>
          <w:rFonts w:ascii="Verdana" w:hAnsi="Verdana" w:cs="Times New Roman"/>
          <w:sz w:val="18"/>
          <w:szCs w:val="18"/>
          <w:lang w:val="es-ES"/>
        </w:rPr>
      </w:pPr>
      <w:r w:rsidRPr="00D86945">
        <w:rPr>
          <w:rFonts w:ascii="Verdana" w:hAnsi="Verdana" w:cs="Times New Roman"/>
          <w:sz w:val="20"/>
          <w:szCs w:val="20"/>
          <w:lang w:val="es-ES"/>
        </w:rPr>
        <w:t xml:space="preserve">También interesa al orden público democrático, tal como está concebido por la Convención Americana, que se respete escrupulosamente el derecho de cada ser humano de expresarse libremente y el de la sociedad en su conjunto de recibir información. </w:t>
      </w:r>
      <w:r w:rsidR="00F532AD">
        <w:rPr>
          <w:rFonts w:ascii="Verdana" w:hAnsi="Verdana" w:cs="Times New Roman"/>
          <w:b/>
          <w:bCs/>
          <w:sz w:val="20"/>
          <w:szCs w:val="20"/>
          <w:lang w:val="es-ES"/>
        </w:rPr>
        <w:t>[</w:t>
      </w:r>
      <w:r w:rsidR="002A5747">
        <w:rPr>
          <w:rFonts w:ascii="Verdana" w:hAnsi="Verdana" w:cs="Times New Roman"/>
          <w:b/>
          <w:sz w:val="18"/>
          <w:szCs w:val="18"/>
          <w:lang w:val="es-ES"/>
        </w:rPr>
        <w:t>En similar sentido, ver entre otros:</w:t>
      </w:r>
      <w:r w:rsidRPr="004F4FE7">
        <w:rPr>
          <w:rFonts w:ascii="Verdana" w:hAnsi="Verdana" w:cs="Times New Roman"/>
          <w:sz w:val="18"/>
          <w:szCs w:val="18"/>
          <w:lang w:val="es-ES"/>
        </w:rPr>
        <w:t xml:space="preserve"> </w:t>
      </w:r>
      <w:r w:rsidRPr="004F4FE7">
        <w:rPr>
          <w:rFonts w:ascii="Verdana" w:hAnsi="Verdana" w:cs="Times New Roman"/>
          <w:b/>
          <w:sz w:val="18"/>
          <w:szCs w:val="18"/>
          <w:lang w:val="es-ES"/>
        </w:rPr>
        <w:t xml:space="preserve">Caso </w:t>
      </w:r>
      <w:proofErr w:type="spellStart"/>
      <w:r w:rsidRPr="004F4FE7">
        <w:rPr>
          <w:rFonts w:ascii="Verdana" w:hAnsi="Verdana" w:cs="Times New Roman"/>
          <w:b/>
          <w:sz w:val="18"/>
          <w:szCs w:val="18"/>
          <w:lang w:val="es-ES"/>
        </w:rPr>
        <w:t>Ivcher</w:t>
      </w:r>
      <w:proofErr w:type="spellEnd"/>
      <w:r w:rsidRPr="004F4FE7">
        <w:rPr>
          <w:rFonts w:ascii="Verdana" w:hAnsi="Verdana" w:cs="Times New Roman"/>
          <w:b/>
          <w:sz w:val="18"/>
          <w:szCs w:val="18"/>
          <w:lang w:val="es-ES"/>
        </w:rPr>
        <w:t xml:space="preserve"> </w:t>
      </w:r>
      <w:proofErr w:type="spellStart"/>
      <w:r w:rsidRPr="004F4FE7">
        <w:rPr>
          <w:rFonts w:ascii="Verdana" w:hAnsi="Verdana" w:cs="Times New Roman"/>
          <w:b/>
          <w:sz w:val="18"/>
          <w:szCs w:val="18"/>
          <w:lang w:val="es-ES"/>
        </w:rPr>
        <w:t>Bronstein</w:t>
      </w:r>
      <w:proofErr w:type="spellEnd"/>
      <w:r w:rsidRPr="004F4FE7">
        <w:rPr>
          <w:rFonts w:ascii="Verdana" w:hAnsi="Verdana" w:cs="Times New Roman"/>
          <w:b/>
          <w:sz w:val="18"/>
          <w:szCs w:val="18"/>
          <w:lang w:val="es-ES"/>
        </w:rPr>
        <w:t xml:space="preserve"> Vs. Perú. Fondo, Reparaciones y Costas. Sentencia de 6 de febrero de 2001. Serie C No. 74, párr.151</w:t>
      </w:r>
      <w:r w:rsidR="00F532AD">
        <w:rPr>
          <w:rFonts w:ascii="Verdana" w:hAnsi="Verdana" w:cs="Times New Roman"/>
          <w:b/>
          <w:sz w:val="18"/>
          <w:szCs w:val="18"/>
          <w:lang w:val="es-ES"/>
        </w:rPr>
        <w:t>]</w:t>
      </w:r>
      <w:r w:rsidRPr="004F4FE7">
        <w:rPr>
          <w:rFonts w:ascii="Verdana" w:hAnsi="Verdana" w:cs="Times New Roman"/>
          <w:b/>
          <w:sz w:val="18"/>
          <w:szCs w:val="18"/>
          <w:lang w:val="es-ES"/>
        </w:rPr>
        <w:t>.</w:t>
      </w:r>
    </w:p>
    <w:p w14:paraId="6AA130B1" w14:textId="6227C0D5"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75. </w:t>
      </w:r>
      <w:r w:rsidRPr="00D86945">
        <w:rPr>
          <w:rFonts w:ascii="Verdana" w:hAnsi="Verdana" w:cs="Times New Roman"/>
          <w:sz w:val="20"/>
          <w:szCs w:val="20"/>
          <w:lang w:val="es-ES"/>
        </w:rPr>
        <w:tab/>
        <w:t xml:space="preserve">Por otra parte, el argumento comentado en el párrafo anterior, no tiene en cuenta que la libertad de expresión comprende dar y recibir información y tiene una doble dimensión, individual y colectiva. Esta circunstancia indica que el fenómeno de si ese derecho se ejerce o no como profesión remunerada, no puede ser considerado como una de aquellas restricciones contempladas por el artículo 13.2 de la Convención porque, sin desconocer que un gremio tiene derecho de buscar las mejores condiciones de trabajo, </w:t>
      </w:r>
      <w:proofErr w:type="spellStart"/>
      <w:r w:rsidRPr="00D86945">
        <w:rPr>
          <w:rFonts w:ascii="Verdana" w:hAnsi="Verdana" w:cs="Times New Roman"/>
          <w:sz w:val="20"/>
          <w:szCs w:val="20"/>
          <w:lang w:val="es-ES"/>
        </w:rPr>
        <w:t>ésto</w:t>
      </w:r>
      <w:proofErr w:type="spellEnd"/>
      <w:r w:rsidRPr="00D86945">
        <w:rPr>
          <w:rFonts w:ascii="Verdana" w:hAnsi="Verdana" w:cs="Times New Roman"/>
          <w:sz w:val="20"/>
          <w:szCs w:val="20"/>
          <w:lang w:val="es-ES"/>
        </w:rPr>
        <w:t xml:space="preserve"> no tiene por qué hacerse cerrando a la sociedad posibles fuentes de donde obtener información. </w:t>
      </w:r>
    </w:p>
    <w:p w14:paraId="2C49922B" w14:textId="4ED59C9E"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76. </w:t>
      </w:r>
      <w:r w:rsidRPr="00D86945">
        <w:rPr>
          <w:rFonts w:ascii="Verdana" w:hAnsi="Verdana" w:cs="Times New Roman"/>
          <w:sz w:val="20"/>
          <w:szCs w:val="20"/>
          <w:lang w:val="es-ES"/>
        </w:rPr>
        <w:tab/>
        <w:t xml:space="preserve">La Corte concluye, en consecuencia, que las razones de orden público que son válidas para justificar la colegiación obligatoria de otras profesiones no pueden invocarse en el caso del periodismo, pues conducen a limitar de modo permanente, en perjuicio de los no colegiados, el derecho de hacer uso pleno de las facultades que reconoce a todo ser humano el artículo 13 de la Convención, lo cual infringe principios primarios del orden público democrático sobre el que ella misma se fundamenta. </w:t>
      </w:r>
    </w:p>
    <w:p w14:paraId="31E9BDD4" w14:textId="73E63230"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77. </w:t>
      </w:r>
      <w:r w:rsidRPr="00D86945">
        <w:rPr>
          <w:rFonts w:ascii="Verdana" w:hAnsi="Verdana" w:cs="Times New Roman"/>
          <w:sz w:val="20"/>
          <w:szCs w:val="20"/>
          <w:lang w:val="es-ES"/>
        </w:rPr>
        <w:tab/>
        <w:t xml:space="preserve">Los argumentos acerca de que la colegiación es la manera de garantizar a la sociedad una información objetiva y veraz a través de un régimen de ética y responsabilidad profesionales han sido fundados en el bien común. Pero en realidad como ha sido demostrado, el bien común reclama la máxima posibilidad de información y es el pleno ejercicio del derecho a la expresión lo que la favorece. Resulta en principio contradictorio invocar una restricción a la libertad de expresión como un medio para garantizarla, porque es desconocer el carácter radical y primario de ese derecho como inherente a cada ser humano individualmente considerado, aunque atributo, igualmente, de la sociedad en su conjunto. Un sistema de control al derecho de expresión en nombre de una supuesta garantía de la corrección y veracidad de la información que la sociedad recibe puede ser fuente de grandes abusos y, en el fondo, viola el derecho a la información que tiene esa misma sociedad. </w:t>
      </w:r>
    </w:p>
    <w:p w14:paraId="3A32D50D" w14:textId="61203EA4"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78. </w:t>
      </w:r>
      <w:r w:rsidRPr="00D86945">
        <w:rPr>
          <w:rFonts w:ascii="Verdana" w:hAnsi="Verdana" w:cs="Times New Roman"/>
          <w:sz w:val="20"/>
          <w:szCs w:val="20"/>
          <w:lang w:val="es-ES"/>
        </w:rPr>
        <w:tab/>
        <w:t xml:space="preserve">Se ha señalado igualmente que la colegiación de los periodistas es un medio para el fortalecimiento del gremio y, por ende, una garantía de la libertad e independencia de esos profesionales y un imperativo del bien común. No escapa a la Corte que la libre circulación de ideas y noticias no es concebible sino dentro de una pluralidad de fuentes de información y del respeto a los medios de comunicación. Pero no basta para ello que se garantice el derecho de fundar o dirigir órganos de opinión pública, sino que es necesario también que los periodistas y, en general, todos aquéllos que se dedican profesionalmente a la comunicación social, puedan trabajar con protección suficiente para la libertad e independencia que requiere este oficio. Se trata, pues, de un argumento fundado en un interés legítimo de los </w:t>
      </w:r>
      <w:r w:rsidRPr="00D86945">
        <w:rPr>
          <w:rFonts w:ascii="Verdana" w:hAnsi="Verdana" w:cs="Times New Roman"/>
          <w:sz w:val="20"/>
          <w:szCs w:val="20"/>
          <w:lang w:val="es-ES"/>
        </w:rPr>
        <w:lastRenderedPageBreak/>
        <w:t xml:space="preserve">periodistas y de la colectividad en general, tanto más cuanto son posibles e, incluso, conocidas las manipulaciones sobre la verdad de los sucesos como producto de decisiones adoptadas por algunos medios de comunicación estatales o privados. </w:t>
      </w:r>
    </w:p>
    <w:p w14:paraId="37C3A0C1" w14:textId="4209CB34"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79. </w:t>
      </w:r>
      <w:r w:rsidRPr="00D86945">
        <w:rPr>
          <w:rFonts w:ascii="Verdana" w:hAnsi="Verdana" w:cs="Times New Roman"/>
          <w:sz w:val="20"/>
          <w:szCs w:val="20"/>
          <w:lang w:val="es-ES"/>
        </w:rPr>
        <w:tab/>
        <w:t xml:space="preserve">En consecuencia, la Corte estima que la libertad e independencia de los periodistas es un bien que es preciso proteger y garantizar. Sin embargo, en los términos de la Convención, las restricciones autorizadas para la libertad de expresión deben ser las "necesarias para asegurar" la obtención de ciertos fines legítimos, es decir que no basta que la restricción sea útil </w:t>
      </w:r>
      <w:r w:rsidR="005E0C2B">
        <w:rPr>
          <w:rFonts w:ascii="Verdana" w:hAnsi="Verdana" w:cs="Times New Roman"/>
          <w:sz w:val="20"/>
          <w:szCs w:val="20"/>
          <w:lang w:val="es-ES"/>
        </w:rPr>
        <w:t>[...]</w:t>
      </w:r>
      <w:r w:rsidRPr="00D86945">
        <w:rPr>
          <w:rFonts w:ascii="Verdana" w:hAnsi="Verdana" w:cs="Times New Roman"/>
          <w:sz w:val="20"/>
          <w:szCs w:val="20"/>
          <w:lang w:val="es-ES"/>
        </w:rPr>
        <w:t xml:space="preserve"> para la obtención de ese fin, </w:t>
      </w:r>
      <w:proofErr w:type="spellStart"/>
      <w:r w:rsidRPr="00D86945">
        <w:rPr>
          <w:rFonts w:ascii="Verdana" w:hAnsi="Verdana" w:cs="Times New Roman"/>
          <w:sz w:val="20"/>
          <w:szCs w:val="20"/>
          <w:lang w:val="es-ES"/>
        </w:rPr>
        <w:t>ésto</w:t>
      </w:r>
      <w:proofErr w:type="spellEnd"/>
      <w:r w:rsidRPr="00D86945">
        <w:rPr>
          <w:rFonts w:ascii="Verdana" w:hAnsi="Verdana" w:cs="Times New Roman"/>
          <w:sz w:val="20"/>
          <w:szCs w:val="20"/>
          <w:lang w:val="es-ES"/>
        </w:rPr>
        <w:t xml:space="preserve"> es, que se pueda alcanzar a través de ella, sino que debe ser necesaria, es decir que no pueda alcanzarse razonablemente por otro medio menos restrictivo de un derecho protegido por la Convención. En este sentido, la colegiación obligatoria de los periodistas no se ajusta a lo requerido por el artículo 13.2 de la Convención, porque es perfectamente concebible establecer un estatuto que proteja la libertad e independencia de todos aquellos que ejerzan el periodismo, sin necesidad de dejar ese ejercicio solamente a un grupo restringido de la comunidad. </w:t>
      </w:r>
    </w:p>
    <w:p w14:paraId="127E53BB" w14:textId="0AAF98B2"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80. </w:t>
      </w:r>
      <w:r w:rsidRPr="00D86945">
        <w:rPr>
          <w:rFonts w:ascii="Verdana" w:hAnsi="Verdana" w:cs="Times New Roman"/>
          <w:sz w:val="20"/>
          <w:szCs w:val="20"/>
          <w:lang w:val="es-ES"/>
        </w:rPr>
        <w:tab/>
        <w:t xml:space="preserve">También está conforme la Corte con la necesidad de establecer un régimen que asegure la responsabilidad y la ética profesional de los periodistas y que sancione las infracciones a esa ética. Igualmente considera que puede ser apropiado que un Estado delegue, por ley, autoridad para aplicar sanciones por las infracciones a la responsabilidad y ética profesionales. Pero, en lo que se refiere a los periodistas, deben tenerse en cuenta las restricciones del artículo 13.2 y las características propias de este ejercicio profesional a que se hizo referencia antes </w:t>
      </w:r>
      <w:r w:rsidR="005E0C2B">
        <w:rPr>
          <w:rFonts w:ascii="Verdana" w:hAnsi="Verdana" w:cs="Times New Roman"/>
          <w:sz w:val="20"/>
          <w:szCs w:val="20"/>
          <w:lang w:val="es-ES"/>
        </w:rPr>
        <w:t>[...]</w:t>
      </w:r>
      <w:r w:rsidRPr="00D86945">
        <w:rPr>
          <w:rFonts w:ascii="Verdana" w:hAnsi="Verdana" w:cs="Times New Roman"/>
          <w:sz w:val="20"/>
          <w:szCs w:val="20"/>
          <w:lang w:val="es-ES"/>
        </w:rPr>
        <w:t xml:space="preserve">. </w:t>
      </w:r>
    </w:p>
    <w:p w14:paraId="452067E2" w14:textId="10C9C426"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81. </w:t>
      </w:r>
      <w:r w:rsidRPr="00D86945">
        <w:rPr>
          <w:rFonts w:ascii="Verdana" w:hAnsi="Verdana" w:cs="Times New Roman"/>
          <w:sz w:val="20"/>
          <w:szCs w:val="20"/>
          <w:lang w:val="es-ES"/>
        </w:rPr>
        <w:tab/>
        <w:t xml:space="preserve">De las anteriores consideraciones se desprende que no es compatible con la Convención una ley de colegiación de periodistas que impida el ejercicio del periodismo a quienes no sean miembros del colegio y limite el acceso a éste a los graduados en una determinada carrera universitaria. Una ley semejante contendría restricciones a la libertad de expresión no autorizadas por el artículo 13.2 de la Convención y sería, en consecuencia, violatoria tanto del derecho de toda persona a buscar y difundir informaciones e ideas por cualquier medio de su elección, como del derecho de la colectividad en general a recibir información sin trabas. </w:t>
      </w:r>
    </w:p>
    <w:p w14:paraId="628899C8" w14:textId="7D4A21E2" w:rsidR="00987FF9" w:rsidRPr="00D86945" w:rsidRDefault="00215583" w:rsidP="00215583">
      <w:pPr>
        <w:pStyle w:val="Ttulo4"/>
      </w:pPr>
      <w:r>
        <w:t>IV</w:t>
      </w:r>
      <w:r w:rsidR="00904DBE" w:rsidRPr="00D86945">
        <w:t>)</w:t>
      </w:r>
      <w:r w:rsidR="00987FF9" w:rsidRPr="00D86945">
        <w:t xml:space="preserve"> Proporcionalidad y necesariedad de la medida de restricción en una sociedad democrática</w:t>
      </w:r>
    </w:p>
    <w:p w14:paraId="7C3E3838" w14:textId="31AFA3CB" w:rsidR="00987FF9" w:rsidRPr="00D86945" w:rsidRDefault="00987FF9" w:rsidP="004F4FE7">
      <w:pPr>
        <w:spacing w:line="240" w:lineRule="auto"/>
        <w:ind w:right="49"/>
        <w:jc w:val="both"/>
        <w:rPr>
          <w:rFonts w:ascii="Verdana" w:hAnsi="Verdana" w:cs="Times New Roman"/>
          <w:b/>
          <w:bCs/>
          <w:sz w:val="20"/>
          <w:szCs w:val="20"/>
        </w:rPr>
      </w:pPr>
      <w:r w:rsidRPr="00D86945">
        <w:rPr>
          <w:rFonts w:ascii="Verdana" w:hAnsi="Verdana" w:cs="Times New Roman"/>
          <w:b/>
          <w:bCs/>
          <w:sz w:val="20"/>
          <w:szCs w:val="20"/>
        </w:rPr>
        <w:t>Corte IDH. La colegiación obligatoria de periodistas (Arts. 13 y 29 Convención Americana sobre Derechos Humanos). Opinión Consultiva OC-5/85 de 13 de noviembre de 1985. Serie A No. 5</w:t>
      </w:r>
      <w:r w:rsidR="00F532AD">
        <w:rPr>
          <w:rFonts w:ascii="Verdana" w:hAnsi="Verdana" w:cs="Times New Roman"/>
          <w:b/>
          <w:bCs/>
          <w:sz w:val="20"/>
          <w:szCs w:val="20"/>
        </w:rPr>
        <w:t>.</w:t>
      </w:r>
    </w:p>
    <w:p w14:paraId="6070155F" w14:textId="344B62CE"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44. </w:t>
      </w:r>
      <w:r w:rsidRPr="00D86945">
        <w:rPr>
          <w:rFonts w:ascii="Verdana" w:hAnsi="Verdana" w:cs="Times New Roman"/>
          <w:sz w:val="20"/>
          <w:szCs w:val="20"/>
          <w:lang w:val="es-ES"/>
        </w:rPr>
        <w:tab/>
        <w:t xml:space="preserve">Es cierto que la Convención Europea utiliza la expresión "necesarias en una sociedad democrática", mientras que el artículo 13 de la Convención Americana omite esos términos específicos. Sin embargo, esta diferencia en la terminología pierde significado puesto que la Convención Europea no contiene ninguna provisión comparable con el artículo 29 de la Americana, que dispone reglas para interpretar sus disposiciones y prohíbe que la interpretación pueda "excluir otros derechos y garantías... que se derivan de la forma democrática representativa de gobierno". Debe enfatizarse, también, que el artículo 29 d) de la Convención Americana prohíbe toda interpretación que conduzca a "excluir o limitar el efecto que puedan producir la Declaración Americana de Derechos y Deberes del Hombre...", reconocida como parte del sistema normativo por los Estados Miembros de la OEA en el artículo 1.2 del Estatuto de la Comisión. El artículo XXVIII de la Declaración Americana de los Derechos y Deberes del Hombre por su parte, dice lo siguiente: </w:t>
      </w:r>
    </w:p>
    <w:p w14:paraId="1B664CFE" w14:textId="4B1A57C5" w:rsidR="00987FF9" w:rsidRPr="004F4FE7" w:rsidRDefault="00987FF9" w:rsidP="004F4FE7">
      <w:pPr>
        <w:spacing w:line="240" w:lineRule="auto"/>
        <w:ind w:left="1416" w:right="49"/>
        <w:jc w:val="both"/>
        <w:rPr>
          <w:rFonts w:ascii="Verdana" w:hAnsi="Verdana" w:cs="Times New Roman"/>
          <w:sz w:val="18"/>
          <w:szCs w:val="18"/>
          <w:lang w:val="es-ES"/>
        </w:rPr>
      </w:pPr>
      <w:r w:rsidRPr="004F4FE7">
        <w:rPr>
          <w:rFonts w:ascii="Verdana" w:hAnsi="Verdana" w:cs="Times New Roman"/>
          <w:sz w:val="18"/>
          <w:szCs w:val="18"/>
          <w:lang w:val="es-ES"/>
        </w:rPr>
        <w:t>Los derechos de cada hombre están limitados por los derechos de los demás, por la seguridad de todos y por las justas exigencias del bienestar general y del desenvolvimiento democrático.</w:t>
      </w:r>
    </w:p>
    <w:p w14:paraId="42F45AAE" w14:textId="4CA5FFBA"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lastRenderedPageBreak/>
        <w:t xml:space="preserve">Las justas exigencias de la democracia deben, por consiguiente, orientar la interpretación de la Convención y, en particular, de aquellas disposiciones que están críticamente relacionadas con la preservación y el funcionamiento de las instituciones democráticas. </w:t>
      </w:r>
    </w:p>
    <w:p w14:paraId="5ED879F1" w14:textId="17505046"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45. </w:t>
      </w:r>
      <w:r w:rsidRPr="00D86945">
        <w:rPr>
          <w:rFonts w:ascii="Verdana" w:hAnsi="Verdana" w:cs="Times New Roman"/>
          <w:sz w:val="20"/>
          <w:szCs w:val="20"/>
          <w:lang w:val="es-ES"/>
        </w:rPr>
        <w:tab/>
        <w:t>La forma como está redactado el artículo 13 de la Convención Americana difiere muy significativamente del artículo 10 de la Convención Europea, que está formulado en términos muy generales. En este último, sin una mención específica a lo "</w:t>
      </w:r>
      <w:proofErr w:type="spellStart"/>
      <w:r w:rsidRPr="00D86945">
        <w:rPr>
          <w:rFonts w:ascii="Verdana" w:hAnsi="Verdana" w:cs="Times New Roman"/>
          <w:sz w:val="20"/>
          <w:szCs w:val="20"/>
          <w:lang w:val="es-ES"/>
        </w:rPr>
        <w:t>necesari</w:t>
      </w:r>
      <w:proofErr w:type="spellEnd"/>
      <w:r w:rsidRPr="00D86945">
        <w:rPr>
          <w:rFonts w:ascii="Verdana" w:hAnsi="Verdana" w:cs="Times New Roman"/>
          <w:sz w:val="20"/>
          <w:szCs w:val="20"/>
          <w:lang w:val="es-ES"/>
        </w:rPr>
        <w:t xml:space="preserve">(o) en una sociedad democrática", habría sido muy difícil delimitar la larga lista de restricciones autorizadas. En realidad, el artículo 13 de la Convención Americana al que sirvió de modelo en parte el artículo 19 del Pacto, contiene una lista más reducida de restricciones que la Convención Europea y que el mismo Pacto, sólo sea porque éste no prohíbe expresamente la censura previa. </w:t>
      </w:r>
    </w:p>
    <w:p w14:paraId="558D13F1" w14:textId="3EF50FB6" w:rsidR="00987FF9" w:rsidRPr="00D86945" w:rsidRDefault="00987FF9" w:rsidP="004F4FE7">
      <w:pPr>
        <w:spacing w:line="240" w:lineRule="auto"/>
        <w:ind w:right="49"/>
        <w:jc w:val="both"/>
        <w:rPr>
          <w:rFonts w:ascii="Verdana" w:hAnsi="Verdana" w:cs="Times New Roman"/>
          <w:b/>
          <w:sz w:val="18"/>
          <w:szCs w:val="18"/>
        </w:rPr>
      </w:pPr>
      <w:r w:rsidRPr="00D86945">
        <w:rPr>
          <w:rFonts w:ascii="Verdana" w:hAnsi="Verdana" w:cs="Times New Roman"/>
          <w:sz w:val="20"/>
          <w:szCs w:val="20"/>
          <w:lang w:val="es-ES"/>
        </w:rPr>
        <w:t xml:space="preserve">46. </w:t>
      </w:r>
      <w:r w:rsidRPr="00D86945">
        <w:rPr>
          <w:rFonts w:ascii="Verdana" w:hAnsi="Verdana" w:cs="Times New Roman"/>
          <w:sz w:val="20"/>
          <w:szCs w:val="20"/>
          <w:lang w:val="es-ES"/>
        </w:rPr>
        <w:tab/>
        <w:t xml:space="preserve">Es importante destacar que la Corte Europea de Derechos Humanos al interpretar el artículo 10 de la Convención Europea, concluyó que "necesarias", sin ser sinónimo de "indispensables", implica la "existencia de una" necesidad social imperiosa" y que para que una restricción sea "necesaria" no es suficiente demostrar que sea "útil", "razonable" u "oportuna". </w:t>
      </w:r>
      <w:r w:rsidRPr="00BF3BF6">
        <w:rPr>
          <w:rFonts w:ascii="Verdana" w:hAnsi="Verdana" w:cs="Times New Roman"/>
          <w:sz w:val="20"/>
          <w:szCs w:val="20"/>
          <w:lang w:val="es-CL"/>
        </w:rPr>
        <w:t>(</w:t>
      </w:r>
      <w:r w:rsidR="004F4FE7" w:rsidRPr="00BF3BF6">
        <w:rPr>
          <w:rFonts w:ascii="Verdana" w:hAnsi="Verdana" w:cs="Times New Roman"/>
          <w:sz w:val="20"/>
          <w:szCs w:val="20"/>
          <w:lang w:val="es-CL"/>
        </w:rPr>
        <w:t>…</w:t>
      </w:r>
      <w:r w:rsidRPr="00D86945">
        <w:rPr>
          <w:rFonts w:ascii="Verdana" w:hAnsi="Verdana" w:cs="Times New Roman"/>
          <w:sz w:val="20"/>
          <w:szCs w:val="20"/>
          <w:lang w:val="es-ES"/>
        </w:rPr>
        <w:t xml:space="preserve">). Esta conclusión, que es igualmente aplicable a la Convención Americana, sugiere que la " necesidad " y, por ende, la legalidad de las restricciones a la libertad de expresión fundadas sobre el artículo 13.2, dependerá de que estén orientadas a satisfacer un interés público imperativo. Entre varias opciones para alcanzar ese objetivo debe escogerse aquélla que restrinja en menor escala el derecho protegido. Dado este estándar, no es suficiente que se demuestre, por ejemplo, que la ley cumple un propósito útil u oportuno; para que sean compatibles con la Convención las restricciones deben justificarse según objetivos colectivos que, por su importancia, preponderen claramente sobre la necesidad social del pleno goce del derecho que el artículo 13 garantiza y no limiten más de lo estrictamente necesario el derecho proclamado en el artículo 13. Es decir, la restricción debe ser proporcionada al interés que la justifica y ajustarse estrechamente al logro de ese legítimo objetivo. </w:t>
      </w:r>
      <w:r w:rsidRPr="00BF3BF6">
        <w:rPr>
          <w:rFonts w:ascii="Verdana" w:hAnsi="Verdana" w:cs="Times New Roman"/>
          <w:sz w:val="20"/>
          <w:szCs w:val="20"/>
          <w:lang w:val="es-CL"/>
        </w:rPr>
        <w:t>(</w:t>
      </w:r>
      <w:r w:rsidR="009B449F" w:rsidRPr="00BF3BF6">
        <w:rPr>
          <w:rFonts w:ascii="Verdana" w:hAnsi="Verdana" w:cs="Times New Roman"/>
          <w:b/>
          <w:sz w:val="20"/>
          <w:szCs w:val="20"/>
          <w:lang w:val="es-CL"/>
        </w:rPr>
        <w:t>…</w:t>
      </w:r>
      <w:r w:rsidRPr="00BF3BF6">
        <w:rPr>
          <w:rFonts w:ascii="Verdana" w:hAnsi="Verdana" w:cs="Times New Roman"/>
          <w:sz w:val="20"/>
          <w:szCs w:val="20"/>
          <w:lang w:val="es-CL"/>
        </w:rPr>
        <w:t xml:space="preserve">). </w:t>
      </w:r>
      <w:r w:rsidR="00F532AD">
        <w:rPr>
          <w:rFonts w:ascii="Verdana" w:hAnsi="Verdana" w:cs="Times New Roman"/>
          <w:b/>
          <w:bCs/>
          <w:sz w:val="20"/>
          <w:szCs w:val="20"/>
          <w:lang w:val="es-CL"/>
        </w:rPr>
        <w:t>[</w:t>
      </w:r>
      <w:r w:rsidR="002A5747">
        <w:rPr>
          <w:rFonts w:ascii="Verdana" w:hAnsi="Verdana" w:cs="Times New Roman"/>
          <w:b/>
          <w:sz w:val="18"/>
          <w:szCs w:val="18"/>
        </w:rPr>
        <w:t>En similar sentido, ver entre otros:</w:t>
      </w:r>
      <w:r w:rsidRPr="00D86945">
        <w:rPr>
          <w:rFonts w:ascii="Verdana" w:hAnsi="Verdana" w:cs="Times New Roman"/>
          <w:sz w:val="18"/>
          <w:szCs w:val="18"/>
        </w:rPr>
        <w:t xml:space="preserve"> </w:t>
      </w:r>
      <w:r w:rsidRPr="00D86945">
        <w:rPr>
          <w:rFonts w:ascii="Verdana" w:hAnsi="Verdana" w:cs="Times New Roman"/>
          <w:b/>
          <w:sz w:val="18"/>
          <w:szCs w:val="18"/>
        </w:rPr>
        <w:t xml:space="preserve">Caso Herrera Ulloa Vs. Costa Rica. Excepciones Preliminares, Fondo, Reparaciones y Costas. Sentencia de 2 de julio de 2004. Serie C No. 107, párr.121; Caso Palamara Iribarne Vs. Chile. Fondo, Reparaciones y Costas. Sentencia de 22 de noviembre de 2005. Serie C No. 135, párr.87; Caso López Álvarez Vs. Honduras. Fondo, Reparaciones y Costas. Sentencia de 1 de febrero de 2006. Serie C No. 141, párr..165; Caso Claude Reyes y otros Vs. Chile. Fondo, Reparaciones y Costas. Sentencia de 19 de septiembre de 2006. Serie C No. 151, párr.91; </w:t>
      </w:r>
      <w:r w:rsidR="00F532AD">
        <w:rPr>
          <w:rFonts w:ascii="Verdana" w:hAnsi="Verdana" w:cs="Times New Roman"/>
          <w:b/>
          <w:sz w:val="18"/>
          <w:szCs w:val="18"/>
        </w:rPr>
        <w:t xml:space="preserve">y </w:t>
      </w:r>
      <w:r w:rsidRPr="00D86945">
        <w:rPr>
          <w:rFonts w:ascii="Verdana" w:hAnsi="Verdana" w:cs="Times New Roman"/>
          <w:b/>
          <w:sz w:val="18"/>
          <w:szCs w:val="18"/>
        </w:rPr>
        <w:t xml:space="preserve">Caso </w:t>
      </w:r>
      <w:proofErr w:type="spellStart"/>
      <w:r w:rsidRPr="00D86945">
        <w:rPr>
          <w:rFonts w:ascii="Verdana" w:hAnsi="Verdana" w:cs="Times New Roman"/>
          <w:b/>
          <w:sz w:val="18"/>
          <w:szCs w:val="18"/>
        </w:rPr>
        <w:t>Fontevecchia</w:t>
      </w:r>
      <w:proofErr w:type="spellEnd"/>
      <w:r w:rsidRPr="00D86945">
        <w:rPr>
          <w:rFonts w:ascii="Verdana" w:hAnsi="Verdana" w:cs="Times New Roman"/>
          <w:b/>
          <w:sz w:val="18"/>
          <w:szCs w:val="18"/>
        </w:rPr>
        <w:t xml:space="preserve"> y </w:t>
      </w:r>
      <w:proofErr w:type="spellStart"/>
      <w:r w:rsidRPr="00D86945">
        <w:rPr>
          <w:rFonts w:ascii="Verdana" w:hAnsi="Verdana" w:cs="Times New Roman"/>
          <w:b/>
          <w:sz w:val="18"/>
          <w:szCs w:val="18"/>
        </w:rPr>
        <w:t>D`Amico</w:t>
      </w:r>
      <w:proofErr w:type="spellEnd"/>
      <w:r w:rsidRPr="00D86945">
        <w:rPr>
          <w:rFonts w:ascii="Verdana" w:hAnsi="Verdana" w:cs="Times New Roman"/>
          <w:b/>
          <w:sz w:val="18"/>
          <w:szCs w:val="18"/>
        </w:rPr>
        <w:t xml:space="preserve"> Vs. Argentina. Fondo, Reparaciones y Costas. Sentencia de 29 de noviembre de 2011. Serie C No. 238, párr.54</w:t>
      </w:r>
      <w:r w:rsidR="00F532AD">
        <w:rPr>
          <w:rFonts w:ascii="Verdana" w:hAnsi="Verdana" w:cs="Times New Roman"/>
          <w:b/>
          <w:sz w:val="18"/>
          <w:szCs w:val="18"/>
        </w:rPr>
        <w:t>]</w:t>
      </w:r>
      <w:r w:rsidRPr="00D86945">
        <w:rPr>
          <w:rFonts w:ascii="Verdana" w:hAnsi="Verdana" w:cs="Times New Roman"/>
          <w:b/>
          <w:sz w:val="18"/>
          <w:szCs w:val="18"/>
        </w:rPr>
        <w:t>.</w:t>
      </w:r>
    </w:p>
    <w:p w14:paraId="40D8EE4F" w14:textId="2EEE9E07"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47. </w:t>
      </w:r>
      <w:r w:rsidRPr="00D86945">
        <w:rPr>
          <w:rFonts w:ascii="Verdana" w:hAnsi="Verdana" w:cs="Times New Roman"/>
          <w:sz w:val="20"/>
          <w:szCs w:val="20"/>
          <w:lang w:val="es-ES"/>
        </w:rPr>
        <w:tab/>
        <w:t xml:space="preserve">El artículo 13.2 tiene también que interpretarse de acuerdo con las disposiciones del artículo 13.3, que es el más explícito en prohibir las restricciones a la libertad de expresión mediante "vías o medios indirectos... encaminados a impedir la comunicación y la circulación de ideas y opiniones". Ni la Convención Europea ni el Pacto contienen una disposición comparable. Es, también, significativo que la norma del artículo 13.3 esté ubicada inmediatamente después de una disposición -el artículo 13.2- que se refiere a las restricciones permisibles al ejercicio de la libertad de expresión. Esa circunstancia sugiere el deseo de asegurar que los términos del artículo 13.2 no fuesen mal interpretados en el sentido de limitar, más allá de lo estrictamente necesario, el alcance pleno de la libertad de expresión. </w:t>
      </w:r>
    </w:p>
    <w:p w14:paraId="42C37C7A" w14:textId="133150E1"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57. </w:t>
      </w:r>
      <w:r w:rsidRPr="00D86945">
        <w:rPr>
          <w:rFonts w:ascii="Verdana" w:hAnsi="Verdana" w:cs="Times New Roman"/>
          <w:sz w:val="20"/>
          <w:szCs w:val="20"/>
          <w:lang w:val="es-ES"/>
        </w:rPr>
        <w:tab/>
        <w:t xml:space="preserve">Como ha quedado dicho en los párrafos precedentes una restricción a la libertad de expresión puede ser o no violatoria de la Convención, según se ajuste o no a los términos en que dichas restricciones están autorizadas por el artículo 13.2. Cabe entonces analizar la situación de la colegiación obligatoria de los periodistas frente a la mencionada disposición. </w:t>
      </w:r>
    </w:p>
    <w:p w14:paraId="5420C777" w14:textId="65F89583"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lastRenderedPageBreak/>
        <w:t xml:space="preserve">58. </w:t>
      </w:r>
      <w:r w:rsidRPr="00D86945">
        <w:rPr>
          <w:rFonts w:ascii="Verdana" w:hAnsi="Verdana" w:cs="Times New Roman"/>
          <w:sz w:val="20"/>
          <w:szCs w:val="20"/>
          <w:lang w:val="es-ES"/>
        </w:rPr>
        <w:tab/>
        <w:t xml:space="preserve">Por efecto de la colegiación obligatoria de los periodistas, la responsabilidad, incluso penal, de los no colegiados puede verse comprometida si, al "difundir informaciones e ideas de toda índole... por cualquier... procedimiento de su elección" invaden lo que, según la ley, constituye ejercicio profesional del periodismo. En consecuencia, esa colegiación envuelve una restricción al derecho de expresarse de los no colegiados, lo que obliga a examinar si sus fundamentos caben dentro de los considerados legítimos por la Convención para determinar si tal restricción es compatible con ella. </w:t>
      </w:r>
    </w:p>
    <w:p w14:paraId="3EBF003A" w14:textId="0C8CB143"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59. </w:t>
      </w:r>
      <w:r w:rsidRPr="00D86945">
        <w:rPr>
          <w:rFonts w:ascii="Verdana" w:hAnsi="Verdana" w:cs="Times New Roman"/>
          <w:sz w:val="20"/>
          <w:szCs w:val="20"/>
          <w:lang w:val="es-ES"/>
        </w:rPr>
        <w:tab/>
        <w:t xml:space="preserve">La cuestión que se plantea entonces es si los fines que se persiguen con tal colegiación entran dentro de los autorizados por la Convención, es decir, son </w:t>
      </w:r>
      <w:r w:rsidRPr="00D86945">
        <w:rPr>
          <w:rFonts w:ascii="Verdana" w:hAnsi="Verdana" w:cs="Times New Roman"/>
          <w:b/>
          <w:sz w:val="20"/>
          <w:szCs w:val="20"/>
          <w:lang w:val="es-ES"/>
        </w:rPr>
        <w:t>"</w:t>
      </w:r>
      <w:proofErr w:type="spellStart"/>
      <w:r w:rsidRPr="00D86945">
        <w:rPr>
          <w:rFonts w:ascii="Verdana" w:hAnsi="Verdana" w:cs="Times New Roman"/>
          <w:b/>
          <w:sz w:val="20"/>
          <w:szCs w:val="20"/>
          <w:lang w:val="es-ES"/>
        </w:rPr>
        <w:t>necesari</w:t>
      </w:r>
      <w:proofErr w:type="spellEnd"/>
      <w:r w:rsidRPr="00D86945">
        <w:rPr>
          <w:rFonts w:ascii="Verdana" w:hAnsi="Verdana" w:cs="Times New Roman"/>
          <w:b/>
          <w:sz w:val="20"/>
          <w:szCs w:val="20"/>
          <w:lang w:val="es-ES"/>
        </w:rPr>
        <w:t>(os) para asegurar</w:t>
      </w:r>
      <w:r w:rsidRPr="00D86945">
        <w:rPr>
          <w:rFonts w:ascii="Verdana" w:hAnsi="Verdana" w:cs="Times New Roman"/>
          <w:sz w:val="20"/>
          <w:szCs w:val="20"/>
          <w:lang w:val="es-ES"/>
        </w:rPr>
        <w:t xml:space="preserve">: a) el respeto a los derechos o a la reputación de los demás, o b) la protección de la seguridad nacional, el orden público o la salud o la moral públicas" (art. 13.2). </w:t>
      </w:r>
    </w:p>
    <w:p w14:paraId="69E3706B" w14:textId="0C7915AF"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65. </w:t>
      </w:r>
      <w:r w:rsidRPr="00D86945">
        <w:rPr>
          <w:rFonts w:ascii="Verdana" w:hAnsi="Verdana" w:cs="Times New Roman"/>
          <w:sz w:val="20"/>
          <w:szCs w:val="20"/>
          <w:lang w:val="es-ES"/>
        </w:rPr>
        <w:tab/>
        <w:t xml:space="preserve">El bien común ha sido directamente invocado como uno de los justificativos de la colegiación obligatoria de los periodistas, con base en el artículo 32.2 de la Convención. La Corte analizará el argumento pues considera que, con prescindencia de dicho artículo, es válido sostener, en general, que el ejercicio de los derechos garantizados por la Convención debe armonizarse con el bien común. Ello no indica, sin embargo, que, en criterio de la Corte, el artículo 32.2 sea aplicable en forma automática e idéntica a todos los derechos que la Convención protege, sobre todo en los casos en que se especifican taxativamente las causas legítimas que pueden fundar las restricciones o limitaciones para un derecho determinado. El artículo 32.2 contiene un enunciado general que opera especialmente en aquellos casos en que la Convención, al proclamar un derecho, no dispone nada en concreto sobre sus posibles restricciones legítimas. </w:t>
      </w:r>
    </w:p>
    <w:p w14:paraId="615D1DC3" w14:textId="1C4192D9"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66. </w:t>
      </w:r>
      <w:r w:rsidRPr="00D86945">
        <w:rPr>
          <w:rFonts w:ascii="Verdana" w:hAnsi="Verdana" w:cs="Times New Roman"/>
          <w:sz w:val="20"/>
          <w:szCs w:val="20"/>
          <w:lang w:val="es-ES"/>
        </w:rPr>
        <w:tab/>
        <w:t xml:space="preserve">Es posible entender el bien común, dentro del contexto de la Convención, como un concepto referente a las condiciones de la vida social que permiten a los integrantes de la sociedad alcanzar el mayor grado de desarrollo personal y la mayor vigencia de los valores democráticos. En tal sentido, puede considerarse como un imperativo del bien común la organización de la vida social en forma que se fortalezca el funcionamiento de las instituciones democráticas y se preserve y promueva la plena realización de los derechos de la persona humana. De ahí que los alegatos que sitúan la colegiación obligatoria como un medio para asegurar la responsabilidad y la ética profesionales y, además, como una garantía de la libertad e independencia de los periodistas frente a sus patronos, deben considerarse fundamentados en la idea de que dicha colegiación representa una exigencia del bien común. </w:t>
      </w:r>
    </w:p>
    <w:p w14:paraId="4C4BAE43" w14:textId="41D2D670"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79. </w:t>
      </w:r>
      <w:r w:rsidRPr="00D86945">
        <w:rPr>
          <w:rFonts w:ascii="Verdana" w:hAnsi="Verdana" w:cs="Times New Roman"/>
          <w:sz w:val="20"/>
          <w:szCs w:val="20"/>
          <w:lang w:val="es-ES"/>
        </w:rPr>
        <w:tab/>
        <w:t>En consecuencia, la Corte estima que la libertad e independencia de los periodistas es un bien que es preciso proteger y garantizar. Sin embargo, en los términos de la Convención, las restricciones autorizadas para la libertad de expresión deben ser las "</w:t>
      </w:r>
      <w:r w:rsidRPr="00D86945">
        <w:rPr>
          <w:rFonts w:ascii="Verdana" w:hAnsi="Verdana" w:cs="Times New Roman"/>
          <w:b/>
          <w:sz w:val="20"/>
          <w:szCs w:val="20"/>
          <w:lang w:val="es-ES"/>
        </w:rPr>
        <w:t>necesarias para asegurar</w:t>
      </w:r>
      <w:r w:rsidRPr="00D86945">
        <w:rPr>
          <w:rFonts w:ascii="Verdana" w:hAnsi="Verdana" w:cs="Times New Roman"/>
          <w:sz w:val="20"/>
          <w:szCs w:val="20"/>
          <w:lang w:val="es-ES"/>
        </w:rPr>
        <w:t xml:space="preserve">" la obtención de ciertos fines legítimos, es decir que no basta que la restricción sea </w:t>
      </w:r>
      <w:r w:rsidRPr="00D86945">
        <w:rPr>
          <w:rFonts w:ascii="Verdana" w:hAnsi="Verdana" w:cs="Times New Roman"/>
          <w:b/>
          <w:sz w:val="20"/>
          <w:szCs w:val="20"/>
          <w:lang w:val="es-ES"/>
        </w:rPr>
        <w:t xml:space="preserve">útil </w:t>
      </w:r>
      <w:r w:rsidR="005E0C2B">
        <w:rPr>
          <w:rFonts w:ascii="Verdana" w:hAnsi="Verdana" w:cs="Times New Roman"/>
          <w:b/>
          <w:sz w:val="20"/>
          <w:szCs w:val="20"/>
          <w:lang w:val="es-ES"/>
        </w:rPr>
        <w:t>[...]</w:t>
      </w:r>
      <w:r w:rsidRPr="00D86945">
        <w:rPr>
          <w:rFonts w:ascii="Verdana" w:hAnsi="Verdana" w:cs="Times New Roman"/>
          <w:sz w:val="20"/>
          <w:szCs w:val="20"/>
          <w:lang w:val="es-ES"/>
        </w:rPr>
        <w:t xml:space="preserve"> para la obtención de ese fin, </w:t>
      </w:r>
      <w:proofErr w:type="spellStart"/>
      <w:r w:rsidRPr="00D86945">
        <w:rPr>
          <w:rFonts w:ascii="Verdana" w:hAnsi="Verdana" w:cs="Times New Roman"/>
          <w:sz w:val="20"/>
          <w:szCs w:val="20"/>
          <w:lang w:val="es-ES"/>
        </w:rPr>
        <w:t>ésto</w:t>
      </w:r>
      <w:proofErr w:type="spellEnd"/>
      <w:r w:rsidRPr="00D86945">
        <w:rPr>
          <w:rFonts w:ascii="Verdana" w:hAnsi="Verdana" w:cs="Times New Roman"/>
          <w:sz w:val="20"/>
          <w:szCs w:val="20"/>
          <w:lang w:val="es-ES"/>
        </w:rPr>
        <w:t xml:space="preserve"> es, que se pueda alcanzar a través de ella, sino que debe ser </w:t>
      </w:r>
      <w:r w:rsidRPr="00D86945">
        <w:rPr>
          <w:rFonts w:ascii="Verdana" w:hAnsi="Verdana" w:cs="Times New Roman"/>
          <w:b/>
          <w:sz w:val="20"/>
          <w:szCs w:val="20"/>
          <w:lang w:val="es-ES"/>
        </w:rPr>
        <w:t>necesaria</w:t>
      </w:r>
      <w:r w:rsidRPr="00D86945">
        <w:rPr>
          <w:rFonts w:ascii="Verdana" w:hAnsi="Verdana" w:cs="Times New Roman"/>
          <w:sz w:val="20"/>
          <w:szCs w:val="20"/>
          <w:lang w:val="es-ES"/>
        </w:rPr>
        <w:t xml:space="preserve">, es decir que no pueda alcanzarse razonablemente por otro medio menos restrictivo de un derecho protegido por la Convención. En este sentido, la colegiación obligatoria de los periodistas no se ajusta a lo requerido por el artículo 13.2 de la Convención, porque es perfectamente concebible establecer un estatuto que proteja la libertad e independencia de todos aquellos que ejerzan el periodismo, sin necesidad de dejar ese ejercicio solamente a un grupo restringido de la comunidad. </w:t>
      </w:r>
    </w:p>
    <w:p w14:paraId="0F9EE84A" w14:textId="1AAB521F" w:rsidR="00987FF9" w:rsidRPr="00D86945" w:rsidRDefault="00987FF9" w:rsidP="004F4FE7">
      <w:pPr>
        <w:spacing w:line="240" w:lineRule="auto"/>
        <w:ind w:right="49"/>
        <w:jc w:val="both"/>
        <w:rPr>
          <w:rFonts w:ascii="Verdana" w:hAnsi="Verdana" w:cs="Times New Roman"/>
          <w:b/>
          <w:sz w:val="20"/>
          <w:szCs w:val="20"/>
        </w:rPr>
      </w:pPr>
      <w:r w:rsidRPr="00D86945">
        <w:rPr>
          <w:rFonts w:ascii="Verdana" w:hAnsi="Verdana" w:cs="Times New Roman"/>
          <w:b/>
          <w:sz w:val="20"/>
          <w:szCs w:val="20"/>
        </w:rPr>
        <w:t>Corte IDH. Caso Herrera Ulloa Vs. Costa Rica. Excepciones Preliminares, Fondo, Reparaciones y Costas. Sentencia de 2 de julio de 2004. Serie C No. 107.</w:t>
      </w:r>
    </w:p>
    <w:p w14:paraId="2703ADE4" w14:textId="71EBF626" w:rsidR="00987FF9" w:rsidRPr="00D86945" w:rsidRDefault="00987FF9" w:rsidP="004F4FE7">
      <w:pPr>
        <w:pStyle w:val="negritamayuscula"/>
        <w:widowControl/>
        <w:tabs>
          <w:tab w:val="clear" w:pos="1120"/>
        </w:tabs>
        <w:spacing w:line="240" w:lineRule="auto"/>
        <w:ind w:right="49"/>
        <w:rPr>
          <w:rFonts w:ascii="Verdana" w:hAnsi="Verdana"/>
          <w:sz w:val="20"/>
        </w:rPr>
      </w:pPr>
      <w:r w:rsidRPr="00D86945">
        <w:rPr>
          <w:rFonts w:ascii="Verdana" w:hAnsi="Verdana"/>
          <w:sz w:val="20"/>
        </w:rPr>
        <w:lastRenderedPageBreak/>
        <w:t>122.</w:t>
      </w:r>
      <w:r w:rsidRPr="00D86945">
        <w:rPr>
          <w:rFonts w:ascii="Verdana" w:hAnsi="Verdana"/>
          <w:sz w:val="20"/>
        </w:rPr>
        <w:tab/>
        <w:t>A su vez, la Corte Europea de Derechos Humanos, al interpretar el artículo 10 de la Convención Europea, concluyó que "necesarias", sin ser sinónimo de "indispensables", implica la " existencia de una ‘necesidad social imperiosa’ y que para que una restricción sea "necesaria" no es suficiente demostrar que sea "útil", "razonable" u "oportuna". Este concepto de “necesidad social imperiosa” fue hecho suyo por la Corte en su Opinión Consultiva OC-5/85.</w:t>
      </w:r>
    </w:p>
    <w:p w14:paraId="5332C28B" w14:textId="7AE2DB44" w:rsidR="00987FF9" w:rsidRPr="004F4FE7" w:rsidRDefault="00987FF9" w:rsidP="004F4FE7">
      <w:pPr>
        <w:pStyle w:val="negritamayuscula"/>
        <w:widowControl/>
        <w:tabs>
          <w:tab w:val="clear" w:pos="1120"/>
        </w:tabs>
        <w:spacing w:line="240" w:lineRule="auto"/>
        <w:ind w:right="49"/>
        <w:rPr>
          <w:rFonts w:ascii="Verdana" w:hAnsi="Verdana"/>
          <w:sz w:val="18"/>
          <w:szCs w:val="18"/>
        </w:rPr>
      </w:pPr>
      <w:r w:rsidRPr="00D86945">
        <w:rPr>
          <w:rFonts w:ascii="Verdana" w:hAnsi="Verdana"/>
          <w:sz w:val="20"/>
        </w:rPr>
        <w:t>123.</w:t>
      </w:r>
      <w:r w:rsidRPr="00D86945">
        <w:rPr>
          <w:rFonts w:ascii="Verdana" w:hAnsi="Verdana"/>
          <w:sz w:val="20"/>
        </w:rPr>
        <w:tab/>
        <w:t>De este modo, la restricción debe ser proporcionada al interés que la justifica y ajustarse estrechamente al logro de ese objetivo, interfiriendo en la menor medida posible en el efectivo ejercicio del derecho a la libertad de expresión.</w:t>
      </w:r>
      <w:r w:rsidR="00D35646" w:rsidRPr="00D86945">
        <w:rPr>
          <w:rFonts w:ascii="Verdana" w:hAnsi="Verdana"/>
          <w:sz w:val="20"/>
        </w:rPr>
        <w:t xml:space="preserve"> </w:t>
      </w:r>
      <w:r w:rsidR="00F532AD">
        <w:rPr>
          <w:rFonts w:ascii="Verdana" w:hAnsi="Verdana"/>
          <w:b/>
          <w:bCs/>
          <w:sz w:val="20"/>
        </w:rPr>
        <w:t>[</w:t>
      </w:r>
      <w:r w:rsidR="002A5747">
        <w:rPr>
          <w:rFonts w:ascii="Verdana" w:hAnsi="Verdana"/>
          <w:b/>
          <w:sz w:val="18"/>
          <w:szCs w:val="18"/>
        </w:rPr>
        <w:t>En similar sentido, ver entre otros:</w:t>
      </w:r>
      <w:r w:rsidRPr="004F4FE7">
        <w:rPr>
          <w:rFonts w:ascii="Verdana" w:hAnsi="Verdana"/>
          <w:sz w:val="18"/>
          <w:szCs w:val="18"/>
        </w:rPr>
        <w:t xml:space="preserve"> </w:t>
      </w:r>
      <w:r w:rsidRPr="004F4FE7">
        <w:rPr>
          <w:rFonts w:ascii="Verdana" w:hAnsi="Verdana"/>
          <w:b/>
          <w:sz w:val="18"/>
          <w:szCs w:val="18"/>
        </w:rPr>
        <w:t xml:space="preserve">Caso Claude Reyes y otros Vs. Chile. Fondo, Reparaciones y Costas. Sentencia de 19 de septiembre de 2006. Serie C No. 151, párr.91; Caso Gomes </w:t>
      </w:r>
      <w:proofErr w:type="spellStart"/>
      <w:r w:rsidRPr="004F4FE7">
        <w:rPr>
          <w:rFonts w:ascii="Verdana" w:hAnsi="Verdana"/>
          <w:b/>
          <w:sz w:val="18"/>
          <w:szCs w:val="18"/>
        </w:rPr>
        <w:t>Lund</w:t>
      </w:r>
      <w:proofErr w:type="spellEnd"/>
      <w:r w:rsidRPr="004F4FE7">
        <w:rPr>
          <w:rFonts w:ascii="Verdana" w:hAnsi="Verdana"/>
          <w:b/>
          <w:sz w:val="18"/>
          <w:szCs w:val="18"/>
        </w:rPr>
        <w:t xml:space="preserve"> y otros ("</w:t>
      </w:r>
      <w:proofErr w:type="spellStart"/>
      <w:r w:rsidRPr="004F4FE7">
        <w:rPr>
          <w:rFonts w:ascii="Verdana" w:hAnsi="Verdana"/>
          <w:b/>
          <w:sz w:val="18"/>
          <w:szCs w:val="18"/>
        </w:rPr>
        <w:t>Guerrilha</w:t>
      </w:r>
      <w:proofErr w:type="spellEnd"/>
      <w:r w:rsidRPr="004F4FE7">
        <w:rPr>
          <w:rFonts w:ascii="Verdana" w:hAnsi="Verdana"/>
          <w:b/>
          <w:sz w:val="18"/>
          <w:szCs w:val="18"/>
        </w:rPr>
        <w:t xml:space="preserve"> do </w:t>
      </w:r>
      <w:proofErr w:type="spellStart"/>
      <w:r w:rsidRPr="004F4FE7">
        <w:rPr>
          <w:rFonts w:ascii="Verdana" w:hAnsi="Verdana"/>
          <w:b/>
          <w:sz w:val="18"/>
          <w:szCs w:val="18"/>
        </w:rPr>
        <w:t>Araguaia</w:t>
      </w:r>
      <w:proofErr w:type="spellEnd"/>
      <w:r w:rsidRPr="004F4FE7">
        <w:rPr>
          <w:rFonts w:ascii="Verdana" w:hAnsi="Verdana"/>
          <w:b/>
          <w:sz w:val="18"/>
          <w:szCs w:val="18"/>
        </w:rPr>
        <w:t>") Vs. Brasil. Excepciones Preliminares, Fondo, Reparaciones y Costas. Sentencia de 24 de noviembre de 2010. Serie C No. 219, párr.229</w:t>
      </w:r>
      <w:r w:rsidR="00F532AD">
        <w:rPr>
          <w:rFonts w:ascii="Verdana" w:hAnsi="Verdana"/>
          <w:b/>
          <w:sz w:val="18"/>
          <w:szCs w:val="18"/>
        </w:rPr>
        <w:t>]</w:t>
      </w:r>
      <w:r w:rsidRPr="004F4FE7">
        <w:rPr>
          <w:rFonts w:ascii="Verdana" w:hAnsi="Verdana"/>
          <w:b/>
          <w:sz w:val="18"/>
          <w:szCs w:val="18"/>
        </w:rPr>
        <w:t>.</w:t>
      </w:r>
    </w:p>
    <w:p w14:paraId="4160BE8A" w14:textId="1E3A36D5"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b/>
          <w:sz w:val="20"/>
          <w:szCs w:val="20"/>
        </w:rPr>
        <w:t xml:space="preserve">Corte IDH. Caso Ricardo </w:t>
      </w:r>
      <w:proofErr w:type="spellStart"/>
      <w:r w:rsidRPr="00D86945">
        <w:rPr>
          <w:rFonts w:ascii="Verdana" w:hAnsi="Verdana" w:cs="Times New Roman"/>
          <w:b/>
          <w:sz w:val="20"/>
          <w:szCs w:val="20"/>
        </w:rPr>
        <w:t>Canese</w:t>
      </w:r>
      <w:proofErr w:type="spellEnd"/>
      <w:r w:rsidRPr="00D86945">
        <w:rPr>
          <w:rFonts w:ascii="Verdana" w:hAnsi="Verdana" w:cs="Times New Roman"/>
          <w:b/>
          <w:sz w:val="20"/>
          <w:szCs w:val="20"/>
        </w:rPr>
        <w:t xml:space="preserve"> Vs. Paraguay. Fondo, Reparaciones y Costas. Sentencia de 31 de agosto de 2004. Serie C No. 111</w:t>
      </w:r>
      <w:r w:rsidRPr="00D86945">
        <w:rPr>
          <w:rFonts w:ascii="Verdana" w:hAnsi="Verdana" w:cs="Times New Roman"/>
          <w:sz w:val="20"/>
          <w:szCs w:val="20"/>
        </w:rPr>
        <w:t>.</w:t>
      </w:r>
    </w:p>
    <w:p w14:paraId="377A88BB" w14:textId="468DEEEA" w:rsidR="00987FF9" w:rsidRPr="00D86945" w:rsidRDefault="00987FF9" w:rsidP="004F4FE7">
      <w:pPr>
        <w:pStyle w:val="negritamayuscula"/>
        <w:widowControl/>
        <w:tabs>
          <w:tab w:val="clear" w:pos="1120"/>
        </w:tabs>
        <w:spacing w:line="240" w:lineRule="auto"/>
        <w:ind w:right="49"/>
        <w:rPr>
          <w:rFonts w:ascii="Verdana" w:hAnsi="Verdana"/>
          <w:sz w:val="20"/>
        </w:rPr>
      </w:pPr>
      <w:r w:rsidRPr="00D86945">
        <w:rPr>
          <w:rFonts w:ascii="Verdana" w:hAnsi="Verdana"/>
          <w:sz w:val="20"/>
        </w:rPr>
        <w:t>96.</w:t>
      </w:r>
      <w:r w:rsidRPr="00D86945">
        <w:rPr>
          <w:rFonts w:ascii="Verdana" w:hAnsi="Verdana"/>
          <w:sz w:val="20"/>
        </w:rPr>
        <w:tab/>
        <w:t xml:space="preserve">Debido a las circunstancias del presente caso, la Corte estima necesario analizar detalladamente si para aplicar la responsabilidad ulterior al señor </w:t>
      </w:r>
      <w:proofErr w:type="spellStart"/>
      <w:r w:rsidRPr="00D86945">
        <w:rPr>
          <w:rFonts w:ascii="Verdana" w:hAnsi="Verdana"/>
          <w:sz w:val="20"/>
        </w:rPr>
        <w:t>Canese</w:t>
      </w:r>
      <w:proofErr w:type="spellEnd"/>
      <w:r w:rsidRPr="00D86945">
        <w:rPr>
          <w:rFonts w:ascii="Verdana" w:hAnsi="Verdana"/>
          <w:sz w:val="20"/>
        </w:rPr>
        <w:t xml:space="preserve"> por sus declaraciones, se cumplió con el requisito de necesidad en una sociedad democrática.</w:t>
      </w:r>
      <w:r w:rsidR="00D35646" w:rsidRPr="00D86945">
        <w:rPr>
          <w:rFonts w:ascii="Verdana" w:hAnsi="Verdana"/>
          <w:sz w:val="20"/>
        </w:rPr>
        <w:t xml:space="preserve"> </w:t>
      </w:r>
      <w:r w:rsidRPr="00D86945">
        <w:rPr>
          <w:rFonts w:ascii="Verdana" w:hAnsi="Verdana"/>
          <w:sz w:val="20"/>
        </w:rPr>
        <w:t>El Tribunal ha señalado que la “necesidad” y, por ende, la legalidad de las restricciones a la libertad de expresión fundadas en el artículo 13.2 de la Convención Americana, dependerá de que estén orientadas a satisfacer un interés público imperativo.</w:t>
      </w:r>
      <w:r w:rsidR="00D35646" w:rsidRPr="00D86945">
        <w:rPr>
          <w:rFonts w:ascii="Verdana" w:hAnsi="Verdana"/>
          <w:sz w:val="20"/>
        </w:rPr>
        <w:t xml:space="preserve"> </w:t>
      </w:r>
      <w:r w:rsidRPr="00D86945">
        <w:rPr>
          <w:rFonts w:ascii="Verdana" w:hAnsi="Verdana"/>
          <w:sz w:val="20"/>
        </w:rPr>
        <w:t>Entre varias opciones para alcanzar ese objetivo, debe escogerse aquélla que restrinja en menor escala el derecho protegido.</w:t>
      </w:r>
      <w:r w:rsidR="00D35646" w:rsidRPr="00D86945">
        <w:rPr>
          <w:rFonts w:ascii="Verdana" w:hAnsi="Verdana"/>
          <w:sz w:val="20"/>
        </w:rPr>
        <w:t xml:space="preserve"> </w:t>
      </w:r>
      <w:r w:rsidRPr="00D86945">
        <w:rPr>
          <w:rFonts w:ascii="Verdana" w:hAnsi="Verdana"/>
          <w:sz w:val="20"/>
        </w:rPr>
        <w:t xml:space="preserve">Dado este estándar, no es suficiente que se demuestre, por ejemplo, que la ley cumple un propósito útil u oportuno; para que sean compatibles con la Convención las restricciones deben justificarse según objetivos colectivos que, por su importancia, preponderen claramente sobre la necesidad social del pleno goce del derecho que el artículo 13 garantiza y no limiten más de lo estrictamente necesario el derecho proclamado en dicho artículo. Es decir, la restricción debe ser proporcional al interés que la justifica y ajustarse estrechamente al logro de ese legítimo objetivo, interfiriendo en la menor medida posible en el efectivo ejercicio del derecho a la libertad de expresión. </w:t>
      </w:r>
    </w:p>
    <w:p w14:paraId="5BEEE48A" w14:textId="7092698F" w:rsidR="00987FF9" w:rsidRPr="00D86945" w:rsidRDefault="00987FF9" w:rsidP="004F4FE7">
      <w:pPr>
        <w:spacing w:line="240" w:lineRule="auto"/>
        <w:ind w:right="49"/>
        <w:jc w:val="both"/>
        <w:rPr>
          <w:rFonts w:ascii="Verdana" w:eastAsia="Times New Roman" w:hAnsi="Verdana" w:cs="Times New Roman"/>
          <w:sz w:val="20"/>
          <w:szCs w:val="20"/>
          <w:lang w:eastAsia="es-ES_tradnl"/>
        </w:rPr>
      </w:pPr>
      <w:r w:rsidRPr="00D86945">
        <w:rPr>
          <w:rFonts w:ascii="Verdana" w:eastAsia="Times New Roman" w:hAnsi="Verdana" w:cs="Times New Roman"/>
          <w:b/>
          <w:bCs/>
          <w:sz w:val="20"/>
          <w:szCs w:val="20"/>
          <w:shd w:val="clear" w:color="auto" w:fill="FFFFFF"/>
          <w:lang w:eastAsia="es-ES_tradnl"/>
        </w:rPr>
        <w:t>Corte IDH. Caso Palamara Iribarne Vs. Chile. Fondo, Reparaciones y Costas. Sentencia de 22 de noviembre de 2005. Serie C No. 135</w:t>
      </w:r>
      <w:r w:rsidR="00F532AD">
        <w:rPr>
          <w:rFonts w:ascii="Verdana" w:eastAsia="Times New Roman" w:hAnsi="Verdana" w:cs="Times New Roman"/>
          <w:b/>
          <w:bCs/>
          <w:sz w:val="20"/>
          <w:szCs w:val="20"/>
          <w:shd w:val="clear" w:color="auto" w:fill="FFFFFF"/>
          <w:lang w:eastAsia="es-ES_tradnl"/>
        </w:rPr>
        <w:t>.</w:t>
      </w:r>
    </w:p>
    <w:p w14:paraId="76C2712C" w14:textId="27E6DA17" w:rsidR="00987FF9" w:rsidRPr="00D86945" w:rsidRDefault="00987FF9" w:rsidP="004F4FE7">
      <w:pPr>
        <w:tabs>
          <w:tab w:val="left" w:pos="360"/>
        </w:tabs>
        <w:spacing w:line="240" w:lineRule="auto"/>
        <w:ind w:right="49"/>
        <w:jc w:val="both"/>
        <w:rPr>
          <w:rFonts w:ascii="Verdana" w:hAnsi="Verdana" w:cs="Times New Roman"/>
          <w:sz w:val="20"/>
          <w:szCs w:val="20"/>
        </w:rPr>
      </w:pPr>
      <w:r w:rsidRPr="00D86945">
        <w:rPr>
          <w:rFonts w:ascii="Verdana" w:hAnsi="Verdana" w:cs="Times New Roman"/>
          <w:sz w:val="20"/>
          <w:szCs w:val="20"/>
        </w:rPr>
        <w:t>88.</w:t>
      </w:r>
      <w:r w:rsidRPr="00D86945">
        <w:rPr>
          <w:rFonts w:ascii="Verdana" w:hAnsi="Verdana" w:cs="Times New Roman"/>
          <w:sz w:val="20"/>
          <w:szCs w:val="20"/>
        </w:rPr>
        <w:tab/>
      </w:r>
      <w:r w:rsidR="00D35646" w:rsidRPr="00D86945">
        <w:rPr>
          <w:rFonts w:ascii="Verdana" w:hAnsi="Verdana" w:cs="Times New Roman"/>
          <w:sz w:val="20"/>
          <w:szCs w:val="20"/>
        </w:rPr>
        <w:t xml:space="preserve"> </w:t>
      </w:r>
      <w:r w:rsidRPr="00D86945">
        <w:rPr>
          <w:rFonts w:ascii="Verdana" w:hAnsi="Verdana" w:cs="Times New Roman"/>
          <w:sz w:val="20"/>
          <w:szCs w:val="20"/>
        </w:rPr>
        <w:t xml:space="preserve"> La Corte estima que en el presente caso, a través de la aplicación del delito de desacato, se utilizó la persecución penal de una forma desproporcionada e innecesaria en una sociedad democrática, por lo cual se privó al señor Palamara Iribarne del ejercicio de su derecho a la libertad de pensamiento y de expresión, en relación con las opiniones críticas que tenía respecto de asuntos que le afectaban directamente y guardaban directa relación con la forma en que las autoridades de la justicia militar cumplían con sus funciones públicas en los procesos a los que se vio sometido.</w:t>
      </w:r>
      <w:r w:rsidR="00D35646" w:rsidRPr="00D86945">
        <w:rPr>
          <w:rFonts w:ascii="Verdana" w:hAnsi="Verdana" w:cs="Times New Roman"/>
          <w:sz w:val="20"/>
          <w:szCs w:val="20"/>
        </w:rPr>
        <w:t xml:space="preserve"> </w:t>
      </w:r>
      <w:r w:rsidRPr="00D86945">
        <w:rPr>
          <w:rFonts w:ascii="Verdana" w:hAnsi="Verdana" w:cs="Times New Roman"/>
          <w:sz w:val="20"/>
          <w:szCs w:val="20"/>
        </w:rPr>
        <w:t>La Corte considera que la legislación sobre desacato aplicada al señor Palamara Iribarne establecía sanciones desproporcionadas por realizar críticas sobre el funcionamiento de las instituciones estatales y sus miembros, suprimiendo el debate esencial para el funcionamiento de un sistema verdaderamente democrático y restringiendo innecesariamente el derecho a la libertad de pensamiento y de expresión.</w:t>
      </w:r>
    </w:p>
    <w:p w14:paraId="1F6E18B8" w14:textId="1DC4BD0E" w:rsidR="00987FF9" w:rsidRPr="00D86945" w:rsidRDefault="00987FF9" w:rsidP="004F4FE7">
      <w:pPr>
        <w:spacing w:line="240" w:lineRule="auto"/>
        <w:ind w:right="49"/>
        <w:jc w:val="both"/>
        <w:rPr>
          <w:rFonts w:ascii="Verdana" w:hAnsi="Verdana" w:cs="Times New Roman"/>
          <w:b/>
          <w:sz w:val="20"/>
          <w:szCs w:val="20"/>
        </w:rPr>
      </w:pPr>
      <w:r w:rsidRPr="00D86945">
        <w:rPr>
          <w:rFonts w:ascii="Verdana" w:hAnsi="Verdana" w:cs="Times New Roman"/>
          <w:b/>
          <w:sz w:val="20"/>
          <w:szCs w:val="20"/>
        </w:rPr>
        <w:t>Corte IDH. Caso López Álvarez Vs. Honduras. Fondo, Reparaciones y Costas. Sentencia de 1 de febrero de 2006. Serie C No. 141.</w:t>
      </w:r>
    </w:p>
    <w:p w14:paraId="536C3D40" w14:textId="1F958167" w:rsidR="00987FF9" w:rsidRPr="00D86945" w:rsidRDefault="00987FF9" w:rsidP="004F4FE7">
      <w:pPr>
        <w:pStyle w:val="negritamayuscula"/>
        <w:widowControl/>
        <w:tabs>
          <w:tab w:val="clear" w:pos="1120"/>
        </w:tabs>
        <w:spacing w:line="240" w:lineRule="auto"/>
        <w:ind w:right="49"/>
        <w:rPr>
          <w:rFonts w:ascii="Verdana" w:hAnsi="Verdana"/>
          <w:sz w:val="20"/>
        </w:rPr>
      </w:pPr>
      <w:r w:rsidRPr="00D86945">
        <w:rPr>
          <w:rFonts w:ascii="Verdana" w:hAnsi="Verdana"/>
          <w:sz w:val="20"/>
        </w:rPr>
        <w:t>165.</w:t>
      </w:r>
      <w:r w:rsidRPr="00D86945">
        <w:rPr>
          <w:rFonts w:ascii="Verdana" w:hAnsi="Verdana"/>
          <w:sz w:val="20"/>
        </w:rPr>
        <w:tab/>
        <w:t xml:space="preserve">La “necesidad” y, por ende, la legalidad de las restricciones a la libertad de expresión fundadas en el artículo 13.2 de la Convención Americana, dependerá de que estén orientadas a satisfacer un interés público imperativo, que prepondere </w:t>
      </w:r>
      <w:r w:rsidRPr="00D86945">
        <w:rPr>
          <w:rFonts w:ascii="Verdana" w:hAnsi="Verdana"/>
          <w:sz w:val="20"/>
        </w:rPr>
        <w:lastRenderedPageBreak/>
        <w:t>claramente sobre la necesidad social del pleno goce del derecho que el artículo 13 garantiza.</w:t>
      </w:r>
      <w:r w:rsidR="00D35646" w:rsidRPr="00D86945">
        <w:rPr>
          <w:rFonts w:ascii="Verdana" w:hAnsi="Verdana"/>
          <w:sz w:val="20"/>
        </w:rPr>
        <w:t xml:space="preserve"> </w:t>
      </w:r>
      <w:r w:rsidRPr="00D86945">
        <w:rPr>
          <w:rFonts w:ascii="Verdana" w:hAnsi="Verdana"/>
          <w:sz w:val="20"/>
        </w:rPr>
        <w:t>Entre varias opciones para alcanzar ese objetivo, debe escogerse aquélla que restrinja en menor escala el derecho protegido.</w:t>
      </w:r>
      <w:r w:rsidR="00D35646" w:rsidRPr="00D86945">
        <w:rPr>
          <w:rFonts w:ascii="Verdana" w:hAnsi="Verdana"/>
          <w:sz w:val="20"/>
        </w:rPr>
        <w:t xml:space="preserve"> </w:t>
      </w:r>
      <w:r w:rsidRPr="00D86945">
        <w:rPr>
          <w:rFonts w:ascii="Verdana" w:hAnsi="Verdana"/>
          <w:sz w:val="20"/>
        </w:rPr>
        <w:t>Lo anterior se aplica a la leyes, así como a las decisiones y actos administrativos y de cualquier otra índole, es decir, a toda manifestación del poder estatal.</w:t>
      </w:r>
    </w:p>
    <w:p w14:paraId="327DFBFA" w14:textId="5A483A6C" w:rsidR="00987FF9" w:rsidRPr="00D86945" w:rsidRDefault="00987FF9" w:rsidP="004F4FE7">
      <w:pPr>
        <w:pStyle w:val="negritamayuscula"/>
        <w:widowControl/>
        <w:tabs>
          <w:tab w:val="clear" w:pos="1120"/>
        </w:tabs>
        <w:spacing w:line="240" w:lineRule="auto"/>
        <w:ind w:right="49"/>
        <w:rPr>
          <w:rFonts w:ascii="Verdana" w:hAnsi="Verdana"/>
          <w:sz w:val="20"/>
        </w:rPr>
      </w:pPr>
      <w:r w:rsidRPr="00D86945">
        <w:rPr>
          <w:rFonts w:ascii="Verdana" w:hAnsi="Verdana"/>
          <w:sz w:val="20"/>
        </w:rPr>
        <w:t>166.</w:t>
      </w:r>
      <w:r w:rsidRPr="00D86945">
        <w:rPr>
          <w:rFonts w:ascii="Verdana" w:hAnsi="Verdana"/>
          <w:sz w:val="20"/>
        </w:rPr>
        <w:tab/>
        <w:t xml:space="preserve">En el presente caso, en el año 2000 el Director del Centro Penal de Tela prohibió a la población garífuna de dicho centro penal, en la cual se incluía el señor Alfredo López Álvarez, a hablar en su idioma materno </w:t>
      </w:r>
      <w:r w:rsidR="005E0C2B">
        <w:rPr>
          <w:rFonts w:ascii="Verdana" w:hAnsi="Verdana"/>
          <w:sz w:val="20"/>
        </w:rPr>
        <w:t>[...]</w:t>
      </w:r>
      <w:r w:rsidRPr="00D86945">
        <w:rPr>
          <w:rFonts w:ascii="Verdana" w:hAnsi="Verdana"/>
          <w:sz w:val="20"/>
        </w:rPr>
        <w:t>.</w:t>
      </w:r>
      <w:r w:rsidR="00D35646" w:rsidRPr="00D86945">
        <w:rPr>
          <w:rFonts w:ascii="Verdana" w:hAnsi="Verdana"/>
          <w:sz w:val="20"/>
        </w:rPr>
        <w:t xml:space="preserve"> </w:t>
      </w:r>
      <w:r w:rsidRPr="00D86945">
        <w:rPr>
          <w:rFonts w:ascii="Verdana" w:hAnsi="Verdana"/>
          <w:sz w:val="20"/>
        </w:rPr>
        <w:t>Dicha medida negó a la presunta víctima expresarse en el idioma de su elección.</w:t>
      </w:r>
      <w:r w:rsidR="00D35646" w:rsidRPr="00D86945">
        <w:rPr>
          <w:rFonts w:ascii="Verdana" w:hAnsi="Verdana"/>
          <w:sz w:val="20"/>
        </w:rPr>
        <w:t xml:space="preserve"> </w:t>
      </w:r>
      <w:r w:rsidRPr="00D86945">
        <w:rPr>
          <w:rFonts w:ascii="Verdana" w:hAnsi="Verdana"/>
          <w:sz w:val="20"/>
        </w:rPr>
        <w:t>Tal medida no fue justificada por el Estado.</w:t>
      </w:r>
      <w:r w:rsidR="00D35646" w:rsidRPr="00D86945">
        <w:rPr>
          <w:rFonts w:ascii="Verdana" w:hAnsi="Verdana"/>
          <w:sz w:val="20"/>
        </w:rPr>
        <w:t xml:space="preserve"> </w:t>
      </w:r>
      <w:r w:rsidRPr="00D86945">
        <w:rPr>
          <w:rFonts w:ascii="Verdana" w:hAnsi="Verdana"/>
          <w:sz w:val="20"/>
        </w:rPr>
        <w:t xml:space="preserve">Dicha prohibición </w:t>
      </w:r>
      <w:r w:rsidRPr="00D86945" w:rsidDel="00A64E39">
        <w:rPr>
          <w:rFonts w:ascii="Verdana" w:hAnsi="Verdana"/>
          <w:sz w:val="20"/>
        </w:rPr>
        <w:t>l</w:t>
      </w:r>
      <w:r w:rsidRPr="00D86945">
        <w:rPr>
          <w:rFonts w:ascii="Verdana" w:hAnsi="Verdana"/>
          <w:sz w:val="20"/>
        </w:rPr>
        <w:t>esiona la individualidad del detenido y no obedece a condiciones de seguridad o a necesidades de tratamiento.</w:t>
      </w:r>
    </w:p>
    <w:p w14:paraId="26387CF7" w14:textId="6FD72A8E" w:rsidR="00987FF9" w:rsidRPr="00D86945" w:rsidRDefault="00987FF9" w:rsidP="004F4FE7">
      <w:pPr>
        <w:pStyle w:val="Textoindependiente20"/>
        <w:widowControl w:val="0"/>
        <w:spacing w:line="240" w:lineRule="auto"/>
        <w:ind w:right="49"/>
        <w:jc w:val="both"/>
        <w:rPr>
          <w:rFonts w:ascii="Verdana" w:hAnsi="Verdana" w:cs="Times New Roman"/>
          <w:sz w:val="20"/>
          <w:szCs w:val="20"/>
        </w:rPr>
      </w:pPr>
      <w:r w:rsidRPr="00D86945">
        <w:rPr>
          <w:rFonts w:ascii="Verdana" w:hAnsi="Verdana" w:cs="Times New Roman"/>
          <w:sz w:val="20"/>
          <w:szCs w:val="20"/>
        </w:rPr>
        <w:t>167.</w:t>
      </w:r>
      <w:r w:rsidRPr="00D86945">
        <w:rPr>
          <w:rFonts w:ascii="Verdana" w:hAnsi="Verdana" w:cs="Times New Roman"/>
          <w:sz w:val="20"/>
          <w:szCs w:val="20"/>
        </w:rPr>
        <w:tab/>
        <w:t>Las autoridades penitenciarias ejercen un fuerte control sobre las personas sujetas a su custodia.</w:t>
      </w:r>
      <w:r w:rsidR="00D35646" w:rsidRPr="00D86945">
        <w:rPr>
          <w:rFonts w:ascii="Verdana" w:hAnsi="Verdana" w:cs="Times New Roman"/>
          <w:sz w:val="20"/>
          <w:szCs w:val="20"/>
        </w:rPr>
        <w:t xml:space="preserve"> </w:t>
      </w:r>
      <w:r w:rsidRPr="00D86945">
        <w:rPr>
          <w:rFonts w:ascii="Verdana" w:hAnsi="Verdana" w:cs="Times New Roman"/>
          <w:sz w:val="20"/>
          <w:szCs w:val="20"/>
        </w:rPr>
        <w:t>Por ello, el Estado debe garantizar la existencia de condiciones adecuadas para que la persona privada de libertad desarrolle una vida digna, asegurándole el ejercicio de los derechos cuya restricción no es consecuencia necesaria de la privación de libertad, conforme a las reglas características de una sociedad democrática.</w:t>
      </w:r>
      <w:r w:rsidR="00D35646" w:rsidRPr="00D86945">
        <w:rPr>
          <w:rFonts w:ascii="Verdana" w:hAnsi="Verdana" w:cs="Times New Roman"/>
          <w:sz w:val="20"/>
          <w:szCs w:val="20"/>
        </w:rPr>
        <w:t xml:space="preserve"> </w:t>
      </w:r>
    </w:p>
    <w:p w14:paraId="18A0A981" w14:textId="0FDE85AA" w:rsidR="00987FF9" w:rsidRPr="00D86945" w:rsidRDefault="00987FF9" w:rsidP="004F4FE7">
      <w:pPr>
        <w:pStyle w:val="negritamayuscula"/>
        <w:widowControl/>
        <w:tabs>
          <w:tab w:val="clear" w:pos="1120"/>
        </w:tabs>
        <w:spacing w:line="240" w:lineRule="auto"/>
        <w:ind w:right="49"/>
        <w:rPr>
          <w:rFonts w:ascii="Verdana" w:hAnsi="Verdana"/>
          <w:sz w:val="20"/>
        </w:rPr>
      </w:pPr>
      <w:r w:rsidRPr="00D86945">
        <w:rPr>
          <w:rFonts w:ascii="Verdana" w:hAnsi="Verdana"/>
          <w:sz w:val="20"/>
        </w:rPr>
        <w:t>168.</w:t>
      </w:r>
      <w:r w:rsidRPr="00D86945">
        <w:rPr>
          <w:rFonts w:ascii="Verdana" w:hAnsi="Verdana"/>
          <w:sz w:val="20"/>
        </w:rPr>
        <w:tab/>
        <w:t>La Corte considera que la observancia de reglas en el trato colectivo de los detenidos dentro de un centro penal, no concede al Estado en el ejercicio de su facultad de punir, la potestad de limitar de forma injustificada la libertad de las personas de expresarse por cualquier medio y en el idioma que elijan.</w:t>
      </w:r>
    </w:p>
    <w:p w14:paraId="66937A99" w14:textId="0A81DF55" w:rsidR="00987FF9" w:rsidRPr="00D86945" w:rsidRDefault="00987FF9" w:rsidP="004F4FE7">
      <w:pPr>
        <w:pStyle w:val="negritamayuscula"/>
        <w:widowControl/>
        <w:tabs>
          <w:tab w:val="clear" w:pos="1120"/>
        </w:tabs>
        <w:spacing w:line="240" w:lineRule="auto"/>
        <w:ind w:right="49"/>
        <w:rPr>
          <w:rFonts w:ascii="Verdana" w:hAnsi="Verdana"/>
          <w:sz w:val="20"/>
        </w:rPr>
      </w:pPr>
      <w:r w:rsidRPr="00D86945">
        <w:rPr>
          <w:rFonts w:ascii="Verdana" w:hAnsi="Verdana"/>
          <w:sz w:val="20"/>
        </w:rPr>
        <w:t>169.</w:t>
      </w:r>
      <w:r w:rsidRPr="00D86945">
        <w:rPr>
          <w:rFonts w:ascii="Verdana" w:hAnsi="Verdana"/>
          <w:sz w:val="20"/>
        </w:rPr>
        <w:tab/>
        <w:t>Según los hechos de este caso, la prohibición fue dictada en relación al idioma materno del señor Alfredo López Álvarez, el cual es la forma de expresión de la minoría a la que pertenece la presunta víctima.</w:t>
      </w:r>
      <w:r w:rsidR="00D35646" w:rsidRPr="00D86945">
        <w:rPr>
          <w:rFonts w:ascii="Verdana" w:hAnsi="Verdana"/>
          <w:sz w:val="20"/>
        </w:rPr>
        <w:t xml:space="preserve"> </w:t>
      </w:r>
      <w:r w:rsidRPr="00D86945">
        <w:rPr>
          <w:rFonts w:ascii="Verdana" w:hAnsi="Verdana"/>
          <w:sz w:val="20"/>
        </w:rPr>
        <w:t>La prohibición adquiere por ello una especial gravedad, ya que el idioma materno representa un elemento de identidad del señor Alfredo López Álvarez como garífuna.</w:t>
      </w:r>
      <w:r w:rsidR="00D35646" w:rsidRPr="00D86945">
        <w:rPr>
          <w:rFonts w:ascii="Verdana" w:hAnsi="Verdana"/>
          <w:sz w:val="20"/>
        </w:rPr>
        <w:t xml:space="preserve"> </w:t>
      </w:r>
      <w:r w:rsidRPr="00D86945">
        <w:rPr>
          <w:rFonts w:ascii="Verdana" w:hAnsi="Verdana"/>
          <w:sz w:val="20"/>
        </w:rPr>
        <w:t>De ese modo, la prohibición afectó su dignidad personal como miembro de dicha comunidad.</w:t>
      </w:r>
    </w:p>
    <w:p w14:paraId="7EF2CA2F" w14:textId="66BA8773"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t>Corte IDH. Caso Kimel Vs. Argentina. Fondo, Reparaciones y Costas. Sentencia de 2 de mayo de 2008. Serie C No. 177.</w:t>
      </w:r>
    </w:p>
    <w:p w14:paraId="43437C0A" w14:textId="77777777" w:rsidR="00987FF9" w:rsidRPr="00D86945" w:rsidRDefault="00987FF9" w:rsidP="004F4FE7">
      <w:pPr>
        <w:spacing w:before="120" w:after="120" w:line="240" w:lineRule="auto"/>
        <w:ind w:right="49"/>
        <w:jc w:val="both"/>
        <w:rPr>
          <w:rFonts w:ascii="Verdana" w:hAnsi="Verdana"/>
          <w:sz w:val="20"/>
          <w:szCs w:val="20"/>
        </w:rPr>
      </w:pPr>
      <w:r w:rsidRPr="00D86945">
        <w:rPr>
          <w:rFonts w:ascii="Verdana" w:hAnsi="Verdana"/>
          <w:sz w:val="20"/>
          <w:szCs w:val="20"/>
        </w:rPr>
        <w:t>74.</w:t>
      </w:r>
      <w:r w:rsidRPr="00D86945">
        <w:rPr>
          <w:rFonts w:ascii="Verdana" w:hAnsi="Verdana"/>
          <w:sz w:val="20"/>
          <w:szCs w:val="20"/>
        </w:rPr>
        <w:tab/>
        <w:t xml:space="preserve">En el análisis de este tema, la Corte debe examinar las alternativas existentes para alcanzar el fin legítimo perseguido y precisar la mayor o menor lesividad de aquéllas. </w:t>
      </w:r>
    </w:p>
    <w:p w14:paraId="0EFA54FE" w14:textId="77777777" w:rsidR="00987FF9" w:rsidRPr="00D86945" w:rsidRDefault="00987FF9" w:rsidP="004F4FE7">
      <w:pPr>
        <w:spacing w:before="120" w:after="120" w:line="240" w:lineRule="auto"/>
        <w:ind w:right="49"/>
        <w:jc w:val="both"/>
        <w:rPr>
          <w:rFonts w:ascii="Verdana" w:hAnsi="Verdana"/>
          <w:sz w:val="20"/>
          <w:szCs w:val="20"/>
        </w:rPr>
      </w:pPr>
      <w:r w:rsidRPr="00D86945">
        <w:rPr>
          <w:rFonts w:ascii="Verdana" w:hAnsi="Verdana"/>
          <w:sz w:val="20"/>
          <w:szCs w:val="20"/>
        </w:rPr>
        <w:t>75.</w:t>
      </w:r>
      <w:r w:rsidRPr="00D86945">
        <w:rPr>
          <w:rFonts w:ascii="Verdana" w:hAnsi="Verdana"/>
          <w:sz w:val="20"/>
          <w:szCs w:val="20"/>
        </w:rPr>
        <w:tab/>
        <w:t>El ejercicio de cada derecho fundamental tiene que hacerse con respeto y salvaguarda de los demás derechos fundamentales. En ese proceso de armonización le cabe un papel medular al Estado buscando establecer las responsabilidades y sanciones que fueren necesarias para obtener tal propósito. Que se haga uso de la vía civil o penal dependerá de las consideraciones que abajo se mencionan.</w:t>
      </w:r>
    </w:p>
    <w:p w14:paraId="349B4115" w14:textId="3DEB373D" w:rsidR="00987FF9" w:rsidRPr="004F4FE7" w:rsidRDefault="00987FF9" w:rsidP="004F4FE7">
      <w:pPr>
        <w:spacing w:before="120" w:after="120" w:line="240" w:lineRule="auto"/>
        <w:ind w:right="49"/>
        <w:jc w:val="both"/>
        <w:rPr>
          <w:rFonts w:ascii="Verdana" w:hAnsi="Verdana"/>
          <w:sz w:val="18"/>
          <w:szCs w:val="18"/>
        </w:rPr>
      </w:pPr>
      <w:r w:rsidRPr="00D86945">
        <w:rPr>
          <w:rFonts w:ascii="Verdana" w:hAnsi="Verdana"/>
          <w:sz w:val="20"/>
          <w:szCs w:val="20"/>
        </w:rPr>
        <w:t>76.</w:t>
      </w:r>
      <w:r w:rsidRPr="00D86945">
        <w:rPr>
          <w:rFonts w:ascii="Verdana" w:hAnsi="Verdana"/>
          <w:sz w:val="20"/>
          <w:szCs w:val="20"/>
        </w:rPr>
        <w:tab/>
        <w:t>La Corte ha señalado que el Derecho Penal es el medio más restrictivo y severo para establecer responsabilidades respecto de una conducta ilícita</w:t>
      </w:r>
      <w:r w:rsidR="00215583">
        <w:rPr>
          <w:rFonts w:ascii="Verdana" w:hAnsi="Verdana"/>
          <w:sz w:val="20"/>
          <w:szCs w:val="20"/>
        </w:rPr>
        <w:t>.</w:t>
      </w:r>
      <w:r w:rsidRPr="00D86945">
        <w:rPr>
          <w:rFonts w:ascii="Verdana" w:hAnsi="Verdana"/>
          <w:sz w:val="20"/>
          <w:szCs w:val="20"/>
        </w:rPr>
        <w:t xml:space="preserve"> La tipificación amplia de delitos de calumnia e injurias puede resultar contraria al principio de intervención mínima y de ultima ratio del derecho penal. En una sociedad democrática el poder punitivo sólo se ejerce en la medida estrictamente necesaria para proteger los bienes jurídicos fundamentales de los ataques más graves que los dañen o pongan en peligro. Lo contrario conduciría al ejercicio abusivo del poder punitivo del Estado. </w:t>
      </w:r>
      <w:r w:rsidR="00CB5D84">
        <w:rPr>
          <w:rFonts w:ascii="Verdana" w:hAnsi="Verdana"/>
          <w:b/>
          <w:bCs/>
          <w:sz w:val="20"/>
          <w:szCs w:val="20"/>
        </w:rPr>
        <w:t>[</w:t>
      </w:r>
      <w:r w:rsidR="002A5747">
        <w:rPr>
          <w:rFonts w:ascii="Verdana" w:hAnsi="Verdana"/>
          <w:b/>
          <w:sz w:val="18"/>
          <w:szCs w:val="18"/>
        </w:rPr>
        <w:t>En similar sentido, ver entre otros:</w:t>
      </w:r>
      <w:r w:rsidRPr="004F4FE7">
        <w:rPr>
          <w:rFonts w:ascii="Verdana" w:hAnsi="Verdana"/>
          <w:b/>
          <w:sz w:val="18"/>
          <w:szCs w:val="18"/>
        </w:rPr>
        <w:t xml:space="preserve"> Caso Tristán Donoso Vs. Panamá. Excepción Preliminar, Fondo, Reparaciones y Costas. Sentencia de 27 de enero de 2009. Serie C No. 193, párr.119; </w:t>
      </w:r>
      <w:r w:rsidR="00CB5D84">
        <w:rPr>
          <w:rFonts w:ascii="Verdana" w:hAnsi="Verdana"/>
          <w:b/>
          <w:sz w:val="18"/>
          <w:szCs w:val="18"/>
        </w:rPr>
        <w:t xml:space="preserve">y </w:t>
      </w:r>
      <w:r w:rsidRPr="004F4FE7">
        <w:rPr>
          <w:rFonts w:ascii="Verdana" w:hAnsi="Verdana"/>
          <w:b/>
          <w:sz w:val="18"/>
          <w:szCs w:val="18"/>
        </w:rPr>
        <w:t xml:space="preserve">Caso </w:t>
      </w:r>
      <w:proofErr w:type="spellStart"/>
      <w:r w:rsidRPr="004F4FE7">
        <w:rPr>
          <w:rFonts w:ascii="Verdana" w:hAnsi="Verdana"/>
          <w:b/>
          <w:sz w:val="18"/>
          <w:szCs w:val="18"/>
        </w:rPr>
        <w:t>Usón</w:t>
      </w:r>
      <w:proofErr w:type="spellEnd"/>
      <w:r w:rsidRPr="004F4FE7">
        <w:rPr>
          <w:rFonts w:ascii="Verdana" w:hAnsi="Verdana"/>
          <w:b/>
          <w:sz w:val="18"/>
          <w:szCs w:val="18"/>
        </w:rPr>
        <w:t xml:space="preserve"> Ramírez Vs. Venezuela. Excepción Preliminar, Fondo, Reparaciones y Costas. Sentencia de 20 de noviembre de 2009. Serie C No. 207, párr.73</w:t>
      </w:r>
      <w:r w:rsidR="00CB5D84">
        <w:rPr>
          <w:rFonts w:ascii="Verdana" w:hAnsi="Verdana"/>
          <w:b/>
          <w:sz w:val="18"/>
          <w:szCs w:val="18"/>
        </w:rPr>
        <w:t>]</w:t>
      </w:r>
      <w:r w:rsidRPr="004F4FE7">
        <w:rPr>
          <w:rFonts w:ascii="Verdana" w:hAnsi="Verdana"/>
          <w:b/>
          <w:sz w:val="18"/>
          <w:szCs w:val="18"/>
        </w:rPr>
        <w:t>.</w:t>
      </w:r>
    </w:p>
    <w:p w14:paraId="431C8DEF" w14:textId="77777777" w:rsidR="00987FF9" w:rsidRPr="00D86945" w:rsidRDefault="00987FF9" w:rsidP="004F4FE7">
      <w:pPr>
        <w:spacing w:before="120" w:after="120" w:line="240" w:lineRule="auto"/>
        <w:ind w:right="49"/>
        <w:jc w:val="both"/>
        <w:rPr>
          <w:rFonts w:ascii="Verdana" w:hAnsi="Verdana"/>
          <w:sz w:val="20"/>
          <w:szCs w:val="20"/>
        </w:rPr>
      </w:pPr>
      <w:r w:rsidRPr="00D86945">
        <w:rPr>
          <w:rFonts w:ascii="Verdana" w:hAnsi="Verdana"/>
          <w:sz w:val="20"/>
          <w:szCs w:val="20"/>
        </w:rPr>
        <w:t>77.</w:t>
      </w:r>
      <w:r w:rsidRPr="00D86945">
        <w:rPr>
          <w:rFonts w:ascii="Verdana" w:hAnsi="Verdana"/>
          <w:sz w:val="20"/>
          <w:szCs w:val="20"/>
        </w:rPr>
        <w:tab/>
        <w:t xml:space="preserve">Tomando en cuenta las consideraciones formuladas hasta ahora sobre la protección debida de la libertad de expresión, la razonable conciliación de las </w:t>
      </w:r>
      <w:r w:rsidRPr="00D86945">
        <w:rPr>
          <w:rFonts w:ascii="Verdana" w:hAnsi="Verdana"/>
          <w:sz w:val="20"/>
          <w:szCs w:val="20"/>
        </w:rPr>
        <w:lastRenderedPageBreak/>
        <w:t xml:space="preserve">exigencias de tutela de aquel derecho, por una parte, y de la honra por la otra, y el principio de mínima intervención penal característico de una sociedad democrática, el empleo de la vía penal debe corresponder a la necesidad de tutelar bienes jurídicos fundamentales frente a conductas que impliquen graves lesiones a dichos bienes, y guarden relación con la magnitud del daño inferido. La tipificación penal de una conducta debe ser clara y precisa, como lo ha determinado la jurisprudencia de este Tribunal en el examen del artículo 9 de la Convención Americana. </w:t>
      </w:r>
    </w:p>
    <w:p w14:paraId="397DD25B" w14:textId="007AEF8B" w:rsidR="00987FF9" w:rsidRPr="004F4FE7" w:rsidRDefault="00987FF9" w:rsidP="004F4FE7">
      <w:pPr>
        <w:spacing w:before="120" w:after="120" w:line="240" w:lineRule="auto"/>
        <w:ind w:right="49"/>
        <w:jc w:val="both"/>
        <w:rPr>
          <w:rFonts w:ascii="Verdana" w:hAnsi="Verdana"/>
          <w:sz w:val="18"/>
          <w:szCs w:val="18"/>
        </w:rPr>
      </w:pPr>
      <w:r w:rsidRPr="00D86945">
        <w:rPr>
          <w:rFonts w:ascii="Verdana" w:hAnsi="Verdana"/>
          <w:sz w:val="20"/>
          <w:szCs w:val="20"/>
        </w:rPr>
        <w:t>78.</w:t>
      </w:r>
      <w:r w:rsidRPr="00D86945">
        <w:rPr>
          <w:rFonts w:ascii="Verdana" w:hAnsi="Verdana"/>
          <w:sz w:val="20"/>
          <w:szCs w:val="20"/>
        </w:rPr>
        <w:tab/>
        <w:t xml:space="preserve">La Corte no estima contraria a la Convención cualquier medida penal a propósito de la expresión de informaciones u opiniones, pero esta posibilidad se debe analizar con especial cautela, ponderando al respecto la extrema gravedad de la conducta desplegada por el emisor de aquéllas, el dolo con que actuó, las características del daño injustamente causado y otros datos que pongan de manifiesto la absoluta necesidad de utilizar, en forma verdaderamente excepcional, medidas penales. En todo momento la carga de la prueba debe recaer en quien formula la acusación. En este orden de consideraciones, la Corte observa los movimientos en la jurisprudencia de otros Tribunales encaminados a promover, con racionalidad y equilibrio, la protección que merecen los derechos en aparente pugna, sin mellar las garantías que requiere la libre expresión como baluarte del régimen democrático. </w:t>
      </w:r>
      <w:r w:rsidR="00CB5D84">
        <w:rPr>
          <w:rFonts w:ascii="Verdana" w:hAnsi="Verdana"/>
          <w:b/>
          <w:bCs/>
          <w:sz w:val="20"/>
          <w:szCs w:val="20"/>
        </w:rPr>
        <w:t>[</w:t>
      </w:r>
      <w:r w:rsidR="002A5747">
        <w:rPr>
          <w:rFonts w:ascii="Verdana" w:hAnsi="Verdana"/>
          <w:b/>
          <w:sz w:val="18"/>
          <w:szCs w:val="18"/>
        </w:rPr>
        <w:t>En similar sentido, ver entre otros:</w:t>
      </w:r>
      <w:r w:rsidRPr="004F4FE7">
        <w:rPr>
          <w:rFonts w:ascii="Verdana" w:hAnsi="Verdana"/>
          <w:sz w:val="18"/>
          <w:szCs w:val="18"/>
        </w:rPr>
        <w:t xml:space="preserve"> </w:t>
      </w:r>
      <w:r w:rsidRPr="004F4FE7">
        <w:rPr>
          <w:rFonts w:ascii="Verdana" w:hAnsi="Verdana"/>
          <w:b/>
          <w:sz w:val="18"/>
          <w:szCs w:val="18"/>
        </w:rPr>
        <w:t xml:space="preserve">Caso Tristán Donoso Vs. Panamá. Excepción Preliminar, Fondo, Reparaciones y Costas. Sentencia de 27 de enero de 2009. Serie C No. 193, párr.120; </w:t>
      </w:r>
      <w:r w:rsidR="00CB5D84">
        <w:rPr>
          <w:rFonts w:ascii="Verdana" w:hAnsi="Verdana"/>
          <w:b/>
          <w:sz w:val="18"/>
          <w:szCs w:val="18"/>
        </w:rPr>
        <w:t xml:space="preserve">y </w:t>
      </w:r>
      <w:r w:rsidRPr="004F4FE7">
        <w:rPr>
          <w:rFonts w:ascii="Verdana" w:hAnsi="Verdana"/>
          <w:b/>
          <w:sz w:val="18"/>
          <w:szCs w:val="18"/>
        </w:rPr>
        <w:t xml:space="preserve">Caso </w:t>
      </w:r>
      <w:proofErr w:type="spellStart"/>
      <w:r w:rsidRPr="004F4FE7">
        <w:rPr>
          <w:rFonts w:ascii="Verdana" w:hAnsi="Verdana"/>
          <w:b/>
          <w:sz w:val="18"/>
          <w:szCs w:val="18"/>
        </w:rPr>
        <w:t>Fontevecchia</w:t>
      </w:r>
      <w:proofErr w:type="spellEnd"/>
      <w:r w:rsidRPr="004F4FE7">
        <w:rPr>
          <w:rFonts w:ascii="Verdana" w:hAnsi="Verdana"/>
          <w:b/>
          <w:sz w:val="18"/>
          <w:szCs w:val="18"/>
        </w:rPr>
        <w:t xml:space="preserve"> y </w:t>
      </w:r>
      <w:proofErr w:type="spellStart"/>
      <w:r w:rsidRPr="004F4FE7">
        <w:rPr>
          <w:rFonts w:ascii="Verdana" w:hAnsi="Verdana"/>
          <w:b/>
          <w:sz w:val="18"/>
          <w:szCs w:val="18"/>
        </w:rPr>
        <w:t>D`Amico</w:t>
      </w:r>
      <w:proofErr w:type="spellEnd"/>
      <w:r w:rsidRPr="004F4FE7">
        <w:rPr>
          <w:rFonts w:ascii="Verdana" w:hAnsi="Verdana"/>
          <w:b/>
          <w:sz w:val="18"/>
          <w:szCs w:val="18"/>
        </w:rPr>
        <w:t xml:space="preserve"> Vs. Argentina. Fondo, Reparaciones y Costas. Sentencia de 29 de noviembre de 2011. Serie C No. 238, párr.55</w:t>
      </w:r>
      <w:r w:rsidR="00CB5D84">
        <w:rPr>
          <w:rFonts w:ascii="Verdana" w:hAnsi="Verdana"/>
          <w:b/>
          <w:sz w:val="18"/>
          <w:szCs w:val="18"/>
        </w:rPr>
        <w:t>]</w:t>
      </w:r>
      <w:r w:rsidRPr="004F4FE7">
        <w:rPr>
          <w:rFonts w:ascii="Verdana" w:hAnsi="Verdana"/>
          <w:b/>
          <w:sz w:val="18"/>
          <w:szCs w:val="18"/>
        </w:rPr>
        <w:t>.</w:t>
      </w:r>
    </w:p>
    <w:p w14:paraId="2AFBC04E" w14:textId="77777777" w:rsidR="00987FF9" w:rsidRPr="00D86945" w:rsidRDefault="00987FF9" w:rsidP="004F4FE7">
      <w:pPr>
        <w:spacing w:before="120" w:after="120" w:line="240" w:lineRule="auto"/>
        <w:ind w:right="49"/>
        <w:jc w:val="both"/>
        <w:rPr>
          <w:rFonts w:ascii="Verdana" w:hAnsi="Verdana"/>
          <w:sz w:val="20"/>
          <w:szCs w:val="20"/>
        </w:rPr>
      </w:pPr>
      <w:r w:rsidRPr="00D86945">
        <w:rPr>
          <w:rFonts w:ascii="Verdana" w:hAnsi="Verdana"/>
          <w:sz w:val="20"/>
          <w:szCs w:val="20"/>
        </w:rPr>
        <w:t>79.</w:t>
      </w:r>
      <w:r w:rsidRPr="00D86945">
        <w:rPr>
          <w:rFonts w:ascii="Verdana" w:hAnsi="Verdana"/>
          <w:sz w:val="20"/>
          <w:szCs w:val="20"/>
        </w:rPr>
        <w:tab/>
        <w:t>De otro lado, en el marco de la libertad de información, el Tribunal considera que existe un deber del periodista de constatar en forma razonable, aunque no necesariamente exhaustiva, los hechos en que fundamenta sus opiniones. Es decir, resulta válido reclamar equidad y diligencia en la confrontación de las fuentes y la búsqueda de información. Esto implica el derecho de las personas a no recibir una versión manipulada de los hechos. En consecuencia, los periodistas tienen el deber de tomar alguna distancia crítica respecto a sus fuentes y contrastarlas con otros datos relevantes.</w:t>
      </w:r>
    </w:p>
    <w:p w14:paraId="170D429C" w14:textId="77777777" w:rsidR="00987FF9" w:rsidRPr="00D86945" w:rsidRDefault="00987FF9" w:rsidP="004F4FE7">
      <w:pPr>
        <w:spacing w:before="120" w:after="120" w:line="240" w:lineRule="auto"/>
        <w:ind w:right="49"/>
        <w:jc w:val="both"/>
        <w:rPr>
          <w:rFonts w:ascii="Verdana" w:hAnsi="Verdana"/>
          <w:sz w:val="20"/>
          <w:szCs w:val="20"/>
        </w:rPr>
      </w:pPr>
      <w:r w:rsidRPr="00D86945">
        <w:rPr>
          <w:rFonts w:ascii="Verdana" w:hAnsi="Verdana"/>
          <w:sz w:val="20"/>
          <w:szCs w:val="20"/>
        </w:rPr>
        <w:t>80.</w:t>
      </w:r>
      <w:r w:rsidRPr="00D86945">
        <w:rPr>
          <w:rFonts w:ascii="Verdana" w:hAnsi="Verdana"/>
          <w:sz w:val="20"/>
          <w:szCs w:val="20"/>
        </w:rPr>
        <w:tab/>
        <w:t>En lo que corresponde al presente caso, es notorio el abuso en el ejercicio del poder punitivo –como lo ha reconocido el propio Estado- tomando en cuenta los hechos imputados al señor Kimel, su repercusión sobre los bienes jurídicos del querellante y la naturaleza de la sanción –privación de libertad- aplicada al periodista.</w:t>
      </w:r>
    </w:p>
    <w:p w14:paraId="75D23C3F" w14:textId="1CEB2590"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83.</w:t>
      </w:r>
      <w:r w:rsidRPr="00D86945">
        <w:rPr>
          <w:rFonts w:ascii="Verdana" w:hAnsi="Verdana"/>
          <w:sz w:val="20"/>
          <w:szCs w:val="20"/>
        </w:rPr>
        <w:tab/>
        <w:t>En este último paso del análisis se considera si la restricción resulta estrictamente proporcional, de tal forma que el sacrificio inherente a aquella no resulte exagerado o desmedido frente a las ventajas que se obtienen mediante tal limitación. La Corte ha hecho suyo este método al señalar que:</w:t>
      </w:r>
    </w:p>
    <w:p w14:paraId="41B1003E" w14:textId="6EF64DEF" w:rsidR="00987FF9" w:rsidRPr="004F4FE7" w:rsidRDefault="00987FF9" w:rsidP="004F4FE7">
      <w:pPr>
        <w:spacing w:line="240" w:lineRule="auto"/>
        <w:ind w:left="1416" w:right="49"/>
        <w:jc w:val="both"/>
        <w:rPr>
          <w:rFonts w:ascii="Verdana" w:hAnsi="Verdana"/>
          <w:sz w:val="18"/>
          <w:szCs w:val="18"/>
        </w:rPr>
      </w:pPr>
      <w:r w:rsidRPr="004F4FE7">
        <w:rPr>
          <w:rFonts w:ascii="Verdana" w:hAnsi="Verdana"/>
          <w:sz w:val="18"/>
          <w:szCs w:val="18"/>
        </w:rPr>
        <w:t>para que sean compatibles con la Convención las restricciones deben justificarse según objetivos colectivos que, por su importancia, preponderen claramente sobre la necesidad social del pleno goce del derecho que el artículo 13 de la Convención garantiza y no limiten más de lo estrictamente necesario el derecho proclamado en dicho artículo. Es decir, la restricción debe ser proporcional al interés que la justifica y ajustarse estrechamente al logro de ese legítimo objetivo, interfiriendo en la menor medida posible en el efectivo ejercicio del der</w:t>
      </w:r>
      <w:r w:rsidR="005B1BAE" w:rsidRPr="004F4FE7">
        <w:rPr>
          <w:rFonts w:ascii="Verdana" w:hAnsi="Verdana"/>
          <w:sz w:val="18"/>
          <w:szCs w:val="18"/>
        </w:rPr>
        <w:t>echo a la libertad de expresión</w:t>
      </w:r>
      <w:r w:rsidRPr="004F4FE7">
        <w:rPr>
          <w:rFonts w:ascii="Verdana" w:hAnsi="Verdana"/>
          <w:sz w:val="18"/>
          <w:szCs w:val="18"/>
        </w:rPr>
        <w:t>.</w:t>
      </w:r>
    </w:p>
    <w:p w14:paraId="7CDB70ED" w14:textId="64011886" w:rsidR="00987FF9" w:rsidRPr="004F4FE7" w:rsidRDefault="00987FF9" w:rsidP="004F4FE7">
      <w:pPr>
        <w:spacing w:line="240" w:lineRule="auto"/>
        <w:ind w:right="49"/>
        <w:jc w:val="both"/>
        <w:rPr>
          <w:rFonts w:ascii="Verdana" w:hAnsi="Verdana"/>
          <w:sz w:val="18"/>
          <w:szCs w:val="18"/>
        </w:rPr>
      </w:pPr>
      <w:r w:rsidRPr="00D86945">
        <w:rPr>
          <w:rFonts w:ascii="Verdana" w:hAnsi="Verdana"/>
          <w:sz w:val="20"/>
          <w:szCs w:val="20"/>
        </w:rPr>
        <w:t>84.</w:t>
      </w:r>
      <w:r w:rsidRPr="00D86945">
        <w:rPr>
          <w:rFonts w:ascii="Verdana" w:hAnsi="Verdana"/>
          <w:sz w:val="20"/>
          <w:szCs w:val="20"/>
        </w:rPr>
        <w:tab/>
        <w:t xml:space="preserve">Para el caso que nos ocupa, la restricción tendría que lograr una importante satisfacción del derecho a la reputación sin hacer nugatorio el derecho a la libre crítica contra la actuación de los funcionarios públicos. Para efectuar esta ponderación se debe analizar i) el grado de afectación de uno de los bienes en juego, determinando si la intensidad de dicha afectación fue grave, intermedia o moderada; ii) la importancia de la satisfacción del bien contrario, y iii) si la satisfacción de éste justifica la restricción del otro. En algunos casos la balanza se inclinará hacia la </w:t>
      </w:r>
      <w:r w:rsidRPr="00D86945">
        <w:rPr>
          <w:rFonts w:ascii="Verdana" w:hAnsi="Verdana"/>
          <w:sz w:val="20"/>
          <w:szCs w:val="20"/>
        </w:rPr>
        <w:lastRenderedPageBreak/>
        <w:t xml:space="preserve">libertad de expresión y en otros a la salvaguarda del derecho a la honra. </w:t>
      </w:r>
      <w:r w:rsidR="00CB5D84">
        <w:rPr>
          <w:rFonts w:ascii="Verdana" w:hAnsi="Verdana"/>
          <w:b/>
          <w:bCs/>
          <w:sz w:val="20"/>
          <w:szCs w:val="20"/>
        </w:rPr>
        <w:t>[</w:t>
      </w:r>
      <w:r w:rsidR="002A5747">
        <w:rPr>
          <w:rFonts w:ascii="Verdana" w:hAnsi="Verdana"/>
          <w:b/>
          <w:sz w:val="18"/>
          <w:szCs w:val="18"/>
        </w:rPr>
        <w:t>En similar sentido, ver entre otros:</w:t>
      </w:r>
      <w:r w:rsidRPr="004F4FE7">
        <w:rPr>
          <w:rFonts w:ascii="Verdana" w:hAnsi="Verdana"/>
          <w:sz w:val="18"/>
          <w:szCs w:val="18"/>
        </w:rPr>
        <w:t xml:space="preserve"> </w:t>
      </w:r>
      <w:r w:rsidRPr="004F4FE7">
        <w:rPr>
          <w:rFonts w:ascii="Verdana" w:hAnsi="Verdana"/>
          <w:b/>
          <w:sz w:val="18"/>
          <w:szCs w:val="18"/>
        </w:rPr>
        <w:t xml:space="preserve">Caso </w:t>
      </w:r>
      <w:proofErr w:type="spellStart"/>
      <w:r w:rsidRPr="004F4FE7">
        <w:rPr>
          <w:rFonts w:ascii="Verdana" w:hAnsi="Verdana"/>
          <w:b/>
          <w:sz w:val="18"/>
          <w:szCs w:val="18"/>
        </w:rPr>
        <w:t>Usón</w:t>
      </w:r>
      <w:proofErr w:type="spellEnd"/>
      <w:r w:rsidRPr="004F4FE7">
        <w:rPr>
          <w:rFonts w:ascii="Verdana" w:hAnsi="Verdana"/>
          <w:b/>
          <w:sz w:val="18"/>
          <w:szCs w:val="18"/>
        </w:rPr>
        <w:t xml:space="preserve"> Ramírez Vs. Venezuela. Excepción Preliminar, Fondo, Reparaciones y Costas. Sentencia de 20 de noviembre de 2009. Serie C No. 207, párr.80</w:t>
      </w:r>
      <w:r w:rsidR="00CB5D84">
        <w:rPr>
          <w:rFonts w:ascii="Verdana" w:hAnsi="Verdana"/>
          <w:b/>
          <w:sz w:val="18"/>
          <w:szCs w:val="18"/>
        </w:rPr>
        <w:t>]</w:t>
      </w:r>
      <w:r w:rsidRPr="004F4FE7">
        <w:rPr>
          <w:rFonts w:ascii="Verdana" w:hAnsi="Verdana"/>
          <w:b/>
          <w:sz w:val="18"/>
          <w:szCs w:val="18"/>
        </w:rPr>
        <w:t>.</w:t>
      </w:r>
    </w:p>
    <w:p w14:paraId="4A9B9083" w14:textId="1A671FC2" w:rsidR="00987FF9" w:rsidRPr="004F4FE7" w:rsidRDefault="00987FF9" w:rsidP="004F4FE7">
      <w:pPr>
        <w:spacing w:line="240" w:lineRule="auto"/>
        <w:ind w:right="49"/>
        <w:jc w:val="both"/>
        <w:rPr>
          <w:rFonts w:ascii="Verdana" w:hAnsi="Verdana"/>
          <w:sz w:val="18"/>
          <w:szCs w:val="18"/>
        </w:rPr>
      </w:pPr>
      <w:r w:rsidRPr="00D86945">
        <w:rPr>
          <w:rFonts w:ascii="Verdana" w:hAnsi="Verdana"/>
          <w:sz w:val="20"/>
          <w:szCs w:val="20"/>
        </w:rPr>
        <w:t>85.</w:t>
      </w:r>
      <w:r w:rsidRPr="00D86945">
        <w:rPr>
          <w:rFonts w:ascii="Verdana" w:hAnsi="Verdana"/>
          <w:sz w:val="20"/>
          <w:szCs w:val="20"/>
        </w:rPr>
        <w:tab/>
        <w:t xml:space="preserve">Respecto al grado de afectación de la libertad de expresión, la Corte considera que las consecuencias del proceso penal en sí mismo, la imposición de la sanción, la inscripción en el registro de antecedentes penales, el riesgo latente de posible pérdida de la libertad personal y el efecto estigmatizador de la condena penal impuesta al señor Kimel demuestran que las responsabilidades ulteriores establecidas en este caso fueron graves. Incluso la multa constituye, por sí misma, una afectación grave de la libertad de expresión, dada su alta cuantía respecto a los ingresos del beneficiario. </w:t>
      </w:r>
      <w:r w:rsidR="00CB5D84">
        <w:rPr>
          <w:rFonts w:ascii="Verdana" w:hAnsi="Verdana"/>
          <w:b/>
          <w:bCs/>
          <w:sz w:val="20"/>
          <w:szCs w:val="20"/>
        </w:rPr>
        <w:t>[</w:t>
      </w:r>
      <w:r w:rsidR="002A5747">
        <w:rPr>
          <w:rFonts w:ascii="Verdana" w:hAnsi="Verdana"/>
          <w:b/>
          <w:sz w:val="18"/>
          <w:szCs w:val="18"/>
        </w:rPr>
        <w:t>En similar sentido, ver entre otros:</w:t>
      </w:r>
      <w:r w:rsidRPr="004F4FE7">
        <w:rPr>
          <w:rFonts w:ascii="Verdana" w:hAnsi="Verdana"/>
          <w:sz w:val="18"/>
          <w:szCs w:val="18"/>
        </w:rPr>
        <w:t xml:space="preserve"> </w:t>
      </w:r>
      <w:r w:rsidRPr="004F4FE7">
        <w:rPr>
          <w:rFonts w:ascii="Verdana" w:hAnsi="Verdana"/>
          <w:b/>
          <w:sz w:val="18"/>
          <w:szCs w:val="18"/>
        </w:rPr>
        <w:t xml:space="preserve">Caso </w:t>
      </w:r>
      <w:proofErr w:type="spellStart"/>
      <w:r w:rsidRPr="004F4FE7">
        <w:rPr>
          <w:rFonts w:ascii="Verdana" w:hAnsi="Verdana"/>
          <w:b/>
          <w:sz w:val="18"/>
          <w:szCs w:val="18"/>
        </w:rPr>
        <w:t>Usón</w:t>
      </w:r>
      <w:proofErr w:type="spellEnd"/>
      <w:r w:rsidRPr="004F4FE7">
        <w:rPr>
          <w:rFonts w:ascii="Verdana" w:hAnsi="Verdana"/>
          <w:b/>
          <w:sz w:val="18"/>
          <w:szCs w:val="18"/>
        </w:rPr>
        <w:t xml:space="preserve"> Ramírez Vs. Venezuela. Excepción Preliminar, Fondo, Reparaciones y Costas. Sentencia de 20 de noviembre de 2009. Serie C No. 207, párr.81</w:t>
      </w:r>
      <w:r w:rsidR="00CB5D84">
        <w:rPr>
          <w:rFonts w:ascii="Verdana" w:hAnsi="Verdana"/>
          <w:b/>
          <w:sz w:val="18"/>
          <w:szCs w:val="18"/>
        </w:rPr>
        <w:t>]</w:t>
      </w:r>
      <w:r w:rsidRPr="004F4FE7">
        <w:rPr>
          <w:rFonts w:ascii="Verdana" w:hAnsi="Verdana"/>
          <w:b/>
          <w:sz w:val="18"/>
          <w:szCs w:val="18"/>
        </w:rPr>
        <w:t>.</w:t>
      </w:r>
    </w:p>
    <w:p w14:paraId="280A10D4" w14:textId="2C8172C7" w:rsidR="00987FF9" w:rsidRPr="004F4FE7" w:rsidRDefault="00987FF9" w:rsidP="004F4FE7">
      <w:pPr>
        <w:spacing w:line="240" w:lineRule="auto"/>
        <w:ind w:right="49"/>
        <w:jc w:val="both"/>
        <w:rPr>
          <w:rFonts w:ascii="Verdana" w:hAnsi="Verdana"/>
          <w:sz w:val="18"/>
          <w:szCs w:val="18"/>
        </w:rPr>
      </w:pPr>
      <w:r w:rsidRPr="00D86945">
        <w:rPr>
          <w:rFonts w:ascii="Verdana" w:hAnsi="Verdana"/>
          <w:sz w:val="20"/>
          <w:szCs w:val="20"/>
        </w:rPr>
        <w:t>86.</w:t>
      </w:r>
      <w:r w:rsidRPr="00D86945">
        <w:rPr>
          <w:rFonts w:ascii="Verdana" w:hAnsi="Verdana"/>
          <w:sz w:val="20"/>
          <w:szCs w:val="20"/>
        </w:rPr>
        <w:tab/>
        <w:t xml:space="preserve">Respecto al derecho a la honra, las expresiones concernientes a la idoneidad de una persona para el desempeño de un cargo público o a los actos realizados por funcionarios públicos en el desempeño de sus labores gozan de mayor protección, de manera tal que se propicie el debate democrático. La Corte ha señalado que en una sociedad democrática los funcionarios públicos están más expuestos al escrutinio y la crítica del público. Este diferente umbral de protección se explica porque se han expuesto voluntariamente a un escrutinio más exigente. Sus actividades salen del dominio de la esfera privada para insertarse en la esfera del debate público. Este umbral no se asienta en la calidad del sujeto, sino en el interés público de las actividades que realiza, como sucede cuando un juez investiga una masacre en el contexto de una dictadura militar, como ocurrió en el presente caso. </w:t>
      </w:r>
      <w:r w:rsidR="00CB5D84">
        <w:rPr>
          <w:rFonts w:ascii="Verdana" w:hAnsi="Verdana"/>
          <w:b/>
          <w:bCs/>
          <w:sz w:val="20"/>
          <w:szCs w:val="20"/>
        </w:rPr>
        <w:t>[</w:t>
      </w:r>
      <w:r w:rsidR="002A5747">
        <w:rPr>
          <w:rFonts w:ascii="Verdana" w:hAnsi="Verdana"/>
          <w:b/>
          <w:sz w:val="18"/>
          <w:szCs w:val="18"/>
        </w:rPr>
        <w:t>En similar sentido, ver entre otros:</w:t>
      </w:r>
      <w:r w:rsidRPr="004F4FE7">
        <w:rPr>
          <w:rFonts w:ascii="Verdana" w:hAnsi="Verdana"/>
          <w:sz w:val="18"/>
          <w:szCs w:val="18"/>
        </w:rPr>
        <w:t xml:space="preserve"> </w:t>
      </w:r>
      <w:r w:rsidRPr="004F4FE7">
        <w:rPr>
          <w:rFonts w:ascii="Verdana" w:hAnsi="Verdana"/>
          <w:b/>
          <w:sz w:val="18"/>
          <w:szCs w:val="18"/>
        </w:rPr>
        <w:t xml:space="preserve">Caso </w:t>
      </w:r>
      <w:proofErr w:type="spellStart"/>
      <w:r w:rsidRPr="004F4FE7">
        <w:rPr>
          <w:rFonts w:ascii="Verdana" w:hAnsi="Verdana"/>
          <w:b/>
          <w:sz w:val="18"/>
          <w:szCs w:val="18"/>
        </w:rPr>
        <w:t>Fontevecchia</w:t>
      </w:r>
      <w:proofErr w:type="spellEnd"/>
      <w:r w:rsidRPr="004F4FE7">
        <w:rPr>
          <w:rFonts w:ascii="Verdana" w:hAnsi="Verdana"/>
          <w:b/>
          <w:sz w:val="18"/>
          <w:szCs w:val="18"/>
        </w:rPr>
        <w:t xml:space="preserve"> y </w:t>
      </w:r>
      <w:proofErr w:type="spellStart"/>
      <w:r w:rsidRPr="004F4FE7">
        <w:rPr>
          <w:rFonts w:ascii="Verdana" w:hAnsi="Verdana"/>
          <w:b/>
          <w:sz w:val="18"/>
          <w:szCs w:val="18"/>
        </w:rPr>
        <w:t>D`Amico</w:t>
      </w:r>
      <w:proofErr w:type="spellEnd"/>
      <w:r w:rsidRPr="004F4FE7">
        <w:rPr>
          <w:rFonts w:ascii="Verdana" w:hAnsi="Verdana"/>
          <w:b/>
          <w:sz w:val="18"/>
          <w:szCs w:val="18"/>
        </w:rPr>
        <w:t xml:space="preserve"> Vs. Argentina. Fondo, Reparaciones y Costas. Sentencia de 29 de noviembre de 2011. Serie C No. 238, párr.47</w:t>
      </w:r>
      <w:r w:rsidR="00CB5D84">
        <w:rPr>
          <w:rFonts w:ascii="Verdana" w:hAnsi="Verdana"/>
          <w:b/>
          <w:sz w:val="18"/>
          <w:szCs w:val="18"/>
        </w:rPr>
        <w:t>]</w:t>
      </w:r>
      <w:r w:rsidRPr="004F4FE7">
        <w:rPr>
          <w:rFonts w:ascii="Verdana" w:hAnsi="Verdana"/>
          <w:b/>
          <w:sz w:val="18"/>
          <w:szCs w:val="18"/>
        </w:rPr>
        <w:t>.</w:t>
      </w:r>
    </w:p>
    <w:p w14:paraId="66EF8057" w14:textId="5CAB18C5" w:rsidR="00987FF9" w:rsidRPr="004F4FE7" w:rsidRDefault="00987FF9" w:rsidP="004F4FE7">
      <w:pPr>
        <w:spacing w:line="240" w:lineRule="auto"/>
        <w:ind w:right="49"/>
        <w:jc w:val="both"/>
        <w:rPr>
          <w:rFonts w:ascii="Verdana" w:hAnsi="Verdana"/>
          <w:sz w:val="18"/>
          <w:szCs w:val="18"/>
        </w:rPr>
      </w:pPr>
      <w:r w:rsidRPr="00D86945">
        <w:rPr>
          <w:rFonts w:ascii="Verdana" w:hAnsi="Verdana"/>
          <w:sz w:val="20"/>
          <w:szCs w:val="20"/>
        </w:rPr>
        <w:t>87.</w:t>
      </w:r>
      <w:r w:rsidRPr="00D86945">
        <w:rPr>
          <w:rFonts w:ascii="Verdana" w:hAnsi="Verdana"/>
          <w:sz w:val="20"/>
          <w:szCs w:val="20"/>
        </w:rPr>
        <w:tab/>
        <w:t xml:space="preserve">El control democrático a través de la opinión pública fomenta la transparencia de las actividades estatales y promueve la responsabilidad de los funcionarios sobre su gestión pública. De ahí la mayor tolerancia frente a afirmaciones y apreciaciones vertidas por los ciudadanos en ejercicio de dicho control democrático. Tales son las demandas del pluralismo propio de una sociedad democrática, que requiere la mayor circulación de informes y opiniones sobre asuntos de interés público. </w:t>
      </w:r>
      <w:r w:rsidR="00CB5D84">
        <w:rPr>
          <w:rFonts w:ascii="Verdana" w:hAnsi="Verdana"/>
          <w:b/>
          <w:bCs/>
          <w:sz w:val="20"/>
          <w:szCs w:val="20"/>
        </w:rPr>
        <w:t>[</w:t>
      </w:r>
      <w:r w:rsidR="002A5747">
        <w:rPr>
          <w:rFonts w:ascii="Verdana" w:hAnsi="Verdana"/>
          <w:b/>
          <w:sz w:val="18"/>
          <w:szCs w:val="18"/>
        </w:rPr>
        <w:t>En similar sentido, ver entre otros:</w:t>
      </w:r>
      <w:r w:rsidRPr="004F4FE7">
        <w:rPr>
          <w:rFonts w:ascii="Verdana" w:hAnsi="Verdana"/>
          <w:sz w:val="18"/>
          <w:szCs w:val="18"/>
        </w:rPr>
        <w:t xml:space="preserve"> </w:t>
      </w:r>
      <w:r w:rsidRPr="004F4FE7">
        <w:rPr>
          <w:rFonts w:ascii="Verdana" w:hAnsi="Verdana"/>
          <w:b/>
          <w:sz w:val="18"/>
          <w:szCs w:val="18"/>
        </w:rPr>
        <w:t xml:space="preserve">Caso </w:t>
      </w:r>
      <w:proofErr w:type="spellStart"/>
      <w:r w:rsidRPr="004F4FE7">
        <w:rPr>
          <w:rFonts w:ascii="Verdana" w:hAnsi="Verdana"/>
          <w:b/>
          <w:sz w:val="18"/>
          <w:szCs w:val="18"/>
        </w:rPr>
        <w:t>Usón</w:t>
      </w:r>
      <w:proofErr w:type="spellEnd"/>
      <w:r w:rsidRPr="004F4FE7">
        <w:rPr>
          <w:rFonts w:ascii="Verdana" w:hAnsi="Verdana"/>
          <w:b/>
          <w:sz w:val="18"/>
          <w:szCs w:val="18"/>
        </w:rPr>
        <w:t xml:space="preserve"> Ramírez Vs. Venezuela. Excepción Preliminar, Fondo, Reparaciones y Costas. Sentencia de 20 de noviembre de 2009. Serie C No. 207, párr.83</w:t>
      </w:r>
      <w:r w:rsidR="00CB5D84">
        <w:rPr>
          <w:rFonts w:ascii="Verdana" w:hAnsi="Verdana"/>
          <w:b/>
          <w:sz w:val="18"/>
          <w:szCs w:val="18"/>
        </w:rPr>
        <w:t>]</w:t>
      </w:r>
      <w:r w:rsidRPr="004F4FE7">
        <w:rPr>
          <w:rFonts w:ascii="Verdana" w:hAnsi="Verdana"/>
          <w:b/>
          <w:sz w:val="18"/>
          <w:szCs w:val="18"/>
        </w:rPr>
        <w:t>.</w:t>
      </w:r>
    </w:p>
    <w:p w14:paraId="73EA42B9" w14:textId="7B45F5A6"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88.</w:t>
      </w:r>
      <w:r w:rsidRPr="00D86945">
        <w:rPr>
          <w:rFonts w:ascii="Verdana" w:hAnsi="Verdana"/>
          <w:sz w:val="20"/>
          <w:szCs w:val="20"/>
        </w:rPr>
        <w:tab/>
        <w:t xml:space="preserve">En la arena del debate sobre temas de alto interés público, no sólo se protege la emisión de expresiones inofensivas o bien recibidas por la opinión pública, sino también la de aquellas que chocan, irritan o inquietan a los funcionarios públicos o a un sector cualquiera de la población. En una sociedad democrática, la prensa debe informar ampliamente sobre cuestiones de interés público, que afectan bienes sociales, y los funcionarios rendir cuentas de su actuación en el ejercicio de sus tareas públicas. </w:t>
      </w:r>
    </w:p>
    <w:p w14:paraId="363109E6" w14:textId="41A160BE"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89.</w:t>
      </w:r>
      <w:r w:rsidRPr="00D86945">
        <w:rPr>
          <w:rFonts w:ascii="Verdana" w:hAnsi="Verdana"/>
          <w:sz w:val="20"/>
          <w:szCs w:val="20"/>
        </w:rPr>
        <w:tab/>
        <w:t xml:space="preserve">La crítica realizada por el señor Kimel estaba relacionada con temas de notorio interés público, se refería a un juez en relación con el desempeño de su cargo y se concretó en opiniones que no entrañaban la imputación de delitos. Tal como indicó la sentencia de primera instancia </w:t>
      </w:r>
      <w:r w:rsidR="005E0C2B">
        <w:rPr>
          <w:rFonts w:ascii="Verdana" w:hAnsi="Verdana"/>
          <w:sz w:val="20"/>
          <w:szCs w:val="20"/>
        </w:rPr>
        <w:t>[...]</w:t>
      </w:r>
      <w:r w:rsidRPr="00D86945">
        <w:rPr>
          <w:rFonts w:ascii="Verdana" w:hAnsi="Verdana"/>
          <w:sz w:val="20"/>
          <w:szCs w:val="20"/>
        </w:rPr>
        <w:t>, el párrafo por el que fue procesado el señor Kimel involucraba una opinión y no el señalamiento de un hecho:</w:t>
      </w:r>
    </w:p>
    <w:p w14:paraId="75979378" w14:textId="4F92852F" w:rsidR="00987FF9" w:rsidRPr="004F4FE7" w:rsidRDefault="00987FF9" w:rsidP="004F4FE7">
      <w:pPr>
        <w:spacing w:line="240" w:lineRule="auto"/>
        <w:ind w:left="1416" w:right="49"/>
        <w:jc w:val="both"/>
        <w:rPr>
          <w:rFonts w:ascii="Verdana" w:hAnsi="Verdana"/>
          <w:sz w:val="18"/>
          <w:szCs w:val="18"/>
        </w:rPr>
      </w:pPr>
      <w:r w:rsidRPr="004F4FE7">
        <w:rPr>
          <w:rFonts w:ascii="Verdana" w:hAnsi="Verdana"/>
          <w:sz w:val="18"/>
          <w:szCs w:val="18"/>
        </w:rPr>
        <w:t xml:space="preserve">Kimel […] se limita a abrir un interrogante […]. En modo alguno, conforme doctrina y jurisprudencia imperantes en la materia, podría sostenerse válidamente que tales epítetos puedan constituir la atribución de una conducta criminal, en los términos requeridos por la figura típica y antijurídica [de calumnia]. El interrogante como tal, no puede implicar una imputación </w:t>
      </w:r>
      <w:r w:rsidRPr="004F4FE7">
        <w:rPr>
          <w:rFonts w:ascii="Verdana" w:hAnsi="Verdana"/>
          <w:sz w:val="18"/>
          <w:szCs w:val="18"/>
        </w:rPr>
        <w:lastRenderedPageBreak/>
        <w:t>concreta, sino una mera valoración perfectamente subjetiva –y librada al subjetivismo también del lector-, por parte del autor, de una no menos subjetiva apreciación del valor probatorio de los elementos de juicio, incorporados al proceso, por parte del [querellante]. Tratase, en fin, de una crítica con opinión a la actuación de un Magistrado, frente a un proceso determinado. Pero la diferente apreciación de los hechos y circunstancias, en modo alguno, puede implicar la clara y rotunda imputación de un delito de acción pública.</w:t>
      </w:r>
    </w:p>
    <w:p w14:paraId="7446DFBD" w14:textId="430C4F04"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91.</w:t>
      </w:r>
      <w:r w:rsidRPr="00D86945">
        <w:rPr>
          <w:rFonts w:ascii="Verdana" w:hAnsi="Verdana"/>
          <w:sz w:val="20"/>
          <w:szCs w:val="20"/>
        </w:rPr>
        <w:tab/>
        <w:t>El señor Kimel emitió una opinión que no tenía relación con la vida personal del Juez querellante ni le imputaba una conducta ilícita, sino que se relacionaba con la causa judicial a su cargo.</w:t>
      </w:r>
    </w:p>
    <w:p w14:paraId="16B3DE5A" w14:textId="6907C1E6"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92.</w:t>
      </w:r>
      <w:r w:rsidRPr="00D86945">
        <w:rPr>
          <w:rFonts w:ascii="Verdana" w:hAnsi="Verdana"/>
          <w:sz w:val="20"/>
          <w:szCs w:val="20"/>
        </w:rPr>
        <w:tab/>
        <w:t xml:space="preserve">La Corte observa que el señor Kimel realizó una reconstrucción de la investigación judicial de la masacre y, a partir de ello, emitió un juicio de valor crítico sobre el desempeño del Poder Judicial durante la última dictadura militar en Argentina. En la audiencia pública del presente caso </w:t>
      </w:r>
      <w:r w:rsidR="005E0C2B">
        <w:rPr>
          <w:rFonts w:ascii="Verdana" w:hAnsi="Verdana"/>
          <w:sz w:val="20"/>
          <w:szCs w:val="20"/>
        </w:rPr>
        <w:t>[...]</w:t>
      </w:r>
      <w:r w:rsidRPr="00D86945">
        <w:rPr>
          <w:rFonts w:ascii="Verdana" w:hAnsi="Verdana"/>
          <w:sz w:val="20"/>
          <w:szCs w:val="20"/>
        </w:rPr>
        <w:t>, el señor Kimel resaltó que el texto en el que se refiere al juez querellante era “un párrafo que debía estar en el libro porque contenía, a pesar de su brevedad, un dato significativo: cual había sido la conducta de la justicia argentina durante aquellos trágicos años de la dictadura militar para investigar el asesinato de los sacerdotes”. El señor Kimel no utilizó un lenguaje desmedido y su opinión fue construida teniendo en cuenta los hechos verificados por el propio periodista.</w:t>
      </w:r>
    </w:p>
    <w:p w14:paraId="1AD299C0" w14:textId="17F334FA"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93.</w:t>
      </w:r>
      <w:r w:rsidRPr="00D86945">
        <w:rPr>
          <w:rFonts w:ascii="Verdana" w:hAnsi="Verdana"/>
          <w:sz w:val="20"/>
          <w:szCs w:val="20"/>
        </w:rPr>
        <w:tab/>
        <w:t xml:space="preserve">Las opiniones vertidas por el señor Kimel no pueden considerarse ni verdaderas ni falsas. Como tal, la opinión no puede ser objeto de sanción, más aún cuando se trata de un juicio de valor sobre un acto oficial de un funcionario público en el desempeño de su cargo. En principio, la verdad o falsedad se predica sólo respecto a hechos. De allí que no puede ser sometida a requisitos de veracidad la prueba respecto de juicios de valor. </w:t>
      </w:r>
    </w:p>
    <w:p w14:paraId="51940271" w14:textId="68440D18"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94.</w:t>
      </w:r>
      <w:r w:rsidRPr="00D86945">
        <w:rPr>
          <w:rFonts w:ascii="Verdana" w:hAnsi="Verdana"/>
          <w:sz w:val="20"/>
          <w:szCs w:val="20"/>
        </w:rPr>
        <w:tab/>
        <w:t>Teniendo en cuenta lo anterior, la Corte concluye que la afectación a la libertad de expresión del señor Kimel fue manifiestamente desproporcionada, por excesiva, en relación con la alegada afectación del derecho a la honra en el presente caso.</w:t>
      </w:r>
    </w:p>
    <w:p w14:paraId="362E849D" w14:textId="77777777"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95.</w:t>
      </w:r>
      <w:r w:rsidRPr="00D86945">
        <w:rPr>
          <w:rFonts w:ascii="Verdana" w:hAnsi="Verdana"/>
          <w:sz w:val="20"/>
          <w:szCs w:val="20"/>
        </w:rPr>
        <w:tab/>
        <w:t>En razón de todo lo expuesto en el presente capítulo y teniendo en cuenta la confesión de hechos y el allanamiento del Estado, el Tribunal considera que éste violó el derecho a la libertad de expresión consagrado en el artículo 13.1 y 13.2 de la Convención Americana, en relación con la obligación general contemplada en el artículo 1.1 de la misma, en perjuicio del señor Kimel.</w:t>
      </w:r>
    </w:p>
    <w:p w14:paraId="191F1EB8" w14:textId="25A64AD5"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t>Corte IDH. Caso Tristán Donoso Vs. Panamá. Excepción Preliminar, Fondo, Reparaciones y Costas. Sentencia de 27 de enero de 2009. Serie C No. 193</w:t>
      </w:r>
      <w:r w:rsidR="00CB5D84">
        <w:rPr>
          <w:rFonts w:ascii="Verdana" w:hAnsi="Verdana"/>
          <w:b/>
          <w:sz w:val="20"/>
          <w:szCs w:val="20"/>
        </w:rPr>
        <w:t>.</w:t>
      </w:r>
    </w:p>
    <w:p w14:paraId="47D386B9" w14:textId="4BBCF433"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124.</w:t>
      </w:r>
      <w:r w:rsidRPr="00D86945">
        <w:rPr>
          <w:rFonts w:ascii="Verdana" w:hAnsi="Verdana"/>
          <w:sz w:val="20"/>
          <w:szCs w:val="20"/>
        </w:rPr>
        <w:tab/>
        <w:t xml:space="preserve">La Corte observa que la expresión realizada por el señor Tristán Donoso no constituía una opinión sino una afirmación de hechos. Mientras que las opiniones no son susceptibles de ser verdaderas o falsas, las expresiones sobre hechos sí lo son. En principio, una afirmación verdadera sobre un hecho en el caso de un funcionario público en un tema de interés publico resulta una expresión protegida por la Convención Americana. Sin embargo, la situación es distinta cuando se está ante un supuesto de inexactitud fáctica de la afirmación que se alega es lesiva al honor. En el presente caso en la conferencia de prensa el señor Tristán Donoso afirmó dos hechos jurídicamente relevantes: a) el ex Procurador había puesto en conocimiento de terceros una conversación telefónica privada, hecho cierto, incluso admitido por dicho funcionario y, como ya ha sido señalado, violatorio de la vida privada </w:t>
      </w:r>
      <w:r w:rsidR="005E0C2B">
        <w:rPr>
          <w:rFonts w:ascii="Verdana" w:hAnsi="Verdana"/>
          <w:sz w:val="20"/>
          <w:szCs w:val="20"/>
        </w:rPr>
        <w:t>[...]</w:t>
      </w:r>
      <w:r w:rsidRPr="00D86945">
        <w:rPr>
          <w:rFonts w:ascii="Verdana" w:hAnsi="Verdana"/>
          <w:sz w:val="20"/>
          <w:szCs w:val="20"/>
        </w:rPr>
        <w:t xml:space="preserve">; y b) la grabación no autorizada de la conversación telefónica, por la cual el señor Tristán Donoso inició una causa penal en la que posteriormente no quedó demostrado que el ex Procurador hubiera participado en el delito atribuido </w:t>
      </w:r>
      <w:r w:rsidR="005E0C2B">
        <w:rPr>
          <w:rFonts w:ascii="Verdana" w:hAnsi="Verdana"/>
          <w:sz w:val="20"/>
          <w:szCs w:val="20"/>
        </w:rPr>
        <w:t>[...]</w:t>
      </w:r>
      <w:r w:rsidRPr="00D86945">
        <w:rPr>
          <w:rFonts w:ascii="Verdana" w:hAnsi="Verdana"/>
          <w:sz w:val="20"/>
          <w:szCs w:val="20"/>
        </w:rPr>
        <w:t>.</w:t>
      </w:r>
    </w:p>
    <w:p w14:paraId="00085411" w14:textId="2E8BDFD7"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lastRenderedPageBreak/>
        <w:t>129.</w:t>
      </w:r>
      <w:r w:rsidRPr="00D86945">
        <w:rPr>
          <w:rFonts w:ascii="Verdana" w:hAnsi="Verdana"/>
          <w:sz w:val="20"/>
          <w:szCs w:val="20"/>
        </w:rPr>
        <w:tab/>
        <w:t xml:space="preserve">Finalmente, si bien la sanción penal de días-multa no aparece como excesiva, la condena penal impuesta como forma de responsabilidad ulterior establecida en el presente caso es innecesaria. Adicionalmente, los hechos bajo el examen del Tribunal evidencian que el temor a la sanción civil, ante la pretensión del ex Procurador de una reparación civil sumamente elevada, puede ser a todas luces tan o más intimidante e inhibidor para el ejercicio de la libertad de expresión que una sanción penal, en tanto tiene la potencialidad de comprometer la vida personal y familiar de quien denuncia a un funcionario público, con el resultado evidente y </w:t>
      </w:r>
      <w:proofErr w:type="spellStart"/>
      <w:r w:rsidRPr="00D86945">
        <w:rPr>
          <w:rFonts w:ascii="Verdana" w:hAnsi="Verdana"/>
          <w:sz w:val="20"/>
          <w:szCs w:val="20"/>
        </w:rPr>
        <w:t>disvalioso</w:t>
      </w:r>
      <w:proofErr w:type="spellEnd"/>
      <w:r w:rsidRPr="00D86945">
        <w:rPr>
          <w:rFonts w:ascii="Verdana" w:hAnsi="Verdana"/>
          <w:sz w:val="20"/>
          <w:szCs w:val="20"/>
        </w:rPr>
        <w:t xml:space="preserve"> de autocensura, tanto para el afectado como para otros potenciales críticos de la actuación de un servidor público.</w:t>
      </w:r>
    </w:p>
    <w:p w14:paraId="5A8DCF57" w14:textId="5E5506BA"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130.</w:t>
      </w:r>
      <w:r w:rsidRPr="00D86945">
        <w:rPr>
          <w:rFonts w:ascii="Verdana" w:hAnsi="Verdana"/>
          <w:sz w:val="20"/>
          <w:szCs w:val="20"/>
        </w:rPr>
        <w:tab/>
        <w:t xml:space="preserve">Teniendo en cuenta lo anterior, la Corte concluye que la sanción penal impuesta al señor Tristán Donoso fue manifiestamente innecesaria en relación con la alegada afectación del derecho a la honra en el presente caso, por lo que resulta violatoria al derecho a la libertad de pensamiento y de expresión consagrado en el artículo 13 de la Convención Americana, en relación con el artículo 1.1 de dicho tratado, en perjuicio del señor Tristán Donoso. </w:t>
      </w:r>
    </w:p>
    <w:p w14:paraId="76FD8DF4" w14:textId="471718D7" w:rsidR="00987FF9" w:rsidRPr="00D86945" w:rsidRDefault="00987FF9" w:rsidP="004F4FE7">
      <w:pPr>
        <w:spacing w:line="240" w:lineRule="auto"/>
        <w:ind w:right="49"/>
        <w:jc w:val="both"/>
        <w:rPr>
          <w:rFonts w:ascii="Verdana" w:hAnsi="Verdana"/>
          <w:sz w:val="20"/>
          <w:szCs w:val="20"/>
        </w:rPr>
      </w:pPr>
      <w:r w:rsidRPr="00D86945">
        <w:rPr>
          <w:rFonts w:ascii="Verdana" w:hAnsi="Verdana"/>
          <w:b/>
          <w:sz w:val="20"/>
          <w:szCs w:val="20"/>
        </w:rPr>
        <w:t xml:space="preserve">Corte IDH. Caso </w:t>
      </w:r>
      <w:proofErr w:type="spellStart"/>
      <w:r w:rsidRPr="00D86945">
        <w:rPr>
          <w:rFonts w:ascii="Verdana" w:hAnsi="Verdana"/>
          <w:b/>
          <w:sz w:val="20"/>
          <w:szCs w:val="20"/>
        </w:rPr>
        <w:t>Usón</w:t>
      </w:r>
      <w:proofErr w:type="spellEnd"/>
      <w:r w:rsidRPr="00D86945">
        <w:rPr>
          <w:rFonts w:ascii="Verdana" w:hAnsi="Verdana"/>
          <w:b/>
          <w:sz w:val="20"/>
          <w:szCs w:val="20"/>
        </w:rPr>
        <w:t xml:space="preserve"> Ramírez Vs. Venezuela. Excepción Preliminar, Fondo, Reparaciones y Costas. Sentencia de 20 de noviembre de 2009. Serie C No. 207</w:t>
      </w:r>
      <w:r w:rsidRPr="00D86945">
        <w:rPr>
          <w:rFonts w:ascii="Verdana" w:hAnsi="Verdana"/>
          <w:sz w:val="20"/>
          <w:szCs w:val="20"/>
        </w:rPr>
        <w:t>.</w:t>
      </w:r>
    </w:p>
    <w:p w14:paraId="275C84FF" w14:textId="5C20D2DC"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74.</w:t>
      </w:r>
      <w:r w:rsidRPr="00D86945">
        <w:rPr>
          <w:rFonts w:ascii="Verdana" w:hAnsi="Verdana"/>
          <w:sz w:val="20"/>
          <w:szCs w:val="20"/>
        </w:rPr>
        <w:tab/>
        <w:t>La necesidad de utilizar la vía penal para imponer responsabilidades ulteriores al ejercicio del derecho a la libertad de expresión se debe analizar con especial cautela y dependerá de las particularidades de cada caso. Para ello, se deberá considerar el bien que se pretende tutelar, la extrema gravedad de la conducta desplegada por el emisor de aquéllas, el dolo con que actuó, las características del daño injustamente causado, las características de la persona cuyo honor o reputación se pretende salvaguardar, el medio por el cual se pretendió causar el daño y otros datos que pongan de manifiesto la absoluta necesidad de utilizar, en forma verdaderamente excepcional, medidas penales. En todo momento la carga de la prueba debe recaer en quien formula la acusación.</w:t>
      </w:r>
    </w:p>
    <w:p w14:paraId="3DFBFDD8" w14:textId="72462B32"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84.</w:t>
      </w:r>
      <w:r w:rsidRPr="00D86945">
        <w:rPr>
          <w:rFonts w:ascii="Verdana" w:hAnsi="Verdana"/>
          <w:sz w:val="20"/>
          <w:szCs w:val="20"/>
        </w:rPr>
        <w:tab/>
        <w:t xml:space="preserve">En el presente caso, los señalamientos realizados por el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se relacionaban con temas de notorio interés público. No obstante la existencia de un interés público sobre lo acontecido en el Fuerte Mara, dependencia de las Fuerzas Armadas del Estado, el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fue juzgado y condenado sin que se tuvieran en cuenta los requisitos que se desprenden de la Convención Americana referentes a la mayor tolerancia que exigen aquellas afirmaciones y apreciaciones vertidas por los ciudadanos en ejercicio del control democrático. </w:t>
      </w:r>
    </w:p>
    <w:p w14:paraId="26F1B6F6" w14:textId="0147303C"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85.</w:t>
      </w:r>
      <w:r w:rsidRPr="00D86945">
        <w:rPr>
          <w:rFonts w:ascii="Verdana" w:hAnsi="Verdana"/>
          <w:sz w:val="20"/>
          <w:szCs w:val="20"/>
        </w:rPr>
        <w:tab/>
        <w:t xml:space="preserve">Por otro lado, el Tribunal observa que en el proceso ante esta Corte el Estado enfatizó que el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realizó varios otros </w:t>
      </w:r>
      <w:proofErr w:type="spellStart"/>
      <w:r w:rsidRPr="00D86945">
        <w:rPr>
          <w:rFonts w:ascii="Verdana" w:hAnsi="Verdana"/>
          <w:sz w:val="20"/>
          <w:szCs w:val="20"/>
        </w:rPr>
        <w:t>pronunciamentos</w:t>
      </w:r>
      <w:proofErr w:type="spellEnd"/>
      <w:r w:rsidRPr="00D86945">
        <w:rPr>
          <w:rFonts w:ascii="Verdana" w:hAnsi="Verdana"/>
          <w:sz w:val="20"/>
          <w:szCs w:val="20"/>
        </w:rPr>
        <w:t xml:space="preserve"> que no tenían que ver con el tema de interés público relativo al uso del lanzallamas, pero que podrían entenderse como injuria, ofensa o menosprecio hacia las Fuerzas Armadas. Sin embargo, como ya fue señalado </w:t>
      </w:r>
      <w:r w:rsidR="005E0C2B">
        <w:rPr>
          <w:rFonts w:ascii="Verdana" w:hAnsi="Verdana"/>
          <w:sz w:val="20"/>
          <w:szCs w:val="20"/>
        </w:rPr>
        <w:t>[...]</w:t>
      </w:r>
      <w:r w:rsidRPr="00D86945">
        <w:rPr>
          <w:rFonts w:ascii="Verdana" w:hAnsi="Verdana"/>
          <w:sz w:val="20"/>
          <w:szCs w:val="20"/>
        </w:rPr>
        <w:t xml:space="preserve">, los tribunales nacionales enmarcaron la condena del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en los hechos relacionados con la supuesta imputación a las autoridades del Fuerte Mara de una “premeditación” en el uso de un lanzallamas. Los demás señalamientos del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en el referido programa televisivo no forman parte de la parte motivada de la sentencia que lo condenó, según lo indicó la propia jurisdicción interna venezolana que determinó los hechos en base a los cuales juzgaría al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por lo que la Corte no se referirá al respecto.</w:t>
      </w:r>
    </w:p>
    <w:p w14:paraId="2C23FE92" w14:textId="0BC0F304"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86.</w:t>
      </w:r>
      <w:r w:rsidRPr="00D86945">
        <w:rPr>
          <w:rFonts w:ascii="Verdana" w:hAnsi="Verdana"/>
          <w:sz w:val="20"/>
          <w:szCs w:val="20"/>
        </w:rPr>
        <w:tab/>
        <w:t xml:space="preserve">Al respecto, la Corte observa que, por un lado, el tribunal nacional consideró que el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había emitido una opinión, no sólo una afirmación, y por otro lado, que dicha opinión a su vez afirmaba un hecho que no era cierto </w:t>
      </w:r>
      <w:r w:rsidR="005E0C2B">
        <w:rPr>
          <w:rFonts w:ascii="Verdana" w:hAnsi="Verdana"/>
          <w:sz w:val="20"/>
          <w:szCs w:val="20"/>
        </w:rPr>
        <w:t>[...]</w:t>
      </w:r>
      <w:r w:rsidRPr="00D86945">
        <w:rPr>
          <w:rFonts w:ascii="Verdana" w:hAnsi="Verdana"/>
          <w:sz w:val="20"/>
          <w:szCs w:val="20"/>
        </w:rPr>
        <w:t xml:space="preserve">. La Corte ha señalado anteriormente que las opiniones no pueden considerarse ni </w:t>
      </w:r>
      <w:r w:rsidRPr="00D86945">
        <w:rPr>
          <w:rFonts w:ascii="Verdana" w:hAnsi="Verdana"/>
          <w:sz w:val="20"/>
          <w:szCs w:val="20"/>
        </w:rPr>
        <w:lastRenderedPageBreak/>
        <w:t>verdaderas ni falsas. Como tal, la opinión no puede ser objeto de sanción</w:t>
      </w:r>
      <w:r w:rsidR="00215583">
        <w:rPr>
          <w:rFonts w:ascii="Verdana" w:hAnsi="Verdana"/>
          <w:sz w:val="20"/>
          <w:szCs w:val="20"/>
        </w:rPr>
        <w:t>,</w:t>
      </w:r>
      <w:r w:rsidRPr="00D86945">
        <w:rPr>
          <w:rFonts w:ascii="Verdana" w:hAnsi="Verdana"/>
          <w:sz w:val="20"/>
          <w:szCs w:val="20"/>
        </w:rPr>
        <w:t xml:space="preserve"> más aún cuando dicha opinión esté condicionada a que se comprueben los hechos sobre los que se basa. En el presente caso, al condicionar su opinión, se evidencia que el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no estaba declarando que se había cometido un delito premeditado, sino que en su opinión se habría cometido tal delito en el caso que resultara cierta la hipótesis sobre el uso de un lanzallamas. Una opinión condicionada de tal manera no puede ser sometida a requisitos de veracidad. Además, lo anterior tiende a comprobar que el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carecía del dolo específico de injuriar, ofender o menospreciar, ya que, de haber tenido la voluntad de hacerlo, no hubiera condicionado su opinión de tal manera. Un razonamiento contrario, es decir, establecer sanciones desproporcionadas por realizar opiniones sobre un supuesto hecho ilícito de interés público que involucraba a instituciones militares y sus miembros, contemplando así una protección mayor y automática al honor o reputación de éstos, sin consideración acerca de la mayor protección debida al ejercicio de la libertad de expresión en una sociedad democrática, es incompatible con el artículo 13 de la Convención Americana.</w:t>
      </w:r>
    </w:p>
    <w:p w14:paraId="561D43DD" w14:textId="045DA82F"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87.</w:t>
      </w:r>
      <w:r w:rsidRPr="00D86945">
        <w:rPr>
          <w:rFonts w:ascii="Verdana" w:hAnsi="Verdana"/>
          <w:sz w:val="20"/>
          <w:szCs w:val="20"/>
        </w:rPr>
        <w:tab/>
        <w:t xml:space="preserve">Por último, tal y como lo ha señalado anteriormente, aun cuando la Corte Interamericana no puede, ni lo pretende, sustituir a la autoridad nacional en la individualización de las sanciones correspondientes a delitos previstos en el derecho interno, el Tribunal observa la falta de proporcionalidad que se advierte entre la respuesta del Estado a las expresiones vertidas por el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y el bien jurídico supuestamente afectado – el honor o reputación de las Fuerzas Armadas.</w:t>
      </w:r>
      <w:r w:rsidR="00D35646" w:rsidRPr="00D86945">
        <w:rPr>
          <w:rFonts w:ascii="Verdana" w:hAnsi="Verdana"/>
          <w:sz w:val="20"/>
          <w:szCs w:val="20"/>
        </w:rPr>
        <w:t xml:space="preserve"> </w:t>
      </w:r>
      <w:r w:rsidRPr="00D86945">
        <w:rPr>
          <w:rFonts w:ascii="Verdana" w:hAnsi="Verdana"/>
          <w:sz w:val="20"/>
          <w:szCs w:val="20"/>
        </w:rPr>
        <w:t xml:space="preserve">Al respecto, el Tribunal reitera que la racionalidad y proporcionalidad deben conducir la conducta del Estado en el desempeño de su poder punitivo, evitando así tanto la lenidad característica de la impunidad como el exceso y abuso en la determinación de penas. </w:t>
      </w:r>
    </w:p>
    <w:p w14:paraId="3BC1641B" w14:textId="00012F21"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88.</w:t>
      </w:r>
      <w:r w:rsidRPr="00D86945">
        <w:rPr>
          <w:rFonts w:ascii="Verdana" w:hAnsi="Verdana"/>
          <w:sz w:val="20"/>
          <w:szCs w:val="20"/>
        </w:rPr>
        <w:tab/>
        <w:t xml:space="preserve">Teniendo en cuenta todo lo anterior, la Corte concluye que la imposición de una responsabilidad ulterior al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 por el delito de injuria contra las Fuerzas Armadas violó su derecho a la libertad de expresión, ya que en la restricción a dicho derecho no se respetaron las exigencias de legalidad, idoneidad, necesidad y proporcionalidad.</w:t>
      </w:r>
      <w:r w:rsidR="00D35646" w:rsidRPr="00D86945">
        <w:rPr>
          <w:rFonts w:ascii="Verdana" w:hAnsi="Verdana"/>
          <w:sz w:val="20"/>
          <w:szCs w:val="20"/>
        </w:rPr>
        <w:t xml:space="preserve"> </w:t>
      </w:r>
      <w:r w:rsidRPr="00D86945">
        <w:rPr>
          <w:rFonts w:ascii="Verdana" w:hAnsi="Verdana"/>
          <w:sz w:val="20"/>
          <w:szCs w:val="20"/>
        </w:rPr>
        <w:t xml:space="preserve">Consecuentemente, el Estado violó el principio de legalidad y el derecho a la libertad de expresión reconocidos en los artículos 9 y 13.1 y 13.2 de la Convención Americana, respectivamente, en relación con la obligación general de respetar y garantizar los derechos y libertades dispuesta en el artículo 1.1 de dicho tratado y el deber de adoptar disposiciones de derecho interno estipulado en el artículo 2 del mismo, en perjuicio del señor </w:t>
      </w:r>
      <w:proofErr w:type="spellStart"/>
      <w:r w:rsidRPr="00D86945">
        <w:rPr>
          <w:rFonts w:ascii="Verdana" w:hAnsi="Verdana"/>
          <w:sz w:val="20"/>
          <w:szCs w:val="20"/>
        </w:rPr>
        <w:t>Usón</w:t>
      </w:r>
      <w:proofErr w:type="spellEnd"/>
      <w:r w:rsidRPr="00D86945">
        <w:rPr>
          <w:rFonts w:ascii="Verdana" w:hAnsi="Verdana"/>
          <w:sz w:val="20"/>
          <w:szCs w:val="20"/>
        </w:rPr>
        <w:t xml:space="preserve"> Ramírez.</w:t>
      </w:r>
    </w:p>
    <w:p w14:paraId="599C8000" w14:textId="1809BBEA" w:rsidR="00987FF9" w:rsidRPr="00D86945" w:rsidRDefault="00987FF9" w:rsidP="004F4FE7">
      <w:pPr>
        <w:spacing w:line="240" w:lineRule="auto"/>
        <w:ind w:right="49"/>
        <w:jc w:val="both"/>
        <w:rPr>
          <w:rFonts w:ascii="Verdana" w:hAnsi="Verdana"/>
          <w:b/>
          <w:bCs/>
          <w:sz w:val="20"/>
          <w:szCs w:val="20"/>
        </w:rPr>
      </w:pPr>
      <w:r w:rsidRPr="00D86945">
        <w:rPr>
          <w:rFonts w:ascii="Verdana" w:hAnsi="Verdana"/>
          <w:b/>
          <w:bCs/>
          <w:sz w:val="20"/>
          <w:szCs w:val="20"/>
        </w:rPr>
        <w:t xml:space="preserve">Corte IDH. Caso </w:t>
      </w:r>
      <w:proofErr w:type="spellStart"/>
      <w:r w:rsidRPr="00D86945">
        <w:rPr>
          <w:rFonts w:ascii="Verdana" w:hAnsi="Verdana"/>
          <w:b/>
          <w:bCs/>
          <w:sz w:val="20"/>
          <w:szCs w:val="20"/>
        </w:rPr>
        <w:t>Fontevecchia</w:t>
      </w:r>
      <w:proofErr w:type="spellEnd"/>
      <w:r w:rsidRPr="00D86945">
        <w:rPr>
          <w:rFonts w:ascii="Verdana" w:hAnsi="Verdana"/>
          <w:b/>
          <w:bCs/>
          <w:sz w:val="20"/>
          <w:szCs w:val="20"/>
        </w:rPr>
        <w:t xml:space="preserve"> y </w:t>
      </w:r>
      <w:proofErr w:type="spellStart"/>
      <w:r w:rsidRPr="00D86945">
        <w:rPr>
          <w:rFonts w:ascii="Verdana" w:hAnsi="Verdana"/>
          <w:b/>
          <w:bCs/>
          <w:sz w:val="20"/>
          <w:szCs w:val="20"/>
        </w:rPr>
        <w:t>D`Amico</w:t>
      </w:r>
      <w:proofErr w:type="spellEnd"/>
      <w:r w:rsidRPr="00D86945">
        <w:rPr>
          <w:rFonts w:ascii="Verdana" w:hAnsi="Verdana"/>
          <w:b/>
          <w:bCs/>
          <w:sz w:val="20"/>
          <w:szCs w:val="20"/>
        </w:rPr>
        <w:t xml:space="preserve"> Vs. Argentina. Fondo, Reparaciones y Costas. Sentencia de 29 de noviembre de 2011. Serie C No. 238.</w:t>
      </w:r>
    </w:p>
    <w:p w14:paraId="3D06E36F" w14:textId="487AB342"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56.</w:t>
      </w:r>
      <w:r w:rsidRPr="00D86945">
        <w:rPr>
          <w:rFonts w:ascii="Verdana" w:hAnsi="Verdana"/>
          <w:sz w:val="20"/>
          <w:szCs w:val="20"/>
        </w:rPr>
        <w:tab/>
        <w:t xml:space="preserve">En sentido similar, la Corte tampoco estima contraria a la Convención Americana una medida civil a propósito de la expresión de informaciones u opiniones que afecten la vida privada o intimidad personal. Sin embargo, esta posibilidad se debe analizar con especial cautela, ponderando la conducta desplegada por el emisor de aquéllas, las características del daño </w:t>
      </w:r>
      <w:proofErr w:type="spellStart"/>
      <w:r w:rsidRPr="00D86945">
        <w:rPr>
          <w:rFonts w:ascii="Verdana" w:hAnsi="Verdana"/>
          <w:sz w:val="20"/>
          <w:szCs w:val="20"/>
        </w:rPr>
        <w:t>alegadamente</w:t>
      </w:r>
      <w:proofErr w:type="spellEnd"/>
      <w:r w:rsidRPr="00D86945">
        <w:rPr>
          <w:rFonts w:ascii="Verdana" w:hAnsi="Verdana"/>
          <w:sz w:val="20"/>
          <w:szCs w:val="20"/>
        </w:rPr>
        <w:t xml:space="preserve"> causado y otros datos que pongan de manifiesto la necesidad de recurrir a la vía civil. Ambas vías, bajo ciertas circunstancias y en la medida que reúnan ciertos requisitos, son legítimas.</w:t>
      </w:r>
      <w:r w:rsidR="00D35646" w:rsidRPr="00D86945">
        <w:rPr>
          <w:rFonts w:ascii="Verdana" w:hAnsi="Verdana"/>
          <w:sz w:val="20"/>
          <w:szCs w:val="20"/>
        </w:rPr>
        <w:t xml:space="preserve"> </w:t>
      </w:r>
    </w:p>
    <w:p w14:paraId="315BAD80" w14:textId="263BCE1C"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71.</w:t>
      </w:r>
      <w:r w:rsidRPr="00D86945">
        <w:rPr>
          <w:rFonts w:ascii="Verdana" w:hAnsi="Verdana"/>
          <w:sz w:val="20"/>
          <w:szCs w:val="20"/>
        </w:rPr>
        <w:tab/>
        <w:t xml:space="preserve">Este Tribunal considera que las publicaciones realizadas por la revista Noticias respecto del funcionario público electivo de más alto rango del país trataban sobre asuntos de interés público, que los hechos al momento de ser difundidos se encontraban en el dominio público y que el presunto afectado con su conducta no había contribuido a resguardar la información cuya difusión luego objetó. Por ello, no hubo una injerencia arbitraria en el derecho a la vida privada del señor Menem. De tal modo, la medida de responsabilidad ulterior impuesta, que excluyó cualquier </w:t>
      </w:r>
      <w:r w:rsidRPr="00D86945">
        <w:rPr>
          <w:rFonts w:ascii="Verdana" w:hAnsi="Verdana"/>
          <w:sz w:val="20"/>
          <w:szCs w:val="20"/>
        </w:rPr>
        <w:lastRenderedPageBreak/>
        <w:t>ponderación en el caso concreto de los aspectos de interés público de la información, fue innecesaria en relación con la alegada finalidad de proteger el derecho a la vida privada.</w:t>
      </w:r>
    </w:p>
    <w:p w14:paraId="39449C6B" w14:textId="5F5EC78F"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72.</w:t>
      </w:r>
      <w:r w:rsidRPr="00D86945">
        <w:rPr>
          <w:rFonts w:ascii="Verdana" w:hAnsi="Verdana"/>
          <w:sz w:val="20"/>
          <w:szCs w:val="20"/>
        </w:rPr>
        <w:tab/>
        <w:t xml:space="preserve">En consecuencia, la Corte Interamericana considera que el procedimiento civil en la justicia argentina, la atribución de responsabilidad civil, la imposición de la indemnización más los intereses, las costas y gastos, así como la orden de publicar un extracto de la sentencia y el embargo dictado contra uno de los periodistas afectaron el derecho a la libertad de expresión de los señores Jorge </w:t>
      </w:r>
      <w:proofErr w:type="spellStart"/>
      <w:r w:rsidRPr="00D86945">
        <w:rPr>
          <w:rFonts w:ascii="Verdana" w:hAnsi="Verdana"/>
          <w:sz w:val="20"/>
          <w:szCs w:val="20"/>
        </w:rPr>
        <w:t>Fontevecchia</w:t>
      </w:r>
      <w:proofErr w:type="spellEnd"/>
      <w:r w:rsidRPr="00D86945">
        <w:rPr>
          <w:rFonts w:ascii="Verdana" w:hAnsi="Verdana"/>
          <w:sz w:val="20"/>
          <w:szCs w:val="20"/>
        </w:rPr>
        <w:t xml:space="preserve"> y Héctor </w:t>
      </w:r>
      <w:proofErr w:type="spellStart"/>
      <w:r w:rsidRPr="00D86945">
        <w:rPr>
          <w:rFonts w:ascii="Verdana" w:hAnsi="Verdana"/>
          <w:sz w:val="20"/>
          <w:szCs w:val="20"/>
        </w:rPr>
        <w:t>D’Amico</w:t>
      </w:r>
      <w:proofErr w:type="spellEnd"/>
      <w:r w:rsidRPr="00D86945">
        <w:rPr>
          <w:rFonts w:ascii="Verdana" w:hAnsi="Verdana"/>
          <w:sz w:val="20"/>
          <w:szCs w:val="20"/>
        </w:rPr>
        <w:t xml:space="preserve">. </w:t>
      </w:r>
    </w:p>
    <w:p w14:paraId="3CEF93D0" w14:textId="36E8C638"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74.</w:t>
      </w:r>
      <w:r w:rsidRPr="00D86945">
        <w:rPr>
          <w:rFonts w:ascii="Verdana" w:hAnsi="Verdana"/>
          <w:sz w:val="20"/>
          <w:szCs w:val="20"/>
        </w:rPr>
        <w:tab/>
        <w:t xml:space="preserve">Por último, dado que el Tribunal ha establecido que la medida de responsabilidad ulterior impuesta internamente no cumplió con el requisito de ser necesaria en una sociedad democrática, no analizará si el monto de la condena civil en el presente caso resultó o no desproporcionado. Sin perjuicio de lo anterior, la Corte estima oportuno reiterar que el temor a una sanción civil desproporcionada puede ser a todas luces tan o más intimidante e inhibidor para el ejercicio de la libertad de expresión que una sanción penal, en tanto tiene la potencialidad de comprometer la vida personal y familiar de quien denuncia o, como en el presente caso, publica información sobre un funcionario público, con el resultado evidente y </w:t>
      </w:r>
      <w:proofErr w:type="spellStart"/>
      <w:r w:rsidRPr="00D86945">
        <w:rPr>
          <w:rFonts w:ascii="Verdana" w:hAnsi="Verdana"/>
          <w:sz w:val="20"/>
          <w:szCs w:val="20"/>
        </w:rPr>
        <w:t>disvalioso</w:t>
      </w:r>
      <w:proofErr w:type="spellEnd"/>
      <w:r w:rsidRPr="00D86945">
        <w:rPr>
          <w:rFonts w:ascii="Verdana" w:hAnsi="Verdana"/>
          <w:sz w:val="20"/>
          <w:szCs w:val="20"/>
        </w:rPr>
        <w:t xml:space="preserve"> de autocensura, tanto para el afectado como para otros potenciales críticos de la actuación de un servidor público</w:t>
      </w:r>
      <w:r w:rsidR="00215583">
        <w:rPr>
          <w:rFonts w:ascii="Verdana" w:hAnsi="Verdana"/>
          <w:sz w:val="20"/>
          <w:szCs w:val="20"/>
        </w:rPr>
        <w:t>.</w:t>
      </w:r>
      <w:r w:rsidRPr="00D86945">
        <w:rPr>
          <w:rFonts w:ascii="Verdana" w:hAnsi="Verdana"/>
          <w:sz w:val="20"/>
          <w:szCs w:val="20"/>
        </w:rPr>
        <w:t xml:space="preserve"> </w:t>
      </w:r>
    </w:p>
    <w:p w14:paraId="4E065BEB" w14:textId="77777777"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75.</w:t>
      </w:r>
      <w:r w:rsidRPr="00D86945">
        <w:rPr>
          <w:rFonts w:ascii="Verdana" w:hAnsi="Verdana"/>
          <w:sz w:val="20"/>
          <w:szCs w:val="20"/>
        </w:rPr>
        <w:tab/>
        <w:t xml:space="preserve">Con base en lo expuesto, el Tribunal concluye que no hubo una injerencia abusiva o arbitraria en la vida privada del señor Menem en los términos del artículo 11 de la Convención Americana y que, por el contrario, las publicaciones cuestionadas constituyeron un ejercicio legítimo del derecho a la libre expresión reconocido en el artículo 13 de dicho tratado. En consecuencia, la Corte Interamericana concluye que la medida de responsabilidad ulterior impuesta en el presente caso violó el derecho a la libertad de pensamiento y de expresión de los señores Jorge </w:t>
      </w:r>
      <w:proofErr w:type="spellStart"/>
      <w:r w:rsidRPr="00D86945">
        <w:rPr>
          <w:rFonts w:ascii="Verdana" w:hAnsi="Verdana"/>
          <w:sz w:val="20"/>
          <w:szCs w:val="20"/>
        </w:rPr>
        <w:t>Fontevecchia</w:t>
      </w:r>
      <w:proofErr w:type="spellEnd"/>
      <w:r w:rsidRPr="00D86945">
        <w:rPr>
          <w:rFonts w:ascii="Verdana" w:hAnsi="Verdana"/>
          <w:sz w:val="20"/>
          <w:szCs w:val="20"/>
        </w:rPr>
        <w:t xml:space="preserve"> y Héctor </w:t>
      </w:r>
      <w:proofErr w:type="spellStart"/>
      <w:r w:rsidRPr="00D86945">
        <w:rPr>
          <w:rFonts w:ascii="Verdana" w:hAnsi="Verdana"/>
          <w:sz w:val="20"/>
          <w:szCs w:val="20"/>
        </w:rPr>
        <w:t>D’Amico</w:t>
      </w:r>
      <w:proofErr w:type="spellEnd"/>
      <w:r w:rsidRPr="00D86945">
        <w:rPr>
          <w:rFonts w:ascii="Verdana" w:hAnsi="Verdana"/>
          <w:sz w:val="20"/>
          <w:szCs w:val="20"/>
        </w:rPr>
        <w:t>, reconocido en el artículo 13 de la Convención Americana, en relación con la obligación de respetar ese derecho, establecida en el artículo 1.1 del mismo instrumento.</w:t>
      </w:r>
    </w:p>
    <w:p w14:paraId="384DE501" w14:textId="77919AED" w:rsidR="00987FF9" w:rsidRPr="00D86945" w:rsidRDefault="00987FF9" w:rsidP="004F4FE7">
      <w:pPr>
        <w:spacing w:line="240" w:lineRule="auto"/>
        <w:ind w:right="49"/>
        <w:jc w:val="both"/>
        <w:rPr>
          <w:rFonts w:ascii="Verdana" w:hAnsi="Verdana"/>
          <w:b/>
          <w:sz w:val="20"/>
          <w:szCs w:val="20"/>
          <w:lang w:val="es-MX"/>
        </w:rPr>
      </w:pPr>
      <w:r w:rsidRPr="00D86945">
        <w:rPr>
          <w:rFonts w:ascii="Verdana" w:hAnsi="Verdana"/>
          <w:b/>
          <w:sz w:val="20"/>
          <w:szCs w:val="20"/>
          <w:lang w:val="es-MX"/>
        </w:rPr>
        <w:t>Corte IDH. Caso Mémoli Vs. Argentina. Excepciones Preliminares, Fondo, Reparaciones y Costas. Sentencia de 22 de agosto de 2013. Serie C No. 265</w:t>
      </w:r>
      <w:r w:rsidR="00CB5D84">
        <w:rPr>
          <w:rFonts w:ascii="Verdana" w:hAnsi="Verdana"/>
          <w:b/>
          <w:sz w:val="20"/>
          <w:szCs w:val="20"/>
          <w:lang w:val="es-MX"/>
        </w:rPr>
        <w:t>.</w:t>
      </w:r>
    </w:p>
    <w:p w14:paraId="6E0A74F1" w14:textId="65C69573"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138.</w:t>
      </w:r>
      <w:r w:rsidRPr="00D86945">
        <w:rPr>
          <w:rFonts w:ascii="Verdana" w:hAnsi="Verdana"/>
          <w:sz w:val="20"/>
          <w:szCs w:val="20"/>
        </w:rPr>
        <w:tab/>
        <w:t xml:space="preserve">Por otro lado, la Corte reitera que el artículo 11.3 de la Convención, en combinación con el artículo 11.2, establece que “[t]oda persona tiene derecho a la protección de la ley contra [las] injerencias [arbitrarias o abusivas en su vida privada] o [los] ataques [ilegales a su honra o reputación]”. Por tanto, en cumplimiento de dicha disposición convencional, constituye una medida válida y legítima bajo la Convención Americana el recurso a medidas judiciales para la protección contra ataques a la honra y la reputación de las personas, incluidos entre ellos, el ejercicio abusivo de la libertad de expresión que pudiera afectar dichos derechos </w:t>
      </w:r>
      <w:r w:rsidR="005E0C2B">
        <w:rPr>
          <w:rFonts w:ascii="Verdana" w:hAnsi="Verdana"/>
          <w:sz w:val="20"/>
          <w:szCs w:val="20"/>
        </w:rPr>
        <w:t>[...]</w:t>
      </w:r>
      <w:r w:rsidRPr="00D86945">
        <w:rPr>
          <w:rFonts w:ascii="Verdana" w:hAnsi="Verdana"/>
          <w:sz w:val="20"/>
          <w:szCs w:val="20"/>
        </w:rPr>
        <w:t xml:space="preserve">. </w:t>
      </w:r>
    </w:p>
    <w:p w14:paraId="6CF23FD8" w14:textId="2E06E051"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139.</w:t>
      </w:r>
      <w:r w:rsidRPr="00D86945">
        <w:rPr>
          <w:rFonts w:ascii="Verdana" w:hAnsi="Verdana"/>
          <w:sz w:val="20"/>
          <w:szCs w:val="20"/>
        </w:rPr>
        <w:tab/>
        <w:t xml:space="preserve">Teniendo en cuenta que las condenas impuestas a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estaban previstas legalmente y obedecían a un objetivo permitido en la Convención (la protección de la reputación de los demás), este Tribunal constata que dichas sanciones penales cumplían con dos de los requisitos establecidos en el artículo 13.2 de la Convención </w:t>
      </w:r>
      <w:r w:rsidR="005E0C2B">
        <w:rPr>
          <w:rFonts w:ascii="Verdana" w:hAnsi="Verdana"/>
          <w:sz w:val="20"/>
          <w:szCs w:val="20"/>
        </w:rPr>
        <w:t>[...]</w:t>
      </w:r>
      <w:r w:rsidRPr="00D86945">
        <w:rPr>
          <w:rFonts w:ascii="Verdana" w:hAnsi="Verdana"/>
          <w:sz w:val="20"/>
          <w:szCs w:val="20"/>
        </w:rPr>
        <w:t>.</w:t>
      </w:r>
      <w:r w:rsidR="00D35646" w:rsidRPr="00D86945">
        <w:rPr>
          <w:rFonts w:ascii="Verdana" w:hAnsi="Verdana"/>
          <w:sz w:val="20"/>
          <w:szCs w:val="20"/>
        </w:rPr>
        <w:t xml:space="preserve"> </w:t>
      </w:r>
      <w:r w:rsidRPr="00D86945">
        <w:rPr>
          <w:rFonts w:ascii="Verdana" w:hAnsi="Verdana"/>
          <w:sz w:val="20"/>
          <w:szCs w:val="20"/>
        </w:rPr>
        <w:t xml:space="preserve">Respecto al tercer requisito (necesidad del establecimiento de la responsabilidad ulterior), la Corte recuerda que este Tribunal no considera contraria a la Convención cualquier medida penal a propósito de la expresión de informaciones u opiniones </w:t>
      </w:r>
      <w:r w:rsidR="005E0C2B">
        <w:rPr>
          <w:rFonts w:ascii="Verdana" w:hAnsi="Verdana"/>
          <w:sz w:val="20"/>
          <w:szCs w:val="20"/>
        </w:rPr>
        <w:t>[...]</w:t>
      </w:r>
      <w:r w:rsidRPr="00D86945">
        <w:rPr>
          <w:rFonts w:ascii="Verdana" w:hAnsi="Verdana"/>
          <w:sz w:val="20"/>
          <w:szCs w:val="20"/>
        </w:rPr>
        <w:t xml:space="preserve">. No obstante, como ha establecido en otros casos, esta posibilidad se debe analizar con especial cautela, ponderando al respecto la extrema gravedad de la conducta desplegada por el emisor de aquéllas, el dolo con que actuó, las características del daño injustamente causado y otros datos que </w:t>
      </w:r>
      <w:r w:rsidRPr="00D86945">
        <w:rPr>
          <w:rFonts w:ascii="Verdana" w:hAnsi="Verdana"/>
          <w:sz w:val="20"/>
          <w:szCs w:val="20"/>
        </w:rPr>
        <w:lastRenderedPageBreak/>
        <w:t xml:space="preserve">pongan de manifiesto la absoluta necesidad de utilizar, en forma verdaderamente excepcional, medidas penales. En todo momento la carga de la prueba debe recaer en quien formula la acusación. En este orden de consideraciones, la Corte ha tomado nota los movimientos en la jurisprudencia de otros tribunales encaminados a promover, con racionalidad y equilibrio, la protección que merecen los derechos en aparente pugna, sin mellar las garantías que requiere la libre expresión como baluarte del régimen democrático. </w:t>
      </w:r>
    </w:p>
    <w:p w14:paraId="19AE1C46" w14:textId="3B06E9A5"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140.</w:t>
      </w:r>
      <w:r w:rsidRPr="00D86945">
        <w:rPr>
          <w:rFonts w:ascii="Verdana" w:hAnsi="Verdana"/>
          <w:sz w:val="20"/>
          <w:szCs w:val="20"/>
        </w:rPr>
        <w:tab/>
        <w:t>Adicionalmente, este Tribunal resalta que la jurisdicción internacional tiene carácter coadyuvante y complementaria, razón por la cual la Corte no desempeña funciones de tribunal de “cuarta instancia”</w:t>
      </w:r>
      <w:r w:rsidR="00215583">
        <w:rPr>
          <w:rFonts w:ascii="Verdana" w:hAnsi="Verdana"/>
          <w:sz w:val="20"/>
          <w:szCs w:val="20"/>
        </w:rPr>
        <w:t>.</w:t>
      </w:r>
      <w:r w:rsidRPr="00D86945">
        <w:rPr>
          <w:rFonts w:ascii="Verdana" w:hAnsi="Verdana"/>
          <w:sz w:val="20"/>
          <w:szCs w:val="20"/>
        </w:rPr>
        <w:t xml:space="preserve"> Ello implica que la Corte no es un tribunal de alzada o de apelación para dirimir los desacuerdos que tengan las partes sobre algunos alcances de la valoración de prueba o de la aplicación del derecho interno en aspectos que no estén directamente relacionados con el cumplimiento de obligaciones internacionales en derechos humanos</w:t>
      </w:r>
      <w:r w:rsidR="00215583">
        <w:rPr>
          <w:rFonts w:ascii="Verdana" w:hAnsi="Verdana"/>
          <w:sz w:val="20"/>
          <w:szCs w:val="20"/>
        </w:rPr>
        <w:t>.</w:t>
      </w:r>
      <w:r w:rsidRPr="00D86945">
        <w:rPr>
          <w:rFonts w:ascii="Verdana" w:hAnsi="Verdana"/>
          <w:sz w:val="20"/>
          <w:szCs w:val="20"/>
        </w:rPr>
        <w:t xml:space="preserve"> La Corte reconoce que al examinar el cumplimiento de ciertas obligaciones internacionales puede darse una intrínseca interrelación entre el análisis de derecho internacional y de derecho interno. Sin embargo, en estricta observancia de su competencia subsidiaria, la Corte considera que, en un caso como el presente, debe verificar si las autoridades estatales han realizado una ponderación razonable y suficiente entre ambos derechos en conflicto, sin necesariamente realizar una ponderación autónoma e independiente, salvo que las circunstancias particulares del caso lo requieran.</w:t>
      </w:r>
      <w:r w:rsidR="00D35646" w:rsidRPr="00D86945">
        <w:rPr>
          <w:rFonts w:ascii="Verdana" w:hAnsi="Verdana"/>
          <w:sz w:val="20"/>
          <w:szCs w:val="20"/>
        </w:rPr>
        <w:t xml:space="preserve"> </w:t>
      </w:r>
    </w:p>
    <w:p w14:paraId="7B83A8CE" w14:textId="7C03B376"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141.</w:t>
      </w:r>
      <w:r w:rsidRPr="00D86945">
        <w:rPr>
          <w:rFonts w:ascii="Verdana" w:hAnsi="Verdana"/>
          <w:sz w:val="20"/>
          <w:szCs w:val="20"/>
        </w:rPr>
        <w:tab/>
        <w:t xml:space="preserve">La Corte constata que las expresiones de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fueron examinadas en detalle por las autoridades judiciales internas al momento de establecerse la condena penal en su contra. Al revisar la necesidad de establecer sanciones penales a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tanto la primera como la segunda instancia examinaron minuciosamente las características de las expresiones de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por las cuales habían sido denunciados. En este sentido, este Tribunal nota que: (i) las condenas por injurias fueron el resultado de un análisis detallado de cada una de las intervenciones eximiéndolos de responsabilidad por expresiones consideradas opiniones que no desacreditaban a los querellantes</w:t>
      </w:r>
      <w:r w:rsidR="00D35646" w:rsidRPr="00D86945">
        <w:rPr>
          <w:rFonts w:ascii="Verdana" w:hAnsi="Verdana"/>
          <w:sz w:val="20"/>
          <w:szCs w:val="20"/>
        </w:rPr>
        <w:t xml:space="preserve"> </w:t>
      </w:r>
      <w:r w:rsidRPr="00D86945">
        <w:rPr>
          <w:rFonts w:ascii="Verdana" w:hAnsi="Verdana"/>
          <w:sz w:val="20"/>
          <w:szCs w:val="20"/>
        </w:rPr>
        <w:t xml:space="preserve">y se les responsabilizó por expresiones, contenidas en dichas intervenciones que, en el entender de las autoridades judiciales internas, habían excedido la simple opinión o análisis de la noticia, con el propósito de desacreditar o deshonrar a uno o varios de los querellantes o, por ejemplo, constituían “una voluntaria desviación hacia el agravio”, sin ser “necesaria ni imprescindible para el reclamo efectuado” </w:t>
      </w:r>
      <w:r w:rsidR="005E0C2B">
        <w:rPr>
          <w:rFonts w:ascii="Verdana" w:hAnsi="Verdana"/>
          <w:sz w:val="20"/>
          <w:szCs w:val="20"/>
        </w:rPr>
        <w:t>[...]</w:t>
      </w:r>
      <w:r w:rsidRPr="00D86945">
        <w:rPr>
          <w:rFonts w:ascii="Verdana" w:hAnsi="Verdana"/>
          <w:sz w:val="20"/>
          <w:szCs w:val="20"/>
        </w:rPr>
        <w:t xml:space="preserve">; (ii) los tribunales internos constataron la existencia de </w:t>
      </w:r>
      <w:r w:rsidRPr="00D86945">
        <w:rPr>
          <w:rFonts w:ascii="Verdana" w:hAnsi="Verdana"/>
          <w:i/>
          <w:sz w:val="20"/>
          <w:szCs w:val="20"/>
        </w:rPr>
        <w:t xml:space="preserve">animus </w:t>
      </w:r>
      <w:proofErr w:type="spellStart"/>
      <w:r w:rsidRPr="00D86945">
        <w:rPr>
          <w:rFonts w:ascii="Verdana" w:hAnsi="Verdana"/>
          <w:i/>
          <w:sz w:val="20"/>
          <w:szCs w:val="20"/>
        </w:rPr>
        <w:t>injuriandi</w:t>
      </w:r>
      <w:proofErr w:type="spellEnd"/>
      <w:r w:rsidRPr="00D86945">
        <w:rPr>
          <w:rFonts w:ascii="Verdana" w:hAnsi="Verdana"/>
          <w:sz w:val="20"/>
          <w:szCs w:val="20"/>
        </w:rPr>
        <w:t xml:space="preserve"> o dolo respecto de las expresiones por las cuales fueron condenados; (iii) absolvieron a las presuntas víctimas por la mayoría de las intervenciones por las cuales fueron denunciados, así como por el delito de calumnias, y (iv) al absolverlos por estas expresiones, los tribunales internos diferenciaron que algunas de estas expresiones constituían opiniones o tenían carácter potencial a efectos de eximirlos de responsabilidad penal por el delito de calumnias e injurias</w:t>
      </w:r>
      <w:r w:rsidR="00D35646" w:rsidRPr="00D86945">
        <w:rPr>
          <w:rFonts w:ascii="Verdana" w:hAnsi="Verdana"/>
          <w:sz w:val="20"/>
          <w:szCs w:val="20"/>
        </w:rPr>
        <w:t xml:space="preserve"> </w:t>
      </w:r>
      <w:r w:rsidRPr="00D86945">
        <w:rPr>
          <w:rFonts w:ascii="Verdana" w:hAnsi="Verdana"/>
          <w:sz w:val="20"/>
          <w:szCs w:val="20"/>
        </w:rPr>
        <w:t>o constituían “relatos de hechos” o “crónicas periodísticas”</w:t>
      </w:r>
      <w:r w:rsidR="00215583">
        <w:rPr>
          <w:rFonts w:ascii="Verdana" w:hAnsi="Verdana"/>
          <w:sz w:val="20"/>
          <w:szCs w:val="20"/>
        </w:rPr>
        <w:t>.</w:t>
      </w:r>
      <w:r w:rsidRPr="00D86945">
        <w:rPr>
          <w:rFonts w:ascii="Verdana" w:hAnsi="Verdana"/>
          <w:sz w:val="20"/>
          <w:szCs w:val="20"/>
        </w:rPr>
        <w:t xml:space="preserve"> </w:t>
      </w:r>
    </w:p>
    <w:p w14:paraId="00AAB164" w14:textId="2EFB63A8"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142.</w:t>
      </w:r>
      <w:r w:rsidRPr="00D86945">
        <w:rPr>
          <w:rFonts w:ascii="Verdana" w:hAnsi="Verdana"/>
          <w:sz w:val="20"/>
          <w:szCs w:val="20"/>
        </w:rPr>
        <w:tab/>
        <w:t xml:space="preserve">Asimismo, la Corte nota que las presuntas víctimas plantearon la necesidad de protección de su libertad de expresión ante los tribunales internos, siendo que ambas instancias no consideraron que ello fuera una justificación suficiente frente a las lesiones constatadas en la reputación de los querellantes </w:t>
      </w:r>
      <w:r w:rsidR="005E0C2B">
        <w:rPr>
          <w:rFonts w:ascii="Verdana" w:hAnsi="Verdana"/>
          <w:sz w:val="20"/>
          <w:szCs w:val="20"/>
        </w:rPr>
        <w:t>[...]</w:t>
      </w:r>
      <w:r w:rsidRPr="00D86945">
        <w:rPr>
          <w:rFonts w:ascii="Verdana" w:hAnsi="Verdana"/>
          <w:sz w:val="20"/>
          <w:szCs w:val="20"/>
        </w:rPr>
        <w:t xml:space="preserve">. La Corte recuerda que la libertad de expresión no es un derecho absoluto y que puede verse sujeto al establecimiento de responsabilidades ulteriores, en virtud de la protección de los derechos de los demás, en este caso el derecho a la honra y la reputación de los querellantes </w:t>
      </w:r>
      <w:r w:rsidR="005E0C2B">
        <w:rPr>
          <w:rFonts w:ascii="Verdana" w:hAnsi="Verdana"/>
          <w:sz w:val="20"/>
          <w:szCs w:val="20"/>
        </w:rPr>
        <w:t>[...]</w:t>
      </w:r>
      <w:r w:rsidRPr="00D86945">
        <w:rPr>
          <w:rFonts w:ascii="Verdana" w:hAnsi="Verdana"/>
          <w:sz w:val="20"/>
          <w:szCs w:val="20"/>
        </w:rPr>
        <w:t xml:space="preserve">. En este sentido, la Corte toma nota de las consideraciones de las autoridades judiciales internas según las cuales “la libertad de prensa no es un derecho absoluto sino que debe coexistir, en armonía, con los demás derechos garantizados a los ciudadanos”. En igual forma, recuerda su jurisprudencia según la cual ambos derechos de la Convención merecen igual protección y deben coexistir </w:t>
      </w:r>
      <w:r w:rsidRPr="00D86945">
        <w:rPr>
          <w:rFonts w:ascii="Verdana" w:hAnsi="Verdana"/>
          <w:sz w:val="20"/>
          <w:szCs w:val="20"/>
        </w:rPr>
        <w:lastRenderedPageBreak/>
        <w:t xml:space="preserve">de manera armoniosa </w:t>
      </w:r>
      <w:r w:rsidR="005E0C2B">
        <w:rPr>
          <w:rFonts w:ascii="Verdana" w:hAnsi="Verdana"/>
          <w:sz w:val="20"/>
          <w:szCs w:val="20"/>
        </w:rPr>
        <w:t>[...]</w:t>
      </w:r>
      <w:r w:rsidRPr="00D86945">
        <w:rPr>
          <w:rFonts w:ascii="Verdana" w:hAnsi="Verdana"/>
          <w:sz w:val="20"/>
          <w:szCs w:val="20"/>
        </w:rPr>
        <w:t xml:space="preserve">. La Corte reitera que en este proceso de armonización el Estado debe establecer las responsabilidades y sanciones que fueren necesarias para obtener tal propósito </w:t>
      </w:r>
      <w:r w:rsidR="005E0C2B">
        <w:rPr>
          <w:rFonts w:ascii="Verdana" w:hAnsi="Verdana"/>
          <w:sz w:val="20"/>
          <w:szCs w:val="20"/>
        </w:rPr>
        <w:t>[...]</w:t>
      </w:r>
      <w:r w:rsidRPr="00D86945">
        <w:rPr>
          <w:rFonts w:ascii="Verdana" w:hAnsi="Verdana"/>
          <w:sz w:val="20"/>
          <w:szCs w:val="20"/>
        </w:rPr>
        <w:t xml:space="preserve">. </w:t>
      </w:r>
    </w:p>
    <w:p w14:paraId="27037DBF" w14:textId="752F079F"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143.</w:t>
      </w:r>
      <w:r w:rsidRPr="00D86945">
        <w:rPr>
          <w:rFonts w:ascii="Verdana" w:hAnsi="Verdana"/>
          <w:sz w:val="20"/>
          <w:szCs w:val="20"/>
        </w:rPr>
        <w:tab/>
        <w:t xml:space="preserve">Al respecto, la Corte toma nota que las autoridades judiciales argentinas actuantes en el presente caso, realizaron un examen de las expresiones de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y su incidencia en el honor y la reputación de terceras personas. A juicio de este Tribunal, dicho examen constituyó una ponderación razonable y suficiente entre ambos derechos en conflicto, que justificaba el establecimiento de responsabilidades ulteriores en su perjuicio. Dada la naturaleza del procedimiento ante la Corte, los particulares cuyo honor y reputación habrían sido afectados no han tenido participación en el mismo. Por tanto, este Tribunal considera que en el presente caso las autoridades judiciales internas estaban en mejor posición para valorar el mayor grado de afectación en un derecho u otro. Este Tribunal resalta que las expresiones calificadas como injuriosas fueron publicadas en un medio que llegaba a muchas más personas que a los miembros de la Asociación Mutual, por lo cual el honor y la reputación de los querellantes se vio posiblemente afectado ante una audiencia mucho mayor a aquella que podía verse beneficiada por dicha información. Además, teniendo en cuenta que las autoridades judiciales internas concluyeron que ciertos calificativos empleados por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lesionaron innecesariamente la reputación de los querellantes, la Corte observa que el establecimiento de responsabilidades ulteriores en el presente caso constituye el cumplimiento por parte del Estado de la obligación establecida en el artículo 11.3 de la Convención, por la cual debe proteger a las personas contra ataques abusivos a su honra y su reputación </w:t>
      </w:r>
      <w:r w:rsidR="005E0C2B">
        <w:rPr>
          <w:rFonts w:ascii="Verdana" w:hAnsi="Verdana"/>
          <w:sz w:val="20"/>
          <w:szCs w:val="20"/>
        </w:rPr>
        <w:t>[...]</w:t>
      </w:r>
      <w:r w:rsidRPr="00D86945">
        <w:rPr>
          <w:rFonts w:ascii="Verdana" w:hAnsi="Verdana"/>
          <w:sz w:val="20"/>
          <w:szCs w:val="20"/>
        </w:rPr>
        <w:t>.</w:t>
      </w:r>
    </w:p>
    <w:p w14:paraId="1888D3AA" w14:textId="5FB195DC"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144.</w:t>
      </w:r>
      <w:r w:rsidRPr="00D86945">
        <w:rPr>
          <w:rFonts w:ascii="Verdana" w:hAnsi="Verdana"/>
          <w:sz w:val="20"/>
          <w:szCs w:val="20"/>
        </w:rPr>
        <w:tab/>
        <w:t xml:space="preserve">Adicionalmente, respecto a la sanción impuesta a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la Corte recuerda que no puede sustituir a las autoridades nacionales en la individualización de las sanciones correspondientes a delitos previstos en el derecho interno, sin perjuicio de su deber de analizar la necesidad de que dichas sanciones cumplan con los requisitos para el establecimiento de responsabilidad ulteriores, de acuerdo al artículo 13.2 de la Convención Americana y la jurisprudencia de esta Corte. En el presente caso, Carlos y Pablo </w:t>
      </w:r>
      <w:proofErr w:type="spellStart"/>
      <w:r w:rsidRPr="00D86945">
        <w:rPr>
          <w:rFonts w:ascii="Verdana" w:hAnsi="Verdana"/>
          <w:sz w:val="20"/>
          <w:szCs w:val="20"/>
        </w:rPr>
        <w:t>Mémoli</w:t>
      </w:r>
      <w:proofErr w:type="spellEnd"/>
      <w:r w:rsidRPr="00D86945">
        <w:rPr>
          <w:rFonts w:ascii="Verdana" w:hAnsi="Verdana"/>
          <w:sz w:val="20"/>
          <w:szCs w:val="20"/>
        </w:rPr>
        <w:t xml:space="preserve"> fueron condenados a un mes y cinco meses de prisión en suspenso, respectivamente. Es decir, el señor Carlos </w:t>
      </w:r>
      <w:proofErr w:type="spellStart"/>
      <w:r w:rsidRPr="00D86945">
        <w:rPr>
          <w:rFonts w:ascii="Verdana" w:hAnsi="Verdana"/>
          <w:sz w:val="20"/>
          <w:szCs w:val="20"/>
        </w:rPr>
        <w:t>Mémoli</w:t>
      </w:r>
      <w:proofErr w:type="spellEnd"/>
      <w:r w:rsidRPr="00D86945">
        <w:rPr>
          <w:rFonts w:ascii="Verdana" w:hAnsi="Verdana"/>
          <w:sz w:val="20"/>
          <w:szCs w:val="20"/>
        </w:rPr>
        <w:t xml:space="preserve"> fue condenado a la pena mínima de prisión que establecía la norma interna, mientras que el señor Pablo </w:t>
      </w:r>
      <w:proofErr w:type="spellStart"/>
      <w:r w:rsidRPr="00D86945">
        <w:rPr>
          <w:rFonts w:ascii="Verdana" w:hAnsi="Verdana"/>
          <w:sz w:val="20"/>
          <w:szCs w:val="20"/>
        </w:rPr>
        <w:t>Mémoli</w:t>
      </w:r>
      <w:proofErr w:type="spellEnd"/>
      <w:r w:rsidRPr="00D86945">
        <w:rPr>
          <w:rFonts w:ascii="Verdana" w:hAnsi="Verdana"/>
          <w:sz w:val="20"/>
          <w:szCs w:val="20"/>
        </w:rPr>
        <w:t xml:space="preserve"> fue condenado a menos de la mitad de la pena de prisión permitida </w:t>
      </w:r>
      <w:r w:rsidR="005E0C2B">
        <w:rPr>
          <w:rFonts w:ascii="Verdana" w:hAnsi="Verdana"/>
          <w:sz w:val="20"/>
          <w:szCs w:val="20"/>
        </w:rPr>
        <w:t>[...]</w:t>
      </w:r>
      <w:r w:rsidRPr="00D86945">
        <w:rPr>
          <w:rFonts w:ascii="Verdana" w:hAnsi="Verdana"/>
          <w:sz w:val="20"/>
          <w:szCs w:val="20"/>
        </w:rPr>
        <w:t xml:space="preserve">. En el presente caso, esta Corte observa que las sanciones impuestas a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no fueron desmedidas ni manifiestamente desproporcionadas de manera que se afectara su derecho a la libertad de expresión. </w:t>
      </w:r>
    </w:p>
    <w:p w14:paraId="5832A3D2" w14:textId="32839324"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148.</w:t>
      </w:r>
      <w:r w:rsidRPr="00D86945">
        <w:rPr>
          <w:rFonts w:ascii="Verdana" w:hAnsi="Verdana"/>
          <w:sz w:val="20"/>
          <w:szCs w:val="20"/>
        </w:rPr>
        <w:tab/>
        <w:t xml:space="preserve">Por consiguiente, de acuerdo con las circunstancias del presente caso, la protección del derecho a la honra y reputación de los querellantes es un marco legítimo para el proceso en el que comparecieron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y la Corte no encuentra atentatorio a la Convención Americana el razonamiento expuesto por las autoridades judiciales argentinas en sus decisiones para establecer las responsabilidades ulteriores de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w:t>
      </w:r>
    </w:p>
    <w:p w14:paraId="29C388C1" w14:textId="77777777"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149.</w:t>
      </w:r>
      <w:r w:rsidRPr="00D86945">
        <w:rPr>
          <w:rFonts w:ascii="Verdana" w:hAnsi="Verdana"/>
          <w:sz w:val="20"/>
          <w:szCs w:val="20"/>
        </w:rPr>
        <w:tab/>
        <w:t xml:space="preserve">En virtud de todas las consideraciones anteriores, la Corte concluye que el establecimiento de responsabilidades ulteriores a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por el ejercicio de su libertad de expresión estaba previsto en la ley, obedecía un objetivo permitido por la Convención y no resulta manifiestamente desmedido o desproporcional, dada las circunstancias del presente caso y el análisis realizado por las autoridades judiciales internas. Por tanto, la Corte considera que Argentina no violó el artículo 13 de la Convención Americana, en relación con los artículos 1.1 y 2 de la misma, en perjuicio de Carlos y Pablo </w:t>
      </w:r>
      <w:proofErr w:type="spellStart"/>
      <w:r w:rsidRPr="00D86945">
        <w:rPr>
          <w:rFonts w:ascii="Verdana" w:hAnsi="Verdana"/>
          <w:sz w:val="20"/>
          <w:szCs w:val="20"/>
        </w:rPr>
        <w:t>Mémoli</w:t>
      </w:r>
      <w:proofErr w:type="spellEnd"/>
      <w:r w:rsidRPr="00D86945">
        <w:rPr>
          <w:rFonts w:ascii="Verdana" w:hAnsi="Verdana"/>
          <w:sz w:val="20"/>
          <w:szCs w:val="20"/>
        </w:rPr>
        <w:t>.</w:t>
      </w:r>
    </w:p>
    <w:p w14:paraId="6BD6203A" w14:textId="0BF4F993"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lastRenderedPageBreak/>
        <w:t>Corte IDH. Caso Norín Catrimán y otros (Dirigentes, miembros y activista del Pueblo Indígena Mapuche) Vs. Chile. Fondo, Reparaciones y Costas. Sentencia de 29 de mayo de 2014. Serie C No. 279.</w:t>
      </w:r>
    </w:p>
    <w:p w14:paraId="4B84D62C" w14:textId="30BF8EF4"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373.</w:t>
      </w:r>
      <w:r w:rsidRPr="00D86945">
        <w:rPr>
          <w:rFonts w:ascii="Verdana" w:hAnsi="Verdana"/>
          <w:sz w:val="20"/>
          <w:szCs w:val="20"/>
          <w:lang w:val="es-CR"/>
        </w:rPr>
        <w:tab/>
        <w:t xml:space="preserve">En el presente caso a los señores Aniceto Norín Catrimán, Pascual </w:t>
      </w:r>
      <w:proofErr w:type="spellStart"/>
      <w:r w:rsidRPr="00D86945">
        <w:rPr>
          <w:rFonts w:ascii="Verdana" w:hAnsi="Verdana"/>
          <w:sz w:val="20"/>
          <w:szCs w:val="20"/>
          <w:lang w:val="es-CR"/>
        </w:rPr>
        <w:t>Huentequeo</w:t>
      </w:r>
      <w:proofErr w:type="spellEnd"/>
      <w:r w:rsidRPr="00D86945">
        <w:rPr>
          <w:rFonts w:ascii="Verdana" w:hAnsi="Verdana"/>
          <w:sz w:val="20"/>
          <w:szCs w:val="20"/>
          <w:lang w:val="es-CR"/>
        </w:rPr>
        <w:t xml:space="preserve"> </w:t>
      </w:r>
      <w:proofErr w:type="spellStart"/>
      <w:r w:rsidRPr="00D86945">
        <w:rPr>
          <w:rFonts w:ascii="Verdana" w:hAnsi="Verdana"/>
          <w:sz w:val="20"/>
          <w:szCs w:val="20"/>
          <w:lang w:val="es-CR"/>
        </w:rPr>
        <w:t>Pichún</w:t>
      </w:r>
      <w:proofErr w:type="spellEnd"/>
      <w:r w:rsidRPr="00D86945">
        <w:rPr>
          <w:rFonts w:ascii="Verdana" w:hAnsi="Verdana"/>
          <w:sz w:val="20"/>
          <w:szCs w:val="20"/>
          <w:lang w:val="es-CR"/>
        </w:rPr>
        <w:t xml:space="preserve"> </w:t>
      </w:r>
      <w:proofErr w:type="spellStart"/>
      <w:r w:rsidRPr="00D86945">
        <w:rPr>
          <w:rFonts w:ascii="Verdana" w:hAnsi="Verdana"/>
          <w:sz w:val="20"/>
          <w:szCs w:val="20"/>
          <w:lang w:val="es-CR"/>
        </w:rPr>
        <w:t>Paillalao</w:t>
      </w:r>
      <w:proofErr w:type="spellEnd"/>
      <w:r w:rsidRPr="00D86945">
        <w:rPr>
          <w:rFonts w:ascii="Verdana" w:hAnsi="Verdana"/>
          <w:sz w:val="20"/>
          <w:szCs w:val="20"/>
          <w:lang w:val="es-CR"/>
        </w:rPr>
        <w:t xml:space="preserve"> y Víctor Manuel </w:t>
      </w:r>
      <w:proofErr w:type="spellStart"/>
      <w:r w:rsidRPr="00D86945">
        <w:rPr>
          <w:rFonts w:ascii="Verdana" w:hAnsi="Verdana"/>
          <w:sz w:val="20"/>
          <w:szCs w:val="20"/>
          <w:lang w:val="es-CR"/>
        </w:rPr>
        <w:t>Ancalaf</w:t>
      </w:r>
      <w:proofErr w:type="spellEnd"/>
      <w:r w:rsidRPr="00D86945">
        <w:rPr>
          <w:rFonts w:ascii="Verdana" w:hAnsi="Verdana"/>
          <w:sz w:val="20"/>
          <w:szCs w:val="20"/>
          <w:lang w:val="es-CR"/>
        </w:rPr>
        <w:t xml:space="preserve"> </w:t>
      </w:r>
      <w:proofErr w:type="spellStart"/>
      <w:r w:rsidRPr="00D86945">
        <w:rPr>
          <w:rFonts w:ascii="Verdana" w:hAnsi="Verdana"/>
          <w:sz w:val="20"/>
          <w:szCs w:val="20"/>
          <w:lang w:val="es-CR"/>
        </w:rPr>
        <w:t>Llaupe</w:t>
      </w:r>
      <w:proofErr w:type="spellEnd"/>
      <w:r w:rsidRPr="00D86945">
        <w:rPr>
          <w:rFonts w:ascii="Verdana" w:hAnsi="Verdana"/>
          <w:sz w:val="20"/>
          <w:szCs w:val="20"/>
          <w:lang w:val="es-CR"/>
        </w:rPr>
        <w:t xml:space="preserve"> les fueron impuestas las penas accesorias previstas en el artículo 9 de la Constitución Política de Chile </w:t>
      </w:r>
      <w:r w:rsidR="005E0C2B">
        <w:rPr>
          <w:rFonts w:ascii="Verdana" w:hAnsi="Verdana"/>
          <w:sz w:val="20"/>
          <w:szCs w:val="20"/>
          <w:lang w:val="es-CR"/>
        </w:rPr>
        <w:t>[...]</w:t>
      </w:r>
      <w:r w:rsidRPr="00D86945">
        <w:rPr>
          <w:rFonts w:ascii="Verdana" w:hAnsi="Verdana"/>
          <w:sz w:val="20"/>
          <w:szCs w:val="20"/>
          <w:lang w:val="es-CR"/>
        </w:rPr>
        <w:t xml:space="preserve">, con las cuales “queda[ron, entre otras cosas,] inhabilitados por el plazo de quince años […] para explotar un medio de comunicación social o ser director o administrador del mismo, o para desempeñar en él funciones relacionadas con la emisión o difusión de opiniones o informaciones”. </w:t>
      </w:r>
    </w:p>
    <w:p w14:paraId="5D0A0F47" w14:textId="726ACA20"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374.</w:t>
      </w:r>
      <w:r w:rsidRPr="00D86945">
        <w:rPr>
          <w:rFonts w:ascii="Verdana" w:hAnsi="Verdana"/>
          <w:sz w:val="20"/>
          <w:szCs w:val="20"/>
          <w:lang w:val="es-CR"/>
        </w:rPr>
        <w:tab/>
        <w:t xml:space="preserve">La Corte considera que la referida pena accesoria supone una restricción indebida al ejercicio del derecho a la libertad de pensamiento y expresión de los señores Norín Catrimán, </w:t>
      </w:r>
      <w:proofErr w:type="spellStart"/>
      <w:r w:rsidRPr="00D86945">
        <w:rPr>
          <w:rFonts w:ascii="Verdana" w:hAnsi="Verdana"/>
          <w:sz w:val="20"/>
          <w:szCs w:val="20"/>
          <w:lang w:val="es-CR"/>
        </w:rPr>
        <w:t>Pichún</w:t>
      </w:r>
      <w:proofErr w:type="spellEnd"/>
      <w:r w:rsidRPr="00D86945">
        <w:rPr>
          <w:rFonts w:ascii="Verdana" w:hAnsi="Verdana"/>
          <w:sz w:val="20"/>
          <w:szCs w:val="20"/>
          <w:lang w:val="es-CR"/>
        </w:rPr>
        <w:t xml:space="preserve"> </w:t>
      </w:r>
      <w:proofErr w:type="spellStart"/>
      <w:r w:rsidRPr="00D86945">
        <w:rPr>
          <w:rFonts w:ascii="Verdana" w:hAnsi="Verdana"/>
          <w:sz w:val="20"/>
          <w:szCs w:val="20"/>
          <w:lang w:val="es-CR"/>
        </w:rPr>
        <w:t>Paillalao</w:t>
      </w:r>
      <w:proofErr w:type="spellEnd"/>
      <w:r w:rsidRPr="00D86945">
        <w:rPr>
          <w:rFonts w:ascii="Verdana" w:hAnsi="Verdana"/>
          <w:sz w:val="20"/>
          <w:szCs w:val="20"/>
          <w:lang w:val="es-CR"/>
        </w:rPr>
        <w:t xml:space="preserve"> y </w:t>
      </w:r>
      <w:proofErr w:type="spellStart"/>
      <w:r w:rsidRPr="00D86945">
        <w:rPr>
          <w:rFonts w:ascii="Verdana" w:hAnsi="Verdana"/>
          <w:sz w:val="20"/>
          <w:szCs w:val="20"/>
          <w:lang w:val="es-CR"/>
        </w:rPr>
        <w:t>Ancalaf</w:t>
      </w:r>
      <w:proofErr w:type="spellEnd"/>
      <w:r w:rsidRPr="00D86945">
        <w:rPr>
          <w:rFonts w:ascii="Verdana" w:hAnsi="Verdana"/>
          <w:sz w:val="20"/>
          <w:szCs w:val="20"/>
          <w:lang w:val="es-CR"/>
        </w:rPr>
        <w:t xml:space="preserve"> </w:t>
      </w:r>
      <w:proofErr w:type="spellStart"/>
      <w:r w:rsidRPr="00D86945">
        <w:rPr>
          <w:rFonts w:ascii="Verdana" w:hAnsi="Verdana"/>
          <w:sz w:val="20"/>
          <w:szCs w:val="20"/>
          <w:lang w:val="es-CR"/>
        </w:rPr>
        <w:t>Llaupe</w:t>
      </w:r>
      <w:proofErr w:type="spellEnd"/>
      <w:r w:rsidRPr="00D86945">
        <w:rPr>
          <w:rFonts w:ascii="Verdana" w:hAnsi="Verdana"/>
          <w:sz w:val="20"/>
          <w:szCs w:val="20"/>
          <w:lang w:val="es-CR"/>
        </w:rPr>
        <w:t xml:space="preserve">, no sólo por haber sido impuesta fundándose en sentencias condenatorias que aplicaron una ley penal violatoria del principio de legalidad y de varias garantías procesales </w:t>
      </w:r>
      <w:r w:rsidR="005E0C2B">
        <w:rPr>
          <w:rFonts w:ascii="Verdana" w:hAnsi="Verdana"/>
          <w:sz w:val="20"/>
          <w:szCs w:val="20"/>
          <w:lang w:val="es-CR"/>
        </w:rPr>
        <w:t>[...]</w:t>
      </w:r>
      <w:r w:rsidRPr="00D86945">
        <w:rPr>
          <w:rFonts w:ascii="Verdana" w:hAnsi="Verdana"/>
          <w:sz w:val="20"/>
          <w:szCs w:val="20"/>
          <w:lang w:val="es-CR"/>
        </w:rPr>
        <w:t>, sino además porque en las circunstancias del presente caso es contraria al principio de la proporcionalidad de la pena. Como ha determinado la Corte, este principio significa “que la respuesta que el Estado atribuye a la conducta ilícita del autor de la transgresión debe ser proporcional al bien jurídico afectado y a la culpabilidad con la que actuó el autor, por lo que se debe establecer en función de la diversa naturaleza y gravedad de los hechos”.</w:t>
      </w:r>
    </w:p>
    <w:p w14:paraId="1C259227" w14:textId="75F124A8"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375.</w:t>
      </w:r>
      <w:r w:rsidRPr="00D86945">
        <w:rPr>
          <w:rFonts w:ascii="Verdana" w:hAnsi="Verdana"/>
          <w:sz w:val="20"/>
          <w:szCs w:val="20"/>
          <w:lang w:val="es-CR"/>
        </w:rPr>
        <w:tab/>
        <w:t xml:space="preserve">La Corte ha constatado que, como autoridades tradicionales del Pueblo indígena Mapuche, los señores Norín Catrimán, </w:t>
      </w:r>
      <w:proofErr w:type="spellStart"/>
      <w:r w:rsidRPr="00D86945">
        <w:rPr>
          <w:rFonts w:ascii="Verdana" w:hAnsi="Verdana"/>
          <w:sz w:val="20"/>
          <w:szCs w:val="20"/>
          <w:lang w:val="es-CR"/>
        </w:rPr>
        <w:t>Pichún</w:t>
      </w:r>
      <w:proofErr w:type="spellEnd"/>
      <w:r w:rsidRPr="00D86945">
        <w:rPr>
          <w:rFonts w:ascii="Verdana" w:hAnsi="Verdana"/>
          <w:sz w:val="20"/>
          <w:szCs w:val="20"/>
          <w:lang w:val="es-CR"/>
        </w:rPr>
        <w:t xml:space="preserve"> </w:t>
      </w:r>
      <w:proofErr w:type="spellStart"/>
      <w:r w:rsidRPr="00D86945">
        <w:rPr>
          <w:rFonts w:ascii="Verdana" w:hAnsi="Verdana"/>
          <w:sz w:val="20"/>
          <w:szCs w:val="20"/>
          <w:lang w:val="es-CR"/>
        </w:rPr>
        <w:t>Paillalao</w:t>
      </w:r>
      <w:proofErr w:type="spellEnd"/>
      <w:r w:rsidRPr="00D86945">
        <w:rPr>
          <w:rFonts w:ascii="Verdana" w:hAnsi="Verdana"/>
          <w:sz w:val="20"/>
          <w:szCs w:val="20"/>
          <w:lang w:val="es-CR"/>
        </w:rPr>
        <w:t xml:space="preserve"> y </w:t>
      </w:r>
      <w:proofErr w:type="spellStart"/>
      <w:r w:rsidRPr="00D86945">
        <w:rPr>
          <w:rFonts w:ascii="Verdana" w:hAnsi="Verdana"/>
          <w:sz w:val="20"/>
          <w:szCs w:val="20"/>
          <w:lang w:val="es-CR"/>
        </w:rPr>
        <w:t>Ancalaf</w:t>
      </w:r>
      <w:proofErr w:type="spellEnd"/>
      <w:r w:rsidRPr="00D86945">
        <w:rPr>
          <w:rFonts w:ascii="Verdana" w:hAnsi="Verdana"/>
          <w:sz w:val="20"/>
          <w:szCs w:val="20"/>
          <w:lang w:val="es-CR"/>
        </w:rPr>
        <w:t xml:space="preserve"> </w:t>
      </w:r>
      <w:proofErr w:type="spellStart"/>
      <w:r w:rsidRPr="00D86945">
        <w:rPr>
          <w:rFonts w:ascii="Verdana" w:hAnsi="Verdana"/>
          <w:sz w:val="20"/>
          <w:szCs w:val="20"/>
          <w:lang w:val="es-CR"/>
        </w:rPr>
        <w:t>Llaupe</w:t>
      </w:r>
      <w:proofErr w:type="spellEnd"/>
      <w:r w:rsidRPr="00D86945">
        <w:rPr>
          <w:rFonts w:ascii="Verdana" w:hAnsi="Verdana"/>
          <w:sz w:val="20"/>
          <w:szCs w:val="20"/>
          <w:lang w:val="es-CR"/>
        </w:rPr>
        <w:t xml:space="preserve"> les incumbe un papel determinante en la comunicación de los intereses y en la dirección política, espiritual y social de sus respectivas comunidades </w:t>
      </w:r>
      <w:r w:rsidR="005E0C2B">
        <w:rPr>
          <w:rFonts w:ascii="Verdana" w:hAnsi="Verdana"/>
          <w:sz w:val="20"/>
          <w:szCs w:val="20"/>
          <w:lang w:val="es-CR"/>
        </w:rPr>
        <w:t>[...]</w:t>
      </w:r>
      <w:r w:rsidRPr="00D86945">
        <w:rPr>
          <w:rFonts w:ascii="Verdana" w:hAnsi="Verdana"/>
          <w:sz w:val="20"/>
          <w:szCs w:val="20"/>
          <w:lang w:val="es-CR"/>
        </w:rPr>
        <w:t xml:space="preserve">. La imposición de la referida pena accesoria les ha restringido la posibilidad de participar en la difusión de opiniones, ideas e información a través del desempeño de funciones en medios de comunicación social, lo cual podría limitar el ámbito de acción de su derecho a la libertad de pensamiento y expresión en el ejercicio de sus funciones como líderes o representantes de sus comunidades. Esto a su vez incide negativamente en la dimensión social del derecho a la libertad de pensamiento y expresión, la cual de acuerdo con lo establecido por la Corte en su jurisprudencia implica el derecho de todos a conocer opiniones, relatos y noticias vertidas por terceros. </w:t>
      </w:r>
    </w:p>
    <w:p w14:paraId="6864A527" w14:textId="77777777"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376.</w:t>
      </w:r>
      <w:r w:rsidRPr="00D86945">
        <w:rPr>
          <w:rFonts w:ascii="Verdana" w:hAnsi="Verdana"/>
          <w:sz w:val="20"/>
          <w:szCs w:val="20"/>
          <w:lang w:val="es-CR"/>
        </w:rPr>
        <w:tab/>
        <w:t>Asimismo podría haberse producido un efecto intimidante e inhibidor para el ejercicio de la libertad de expresión, derivado de los particulares efectos que tuvo la aplicación indebida de la Ley Antiterrorista a miembros del Pueblo indígena Mapuche. La Corte ya se ha referido en otros casos al efecto intimidante en el ejercicio de la libertad de expresión que puede causar el temor a verse sometido a una sanción penal o civil innecesaria o desproporcionada en una sociedad democrática, que puede llevar a la autocensura tanto a quien le es impuesta la sanción como a otros miembros de la sociedad. En el presente caso, el Tribunal considera que la forma en la que fue aplicada la Ley Antiterrorista a miembros del Pueblo indígena Mapuche podría haber provocado un temor razonable en otros miembros de ese pueblo involucrados en acciones relacionadas con la protesta social y la reivindicación de sus derechos territoriales o que eventualmente desearan participar en estas.</w:t>
      </w:r>
    </w:p>
    <w:p w14:paraId="068E4864" w14:textId="27F1763A" w:rsidR="00987FF9" w:rsidRPr="00D86945" w:rsidRDefault="002072BF" w:rsidP="004F4FE7">
      <w:pPr>
        <w:spacing w:line="240" w:lineRule="auto"/>
        <w:ind w:right="49"/>
        <w:jc w:val="both"/>
        <w:rPr>
          <w:rFonts w:ascii="Verdana" w:hAnsi="Verdana" w:cs="Times New Roman"/>
          <w:b/>
          <w:sz w:val="20"/>
          <w:szCs w:val="20"/>
          <w:lang w:val="es-CR"/>
        </w:rPr>
      </w:pPr>
      <w:r w:rsidRPr="00D86945">
        <w:rPr>
          <w:rFonts w:ascii="Verdana" w:hAnsi="Verdana" w:cs="Times New Roman"/>
          <w:b/>
          <w:sz w:val="20"/>
          <w:szCs w:val="20"/>
          <w:lang w:val="es-CR"/>
        </w:rPr>
        <w:t>Corte IDH. Caso Lagos del Campo Vs. Perú. Excepciones Preliminares, Fondo, Reparaciones y Costas. Sentencia de 31 de agosto de 2017. Serie C No. 340</w:t>
      </w:r>
      <w:r w:rsidR="00CB5D84">
        <w:rPr>
          <w:rFonts w:ascii="Verdana" w:hAnsi="Verdana" w:cs="Times New Roman"/>
          <w:b/>
          <w:sz w:val="20"/>
          <w:szCs w:val="20"/>
          <w:lang w:val="es-CR"/>
        </w:rPr>
        <w:t>.</w:t>
      </w:r>
    </w:p>
    <w:p w14:paraId="0DB30452" w14:textId="1E832407" w:rsidR="00B234DE" w:rsidRPr="00D86945" w:rsidRDefault="00B234DE"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101.</w:t>
      </w:r>
      <w:r w:rsidRPr="00D86945">
        <w:rPr>
          <w:rFonts w:ascii="Verdana" w:hAnsi="Verdana" w:cs="Times New Roman"/>
          <w:sz w:val="20"/>
          <w:szCs w:val="20"/>
          <w:lang w:val="es-ES"/>
        </w:rPr>
        <w:tab/>
        <w:t xml:space="preserve">Al respecto, cabe señalar que Perú objetó la aplicación de un examen de proporcionalidad, puesto que, según el Estado, este se deriva de la doctrina o jurisprudencia posterior a los hechos </w:t>
      </w:r>
      <w:r w:rsidR="005E0C2B">
        <w:rPr>
          <w:rFonts w:ascii="Verdana" w:hAnsi="Verdana" w:cs="Times New Roman"/>
          <w:sz w:val="20"/>
          <w:szCs w:val="20"/>
          <w:lang w:val="es-ES"/>
        </w:rPr>
        <w:t>[...]</w:t>
      </w:r>
      <w:r w:rsidRPr="00D86945">
        <w:rPr>
          <w:rFonts w:ascii="Verdana" w:hAnsi="Verdana" w:cs="Times New Roman"/>
          <w:sz w:val="20"/>
          <w:szCs w:val="20"/>
          <w:lang w:val="es-ES"/>
        </w:rPr>
        <w:t xml:space="preserve">. La Corte hace notar que en el artículo 13.2 de la Convención se establece expresamente la exigencia de realizar un análisis </w:t>
      </w:r>
      <w:r w:rsidRPr="00D86945">
        <w:rPr>
          <w:rFonts w:ascii="Verdana" w:hAnsi="Verdana" w:cs="Times New Roman"/>
          <w:sz w:val="20"/>
          <w:szCs w:val="20"/>
          <w:lang w:val="es-ES"/>
        </w:rPr>
        <w:lastRenderedPageBreak/>
        <w:t>de razonabilidad frente a la restricción de la libertad de expresión. Asimismo, cabe señalar que el criterio desarrollado con posterioridad por esta Corte respecto de la proporcionalidad, no es más que la aplicación de un principio general de interpretación jurídica derivado de la matriz general de racionalidad. En consecuencia, la ponderación está contemplada en el propio artículo 13.2 de la Convención.</w:t>
      </w:r>
    </w:p>
    <w:p w14:paraId="0B4C5FBF" w14:textId="30BEDB56" w:rsidR="000C73E2" w:rsidRPr="00D86945" w:rsidRDefault="00B234DE"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103.</w:t>
      </w:r>
      <w:r w:rsidRPr="00D86945">
        <w:rPr>
          <w:rFonts w:ascii="Verdana" w:hAnsi="Verdana" w:cs="Times New Roman"/>
          <w:sz w:val="20"/>
          <w:szCs w:val="20"/>
          <w:lang w:val="es-ES"/>
        </w:rPr>
        <w:tab/>
        <w:t>En particular, la evaluación de restricciones legítimas al derecho a la libertad de expresión exige un análisis de necesidad (artículo 13.2). De tal manera, lo que se requiere al Estado, a través de sus operadores de justicia, es la aplicación de un análisis de la razonabilidad o ponderación de las limitaciones o restricciones a derechos humanos, dispuesta por la propia Convención (artículo13.2), así como una debida motivación que respete el debido proceso legal (artículo 8 de la Convención). La metodología, técnica argumentativa o examen particular, es menester de las autoridades internas, siempre y cuando refleje tales garantías. Para efectos de esta valoración a nivel internacional, la Corte ha recurrido a distintos análisis, dependiendo los derechos en juego, pero siempre observando una adecuada ponderación o justo equilibrio de los derechos convencionales</w:t>
      </w:r>
      <w:r w:rsidR="00215583">
        <w:rPr>
          <w:rFonts w:ascii="Verdana" w:hAnsi="Verdana" w:cs="Times New Roman"/>
          <w:sz w:val="20"/>
          <w:szCs w:val="20"/>
          <w:lang w:val="es-ES"/>
        </w:rPr>
        <w:t>,</w:t>
      </w:r>
      <w:r w:rsidRPr="00D86945">
        <w:rPr>
          <w:rFonts w:ascii="Verdana" w:hAnsi="Verdana" w:cs="Times New Roman"/>
          <w:sz w:val="20"/>
          <w:szCs w:val="20"/>
          <w:lang w:val="es-ES"/>
        </w:rPr>
        <w:t xml:space="preserve"> por ende, la aplicación de un análisis de necesidad razonada por parte de esta Corte deriva del propio tratado internacional que debe interpretar</w:t>
      </w:r>
      <w:r w:rsidR="00215583">
        <w:rPr>
          <w:rFonts w:ascii="Verdana" w:hAnsi="Verdana" w:cs="Times New Roman"/>
          <w:sz w:val="20"/>
          <w:szCs w:val="20"/>
          <w:lang w:val="es-ES"/>
        </w:rPr>
        <w:t>,</w:t>
      </w:r>
      <w:r w:rsidRPr="00D86945">
        <w:rPr>
          <w:rFonts w:ascii="Verdana" w:hAnsi="Verdana" w:cs="Times New Roman"/>
          <w:sz w:val="20"/>
          <w:szCs w:val="20"/>
          <w:lang w:val="es-ES"/>
        </w:rPr>
        <w:t xml:space="preserve"> así como de su jurisprudencia constante. </w:t>
      </w:r>
    </w:p>
    <w:p w14:paraId="6D472241" w14:textId="184E0E22" w:rsidR="00E67039" w:rsidRPr="00D86945" w:rsidRDefault="00E67039"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124.</w:t>
      </w:r>
      <w:r w:rsidRPr="00D86945">
        <w:rPr>
          <w:rFonts w:ascii="Verdana" w:hAnsi="Verdana" w:cs="Times New Roman"/>
          <w:sz w:val="20"/>
          <w:szCs w:val="20"/>
          <w:lang w:val="es-ES"/>
        </w:rPr>
        <w:tab/>
        <w:t>El Tribunal ha sostenido el criterio que “para que una restricción a la libre expresión sea compatible con la Convención Americana, aquella debe ser necesaria en una sociedad democrática, entendiendo por ‘necesaria’ la existencia de una necesidad social imperiosa que justifique la restricción [sic]. En concreto, corresponde determinar si a la luz del conjunto de circunstancias, la sanción impuesta a la presunta víctima guardó proporción con el fin legítimo perseguido</w:t>
      </w:r>
      <w:r w:rsidR="00215583">
        <w:rPr>
          <w:rFonts w:ascii="Verdana" w:hAnsi="Verdana" w:cs="Times New Roman"/>
          <w:sz w:val="20"/>
          <w:szCs w:val="20"/>
          <w:lang w:val="es-ES"/>
        </w:rPr>
        <w:t>,</w:t>
      </w:r>
      <w:r w:rsidRPr="00D86945">
        <w:rPr>
          <w:rFonts w:ascii="Verdana" w:hAnsi="Verdana" w:cs="Times New Roman"/>
          <w:sz w:val="20"/>
          <w:szCs w:val="20"/>
          <w:lang w:val="es-ES"/>
        </w:rPr>
        <w:t xml:space="preserve"> y si las causas invocadas por las autoridades internas para justificarla fueron pertinentes y suficientes</w:t>
      </w:r>
      <w:r w:rsidR="00215583">
        <w:rPr>
          <w:rFonts w:ascii="Verdana" w:hAnsi="Verdana" w:cs="Times New Roman"/>
          <w:sz w:val="20"/>
          <w:szCs w:val="20"/>
          <w:lang w:val="es-ES"/>
        </w:rPr>
        <w:t>,</w:t>
      </w:r>
      <w:r w:rsidRPr="00D86945">
        <w:rPr>
          <w:rFonts w:ascii="Verdana" w:hAnsi="Verdana" w:cs="Times New Roman"/>
          <w:sz w:val="20"/>
          <w:szCs w:val="20"/>
          <w:lang w:val="es-ES"/>
        </w:rPr>
        <w:t xml:space="preserve"> mediante una debida motivación.</w:t>
      </w:r>
    </w:p>
    <w:p w14:paraId="3A11A0B5" w14:textId="3DA08576" w:rsidR="00E67039" w:rsidRPr="00D86945" w:rsidRDefault="00E67039"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125.</w:t>
      </w:r>
      <w:r w:rsidRPr="00D86945">
        <w:rPr>
          <w:rFonts w:ascii="Verdana" w:hAnsi="Verdana" w:cs="Times New Roman"/>
          <w:sz w:val="20"/>
          <w:szCs w:val="20"/>
          <w:lang w:val="es-ES"/>
        </w:rPr>
        <w:tab/>
        <w:t>En este sentido, la Corte entiende que el despido puede constituir la máxima sanción de la relación laboral</w:t>
      </w:r>
      <w:r w:rsidR="00215583">
        <w:rPr>
          <w:rFonts w:ascii="Verdana" w:hAnsi="Verdana" w:cs="Times New Roman"/>
          <w:sz w:val="20"/>
          <w:szCs w:val="20"/>
          <w:lang w:val="es-ES"/>
        </w:rPr>
        <w:t>,</w:t>
      </w:r>
      <w:r w:rsidRPr="00D86945">
        <w:rPr>
          <w:rFonts w:ascii="Verdana" w:hAnsi="Verdana" w:cs="Times New Roman"/>
          <w:sz w:val="20"/>
          <w:szCs w:val="20"/>
          <w:lang w:val="es-ES"/>
        </w:rPr>
        <w:t xml:space="preserve"> por lo que es fundamental que la misma revista de una necesidad imperiosa frente a la libertad de expresión y que tal sanción esté debidamente justificada (“despido justificado”).</w:t>
      </w:r>
    </w:p>
    <w:p w14:paraId="64803024" w14:textId="2123488F" w:rsidR="00E67039" w:rsidRPr="00D86945" w:rsidRDefault="00E67039"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130.</w:t>
      </w:r>
      <w:r w:rsidRPr="00D86945">
        <w:rPr>
          <w:rFonts w:ascii="Verdana" w:hAnsi="Verdana" w:cs="Times New Roman"/>
          <w:sz w:val="20"/>
          <w:szCs w:val="20"/>
          <w:lang w:val="es-ES"/>
        </w:rPr>
        <w:tab/>
        <w:t xml:space="preserve">Respecto de la sanción impuesta en relación con el requisito de necesidad, la Corte nota que el Estado, a través del Segundo Tribunal de Trabajo, de quien derivó la decisión definitiva, no consideró los siguientes elementos fundamentales para su análisis: i) el señor Lagos del Campo era un representante electo por los trabajadores y se encontraba en ejercicio de su mandato </w:t>
      </w:r>
      <w:r w:rsidR="005E0C2B">
        <w:rPr>
          <w:rFonts w:ascii="Verdana" w:hAnsi="Verdana" w:cs="Times New Roman"/>
          <w:sz w:val="20"/>
          <w:szCs w:val="20"/>
          <w:lang w:val="es-ES"/>
        </w:rPr>
        <w:t>[...]</w:t>
      </w:r>
      <w:r w:rsidRPr="00D86945">
        <w:rPr>
          <w:rFonts w:ascii="Verdana" w:hAnsi="Verdana" w:cs="Times New Roman"/>
          <w:sz w:val="20"/>
          <w:szCs w:val="20"/>
          <w:lang w:val="es-ES"/>
        </w:rPr>
        <w:t xml:space="preserve">; ii) su manifestaciones se realizaron en el marco de sus funciones y un contexto de debate electoral y por ende tenían un interés público y colectivo; iii) sus declaraciones contaban con una protección reforzada en el ejercicio de sus funciones; iv) las mismas no fueron de mayor entidad que traspasaran el umbral de protección en aras del contexto electoral y laboral, y v) tampoco se habría demostrado una necesidad imperiosa para proteger los derechos a la reputación y la honra en el caso particular. Si bien se hizo alusión expresa a la libertad de expresión, no consta en el fallo que se hayan ponderado los derechos en juego y/o sus consecuencias, a la luz del requisito de necesidad </w:t>
      </w:r>
      <w:r w:rsidR="005E0C2B">
        <w:rPr>
          <w:rFonts w:ascii="Verdana" w:hAnsi="Verdana" w:cs="Times New Roman"/>
          <w:sz w:val="20"/>
          <w:szCs w:val="20"/>
          <w:lang w:val="es-ES"/>
        </w:rPr>
        <w:t>[...]</w:t>
      </w:r>
      <w:r w:rsidRPr="00D86945">
        <w:rPr>
          <w:rFonts w:ascii="Verdana" w:hAnsi="Verdana" w:cs="Times New Roman"/>
          <w:sz w:val="20"/>
          <w:szCs w:val="20"/>
          <w:lang w:val="es-ES"/>
        </w:rPr>
        <w:t xml:space="preserve"> (expresamente dispuesto por el artículo 13.2 de la Convención Americana). Tampoco se desvirtuaron los argumentos que motivaron la decisión de primera instancia, a fin de que se hiciera indispensable revocarla. En vista de ello, la sanción gravosa del despido fue avalada por dicho tribunal, sin considerar tales elementos fundamentales de especial protección </w:t>
      </w:r>
      <w:r w:rsidR="005E0C2B">
        <w:rPr>
          <w:rFonts w:ascii="Verdana" w:hAnsi="Verdana" w:cs="Times New Roman"/>
          <w:sz w:val="20"/>
          <w:szCs w:val="20"/>
          <w:lang w:val="es-ES"/>
        </w:rPr>
        <w:t>[...]</w:t>
      </w:r>
      <w:r w:rsidRPr="00D86945">
        <w:rPr>
          <w:rFonts w:ascii="Verdana" w:hAnsi="Verdana" w:cs="Times New Roman"/>
          <w:sz w:val="20"/>
          <w:szCs w:val="20"/>
          <w:lang w:val="es-ES"/>
        </w:rPr>
        <w:t xml:space="preserve">, por lo que la sanción impuesta resultaba innecesaria en el caso concreto. </w:t>
      </w:r>
    </w:p>
    <w:p w14:paraId="037BCF24" w14:textId="5AA12D7D" w:rsidR="00E67039" w:rsidRPr="00D86945" w:rsidRDefault="00E67039"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131.</w:t>
      </w:r>
      <w:r w:rsidRPr="00D86945">
        <w:rPr>
          <w:rFonts w:ascii="Verdana" w:hAnsi="Verdana" w:cs="Times New Roman"/>
          <w:sz w:val="20"/>
          <w:szCs w:val="20"/>
          <w:lang w:val="es-ES"/>
        </w:rPr>
        <w:tab/>
        <w:t xml:space="preserve">Ante ello, la Corte estima que la sentencia del Segundo Tribunal de Trabajo careció de una debida motivación  que analizara los derechos en juego a la luz de los elementos antes señalados, así como que valorara los argumentos de las partes </w:t>
      </w:r>
      <w:r w:rsidRPr="00D86945">
        <w:rPr>
          <w:rFonts w:ascii="Verdana" w:hAnsi="Verdana" w:cs="Times New Roman"/>
          <w:sz w:val="20"/>
          <w:szCs w:val="20"/>
          <w:lang w:val="es-ES"/>
        </w:rPr>
        <w:lastRenderedPageBreak/>
        <w:t>y la decisión revocada, por lo que la falta de motivación tuvo un impacto directo en el debido proceso del trabajador, puesto que dejó de brindar las razones jurídicas por las cuales se acreditó el despido del señor Lagos del Campo en el contexto planteado.</w:t>
      </w:r>
    </w:p>
    <w:p w14:paraId="5EF257CA" w14:textId="3FC642F0" w:rsidR="00E67039" w:rsidRPr="00D86945" w:rsidRDefault="00E67039"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132.</w:t>
      </w:r>
      <w:r w:rsidRPr="00D86945">
        <w:rPr>
          <w:rFonts w:ascii="Verdana" w:hAnsi="Verdana" w:cs="Times New Roman"/>
          <w:sz w:val="20"/>
          <w:szCs w:val="20"/>
          <w:lang w:val="es-ES"/>
        </w:rPr>
        <w:tab/>
        <w:t>En vista de lo anterior, la Corte concluye que el Estado avaló una restricción al derecho a la libertad de pensamiento y de expresión del señor Lagos del Campo, a través de una sanción innecesaria en relación con el fin perseguido y sin una debida motivación. Lo anterior debido a que, de acuerdo con las circunstancias del presente caso, no existió una necesidad imperante que justificara el despido del señor Lagos del Campo. En particular, se restringió su libertad de expresión sin tomar en consideración que sus declaraciones se referían a cuestiones de interés público, en el marco de sus competencias, las cuales estaban protegidas además por su calidad de representante de los trabajadores como Presidente del Comité Electoral. Por tanto, el Estado peruano violó los artículos 13.2 y 8.2 de la Convención Americana, en perjuicio del señor Lagos del Campo.</w:t>
      </w:r>
    </w:p>
    <w:p w14:paraId="1B485E67" w14:textId="745BD263" w:rsidR="00E67039" w:rsidRPr="00D86945" w:rsidRDefault="009822C4" w:rsidP="004F4FE7">
      <w:pPr>
        <w:spacing w:line="240" w:lineRule="auto"/>
        <w:ind w:right="51"/>
        <w:jc w:val="both"/>
        <w:rPr>
          <w:rFonts w:ascii="Verdana" w:hAnsi="Verdana" w:cs="Times New Roman"/>
          <w:b/>
          <w:bCs/>
          <w:sz w:val="20"/>
          <w:szCs w:val="20"/>
          <w:lang w:val="es-ES"/>
        </w:rPr>
      </w:pPr>
      <w:r w:rsidRPr="00D86945">
        <w:rPr>
          <w:rFonts w:ascii="Verdana" w:hAnsi="Verdana" w:cs="Times New Roman"/>
          <w:b/>
          <w:bCs/>
          <w:sz w:val="20"/>
          <w:szCs w:val="20"/>
          <w:lang w:val="es-ES"/>
        </w:rPr>
        <w:t>Corte IDH. Caso Álvarez Ramos Vs. Venezuela. Excepción Preliminar, Fondo, Reparaciones y Costas. Sentencia de 30 de agosto de 2019. Serie C No. 380.</w:t>
      </w:r>
    </w:p>
    <w:p w14:paraId="16917A9A" w14:textId="3B7185F4" w:rsidR="009822C4" w:rsidRPr="00D86945" w:rsidRDefault="009822C4"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119.</w:t>
      </w:r>
      <w:r w:rsidRPr="00D86945">
        <w:rPr>
          <w:rFonts w:ascii="Verdana" w:hAnsi="Verdana" w:cs="Times New Roman"/>
          <w:sz w:val="20"/>
          <w:szCs w:val="20"/>
          <w:lang w:val="es-ES"/>
        </w:rPr>
        <w:tab/>
        <w:t>El artículo 13.2 de la Convención Americana señala que el ejercicio del derecho a la libertad de expresión no puede estar sujeto a censura previa sino a responsabilidades ulteriores. Ahora bien, este precepto no establece la naturaleza de la responsabilidad exigible, pero la jurisprudencia de este Tribunal ha señalado que la persecución penal es la medida más restrictiva a la libertad de expresión, por lo tanto su uso en una sociedad democrática debe ser excepcional y reservarse para aquellas eventualidades en las cuales sea estrictamente necesaria para proteger los bienes jurídicos fundamentales de los ataques que los dañen o los pongan en peligro, pues lo contrario supondría un uso abusivo del poder punitivo del Estado.</w:t>
      </w:r>
    </w:p>
    <w:p w14:paraId="6B785B56" w14:textId="0D2CBD6E" w:rsidR="009822C4" w:rsidRPr="00D86945" w:rsidRDefault="009822C4"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120.</w:t>
      </w:r>
      <w:r w:rsidRPr="00D86945">
        <w:rPr>
          <w:rFonts w:ascii="Verdana" w:hAnsi="Verdana" w:cs="Times New Roman"/>
          <w:sz w:val="20"/>
          <w:szCs w:val="20"/>
          <w:lang w:val="es-ES"/>
        </w:rPr>
        <w:tab/>
        <w:t>Es decir, del universo de medidas posibles para exigir responsabilidades ulteriores por eventuales ejercicios abusivos del derecho a la libertad de expresión, la persecución penal sólo resultará procedente en aquellos casos excepcionales que sea estrictamente necesaria para proteger una necesidad social imperiosa.</w:t>
      </w:r>
    </w:p>
    <w:p w14:paraId="0354DF44" w14:textId="77777777" w:rsidR="009822C4" w:rsidRPr="00D86945" w:rsidRDefault="009822C4"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121.</w:t>
      </w:r>
      <w:r w:rsidRPr="00D86945">
        <w:rPr>
          <w:rFonts w:ascii="Verdana" w:hAnsi="Verdana" w:cs="Times New Roman"/>
          <w:sz w:val="20"/>
          <w:szCs w:val="20"/>
          <w:lang w:val="es-ES"/>
        </w:rPr>
        <w:tab/>
        <w:t>Se entiende que en el caso de un discurso protegido por su interés público, como son los referidos a conductas de funcionarios públicos en el ejercicio de sus funciones, la respuesta punitiva del Estado mediante el derecho penal no es convencionalmente procedente para proteger el honor del funcionario.</w:t>
      </w:r>
    </w:p>
    <w:p w14:paraId="122B54D1" w14:textId="086BEBFF" w:rsidR="009822C4" w:rsidRPr="00D86945" w:rsidRDefault="009822C4"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122.</w:t>
      </w:r>
      <w:r w:rsidRPr="00D86945">
        <w:rPr>
          <w:rFonts w:ascii="Verdana" w:hAnsi="Verdana" w:cs="Times New Roman"/>
          <w:sz w:val="20"/>
          <w:szCs w:val="20"/>
          <w:lang w:val="es-ES"/>
        </w:rPr>
        <w:tab/>
        <w:t>En efecto, el uso de la ley penal por difundir noticias de esta naturaleza, produciría directa o indirectamente, un amedrentamiento que, en definitiva, limitaría la libertad de expresión e impediría someter al escrutinio público conductas que infrinjan el ordenamiento jurídico, como, por ejemplo, hechos de corrupción, abusos de autoridad, etc. En definitiva, lo anterior debilitaría el control público sobre los poderes del Estado, con notorios perjuicios al pluralismo democrático. En otros términos, la protección de la honra por medio de la ley penal que puede resultar legítima en otros casos, no resulta conforme a la Convención en la hipótesis previamente descrita.</w:t>
      </w:r>
    </w:p>
    <w:p w14:paraId="6F5717CC" w14:textId="2F49509B" w:rsidR="009822C4" w:rsidRPr="00D86945" w:rsidRDefault="009822C4"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123.</w:t>
      </w:r>
      <w:r w:rsidRPr="00D86945">
        <w:rPr>
          <w:rFonts w:ascii="Verdana" w:hAnsi="Verdana" w:cs="Times New Roman"/>
          <w:sz w:val="20"/>
          <w:szCs w:val="20"/>
          <w:lang w:val="es-ES"/>
        </w:rPr>
        <w:tab/>
        <w:t xml:space="preserve">En este orden de ideas, la Corte entiende que los tipos penales de delitos contra el honor en caso de denuncias periodísticas requieren una interpretación cuidadosa. En este sentido, es menester destacar que de cada tipo penal se deduce una norma prohibitiva, como ejercicio lógico que permite determinar un ámbito social prohibido. No obstante, no basta con la mera norma deducida del tipo para establecer este ámbito, porque las normas prohibitivas forman parte de un orden normativo o, al menos, se impone que sean entendidas de esta manera por los jueces. Un elemental principio de racionalidad interpretativa exige que una norma </w:t>
      </w:r>
      <w:r w:rsidRPr="00D86945">
        <w:rPr>
          <w:rFonts w:ascii="Verdana" w:hAnsi="Verdana" w:cs="Times New Roman"/>
          <w:sz w:val="20"/>
          <w:szCs w:val="20"/>
          <w:lang w:val="es-ES"/>
        </w:rPr>
        <w:lastRenderedPageBreak/>
        <w:t xml:space="preserve">no puede prohibir lo que otra ordena, pues en tal caso el ciudadano carece de orientación conforme a derecho. Pero tampoco puede desconocerse que existen múltiples normas que fomentan conductas, como ocurre respecto de la práctica del deporte o el ejercicio de la medicina, que pueden entrar en colisión con otras normas que prohíben actividades lesivas a la integridad o la salud. En tal hipótesis sería irracional entender que los tipos prohíben lo que otras normas fomentan. Entre estas actividades fomentadas se encuentra el ejercicio de la libertad de expresión, porque se trata de una actividad indispensable en una sociedad plural para ejercer el control público sobre los actos de gobierno y administración. Por ende, en casos como el presente, en que se está frente a denuncias de conductas públicas de funcionarios cuyo control respondería a un interés público, se trata del ejercicio de una actividad expresamente protegida por la Convención Americana y, consecuentemente, no puede considerarse encuadrada en la conducta tipificada por la ley penal. </w:t>
      </w:r>
    </w:p>
    <w:p w14:paraId="4F3BD735" w14:textId="2AA62247" w:rsidR="009822C4" w:rsidRPr="00D86945" w:rsidRDefault="009822C4"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124.</w:t>
      </w:r>
      <w:r w:rsidRPr="00D86945">
        <w:rPr>
          <w:rFonts w:ascii="Verdana" w:hAnsi="Verdana" w:cs="Times New Roman"/>
          <w:sz w:val="20"/>
          <w:szCs w:val="20"/>
          <w:lang w:val="es-ES"/>
        </w:rPr>
        <w:tab/>
        <w:t xml:space="preserve">Esto no significa que eventualmente la conducta periodística no pueda generar responsabilidad en otro ámbito jurídico, como el civil, o la rectificación o disculpas públicas, por ejemplo, en casos de eventuales abusos o excesos de mala fe. De toda forma, tratándose del ejercicio de una actividad protegida por la Convención, se excluye la tipicidad penal y, por ende, la posibilidad de que sea considerada como delito y objeto de penas. A este respecto, debe quedar claro que no se trata de una exclusión de la prohibición por justificación o especial permiso, sino del ejercicio libre de una actividad que la Convención protege en razón de resultar indispensable para la preservación de la democracia. </w:t>
      </w:r>
    </w:p>
    <w:p w14:paraId="5642E3B3" w14:textId="50980885" w:rsidR="009822C4" w:rsidRPr="00D86945" w:rsidRDefault="009822C4"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125.</w:t>
      </w:r>
      <w:r w:rsidRPr="00D86945">
        <w:rPr>
          <w:rFonts w:ascii="Verdana" w:hAnsi="Verdana" w:cs="Times New Roman"/>
          <w:sz w:val="20"/>
          <w:szCs w:val="20"/>
          <w:lang w:val="es-ES"/>
        </w:rPr>
        <w:tab/>
        <w:t xml:space="preserve">En cuanto a las declaraciones del señor Álvarez, debe observarse que consistieron en el cuestionamiento de la administración de recursos públicos de la Asamblea Nacional con base en documentos públicos emitidos por órganos del Estado, es decir, se referían a temas de interés público </w:t>
      </w:r>
      <w:r w:rsidR="005E0C2B">
        <w:rPr>
          <w:rFonts w:ascii="Verdana" w:hAnsi="Verdana" w:cs="Times New Roman"/>
          <w:sz w:val="20"/>
          <w:szCs w:val="20"/>
          <w:lang w:val="es-ES"/>
        </w:rPr>
        <w:t>[...]</w:t>
      </w:r>
      <w:r w:rsidRPr="00D86945">
        <w:rPr>
          <w:rFonts w:ascii="Verdana" w:hAnsi="Verdana" w:cs="Times New Roman"/>
          <w:sz w:val="20"/>
          <w:szCs w:val="20"/>
          <w:lang w:val="es-ES"/>
        </w:rPr>
        <w:t>. Adicionalmente, es un hecho no controvertido de que se trataba de hechos de conocimiento público, los cuales ya habían sido incluso objeto de una solicitud de antejuicio que estaba pendiente de decisión por la Sala Plena del Tribunal Supremo de Justicia.</w:t>
      </w:r>
    </w:p>
    <w:p w14:paraId="54159A83" w14:textId="0176C424" w:rsidR="009822C4" w:rsidRPr="00D86945" w:rsidRDefault="009822C4"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126.</w:t>
      </w:r>
      <w:r w:rsidRPr="00D86945">
        <w:rPr>
          <w:rFonts w:ascii="Verdana" w:hAnsi="Verdana" w:cs="Times New Roman"/>
          <w:sz w:val="20"/>
          <w:szCs w:val="20"/>
          <w:lang w:val="es-ES"/>
        </w:rPr>
        <w:tab/>
        <w:t xml:space="preserve">En segundo lugar resulta relevante destacar que el señor Álvarez publicaba una columna de opinión en un diario de difusión nacional. La Corte ha indicado que es fundamental que quienes laboran en los medios de comunicación gocen de la protección y de la independencia necesarias para realizar sus funciones a cabalidad, ya que son ellos quienes mantienen informada a la sociedad, requisito indispensable para que ésta goce de una plena libertad y el debate público se fortalezca. </w:t>
      </w:r>
    </w:p>
    <w:p w14:paraId="25836A41" w14:textId="5036E89C" w:rsidR="009822C4" w:rsidRPr="00D86945" w:rsidRDefault="009822C4"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127.</w:t>
      </w:r>
      <w:r w:rsidRPr="00D86945">
        <w:rPr>
          <w:rFonts w:ascii="Verdana" w:hAnsi="Verdana" w:cs="Times New Roman"/>
          <w:sz w:val="20"/>
          <w:szCs w:val="20"/>
          <w:lang w:val="es-ES"/>
        </w:rPr>
        <w:tab/>
        <w:t xml:space="preserve">Cabe señalar, además, que la finalidad que supuestamente perseguía el proceso penal seguido contra el señor Álvarez era proteger el derecho a la honra del señor Lara, y en este caso no hay una necesidad social imperiosa que haga necesaria la restricción de la libertad de expresión pues: i) la nota hace referencia a la actuación de un funcionario público; ii) la nota se refiere al ejercicio de las funciones del señor Lara como funcionario público y que fue incluso objeto de pronunciamientos por parte de otros órganos del Estado; y iii) el manejo o gestión de dineros o recursos públicos es un tema de interés público </w:t>
      </w:r>
      <w:r w:rsidR="005E0C2B">
        <w:rPr>
          <w:rFonts w:ascii="Verdana" w:hAnsi="Verdana" w:cs="Times New Roman"/>
          <w:sz w:val="20"/>
          <w:szCs w:val="20"/>
          <w:lang w:val="es-ES"/>
        </w:rPr>
        <w:t>[...]</w:t>
      </w:r>
      <w:r w:rsidRPr="00D86945">
        <w:rPr>
          <w:rFonts w:ascii="Verdana" w:hAnsi="Verdana" w:cs="Times New Roman"/>
          <w:sz w:val="20"/>
          <w:szCs w:val="20"/>
          <w:lang w:val="es-ES"/>
        </w:rPr>
        <w:t>. Es decir, que en este caso el interés público relevante va ligado con la difusión de la noticia y no con la eventual protección subjetiva del derecho a la honra y reputación del señor Lara.</w:t>
      </w:r>
    </w:p>
    <w:p w14:paraId="5C278912" w14:textId="2A3FDDC3" w:rsidR="009822C4" w:rsidRPr="00D86945" w:rsidRDefault="009822C4"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128.</w:t>
      </w:r>
      <w:r w:rsidRPr="00D86945">
        <w:rPr>
          <w:rFonts w:ascii="Verdana" w:hAnsi="Verdana" w:cs="Times New Roman"/>
          <w:sz w:val="20"/>
          <w:szCs w:val="20"/>
          <w:lang w:val="es-ES"/>
        </w:rPr>
        <w:tab/>
        <w:t>Por otra parte, la Corte considera que no basta con que el funcionario público supuestamente afectado en su honra por el ejercicio de la libertad de expresión de un periodista, accione como privado para que no se deba tener en consideración aquella condición y se eluda así a lo previsto en la Convención y en la jurisprudencia de la Corte. Lo que ha estado en entredicho en el presente caso, no es la aplicación del artículo 11 de la Convención, concerniente a la protección de la honra y de la dignidad, sino lo señalado en el artículo 13 de la misma, relativo a la libertad de pensamiento y de expresión.</w:t>
      </w:r>
    </w:p>
    <w:p w14:paraId="01E3BA77" w14:textId="6F2B4666" w:rsidR="009822C4" w:rsidRPr="00D86945" w:rsidRDefault="009822C4"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lastRenderedPageBreak/>
        <w:t>129.</w:t>
      </w:r>
      <w:r w:rsidRPr="00D86945">
        <w:rPr>
          <w:rFonts w:ascii="Verdana" w:hAnsi="Verdana" w:cs="Times New Roman"/>
          <w:sz w:val="20"/>
          <w:szCs w:val="20"/>
          <w:lang w:val="es-ES"/>
        </w:rPr>
        <w:tab/>
        <w:t xml:space="preserve">Dado que a la luz de la Convención no puede considerarse penalmente prohibida como delito contra el honor la difusión de una nota de interés público referida a un funcionario público, cabe concluir que en el presente caso al haber sido sancionada esta conducta resultó violado el artículo 13.2 de la Convención Americana, en relación con el artículo 1.1 del mismo instrumento, en perjuicio del señor Tulio Álvarez Ramos. </w:t>
      </w:r>
    </w:p>
    <w:p w14:paraId="5E85EF53" w14:textId="6A38AF9D" w:rsidR="009822C4" w:rsidRPr="00D86945" w:rsidRDefault="009822C4"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130.</w:t>
      </w:r>
      <w:r w:rsidRPr="00D86945">
        <w:rPr>
          <w:rFonts w:ascii="Verdana" w:hAnsi="Verdana" w:cs="Times New Roman"/>
          <w:sz w:val="20"/>
          <w:szCs w:val="20"/>
          <w:lang w:val="es-ES"/>
        </w:rPr>
        <w:tab/>
        <w:t>Asimismo, las partes alegaron que hubo violación de los derechos políticos del señor Álvarez en virtud de la pena accesoria de inhabilitación política determinada por la sentencia del Juez Séptimo. Al respecto, en razón de que la persecución penal y la sanción impuesta al señor Álvarez fue considerada violatoria del artículo 13 de la Convención, la Corte concluye que consecuentemente la pena accesoria de restricción de los derechos políticos que le fue impuesta violó el artículo 23 de la Convención Americana, en relación con el artículo 1 del mismo instrumento.</w:t>
      </w:r>
    </w:p>
    <w:p w14:paraId="533B2F0C" w14:textId="77777777" w:rsidR="009822C4" w:rsidRPr="00D86945" w:rsidRDefault="009822C4" w:rsidP="004F4FE7">
      <w:pPr>
        <w:spacing w:line="240" w:lineRule="auto"/>
        <w:ind w:right="51"/>
        <w:jc w:val="both"/>
        <w:rPr>
          <w:rFonts w:ascii="Verdana" w:hAnsi="Verdana" w:cs="Times New Roman"/>
          <w:sz w:val="20"/>
          <w:szCs w:val="20"/>
          <w:lang w:val="es-ES"/>
        </w:rPr>
      </w:pPr>
      <w:r w:rsidRPr="00D86945">
        <w:rPr>
          <w:rFonts w:ascii="Verdana" w:hAnsi="Verdana" w:cs="Times New Roman"/>
          <w:sz w:val="20"/>
          <w:szCs w:val="20"/>
          <w:lang w:val="es-ES"/>
        </w:rPr>
        <w:t>131.</w:t>
      </w:r>
      <w:r w:rsidRPr="00D86945">
        <w:rPr>
          <w:rFonts w:ascii="Verdana" w:hAnsi="Verdana" w:cs="Times New Roman"/>
          <w:sz w:val="20"/>
          <w:szCs w:val="20"/>
          <w:lang w:val="es-ES"/>
        </w:rPr>
        <w:tab/>
        <w:t>En relación con el alegato de aplicación de la pena de inhabilitación política por un lapso superior al de la condena, en razón de la decisión de la Asociación de Profesores de la Universidad Central de Venezuela de no aceptar la inscripción del señor Álvarez en su registro electoral, la Corte considera que dicha medida fue revertida a través del amparo de la Sala Electoral del Tribunal Supremo de Justicia y el profesor Álvarez fue incorporado al proceso electoral en el cual pretendía participar. De manera que no se vislumbra la aplicación de la inhabilitación política más allá del término de la condena en los términos planteados por la Comisión y los representantes, ni tampoco un daño a los derechos políticos del señor Álvarez en esa circunstancia.</w:t>
      </w:r>
    </w:p>
    <w:p w14:paraId="1D552014" w14:textId="60FA5C63" w:rsidR="00987FF9" w:rsidRPr="00D86945" w:rsidRDefault="00987FF9" w:rsidP="00BF3BF6">
      <w:pPr>
        <w:pStyle w:val="Ttulo2"/>
      </w:pPr>
      <w:bookmarkStart w:id="14" w:name="_Toc89691466"/>
      <w:r w:rsidRPr="00D86945">
        <w:t>Deber de confidencialidad</w:t>
      </w:r>
      <w:bookmarkEnd w:id="14"/>
    </w:p>
    <w:p w14:paraId="0BAB53EE" w14:textId="3EC4EF74"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b/>
          <w:sz w:val="20"/>
          <w:szCs w:val="20"/>
        </w:rPr>
        <w:t>Corte IDH. Caso Palamara Iribarne Vs. Chile. Fondo, Reparaciones y Costas. Sentencia de 22 de noviembre de 2005. Serie C No. 135</w:t>
      </w:r>
      <w:r w:rsidRPr="00D86945">
        <w:rPr>
          <w:rFonts w:ascii="Verdana" w:hAnsi="Verdana" w:cs="Times New Roman"/>
          <w:sz w:val="20"/>
          <w:szCs w:val="20"/>
        </w:rPr>
        <w:t>.</w:t>
      </w:r>
    </w:p>
    <w:p w14:paraId="4C5335C0" w14:textId="74216F12" w:rsidR="00987FF9" w:rsidRDefault="00987FF9" w:rsidP="004F4FE7">
      <w:pPr>
        <w:tabs>
          <w:tab w:val="left" w:pos="360"/>
        </w:tabs>
        <w:spacing w:line="240" w:lineRule="auto"/>
        <w:ind w:right="49"/>
        <w:jc w:val="both"/>
        <w:rPr>
          <w:rFonts w:ascii="Verdana" w:hAnsi="Verdana" w:cs="Times New Roman"/>
          <w:sz w:val="20"/>
          <w:szCs w:val="20"/>
        </w:rPr>
      </w:pPr>
      <w:r w:rsidRPr="00D86945">
        <w:rPr>
          <w:rFonts w:ascii="Verdana" w:hAnsi="Verdana" w:cs="Times New Roman"/>
          <w:sz w:val="20"/>
          <w:szCs w:val="20"/>
        </w:rPr>
        <w:t>77.</w:t>
      </w:r>
      <w:r w:rsidRPr="00D86945">
        <w:rPr>
          <w:rFonts w:ascii="Verdana" w:hAnsi="Verdana" w:cs="Times New Roman"/>
          <w:sz w:val="20"/>
          <w:szCs w:val="20"/>
        </w:rPr>
        <w:tab/>
        <w:t>El Tribunal entiende que puede ocurrir que los empleados o funcionarios de una institución tengan el deber de guardar confidencialidad sobre cierta información a la que tienen acceso en ejercicio de sus funciones, cuando el contenido de dicha información se encuentre cubierto por el referido deber.</w:t>
      </w:r>
      <w:r w:rsidR="00D35646" w:rsidRPr="00D86945">
        <w:rPr>
          <w:rFonts w:ascii="Verdana" w:hAnsi="Verdana" w:cs="Times New Roman"/>
          <w:sz w:val="20"/>
          <w:szCs w:val="20"/>
        </w:rPr>
        <w:t xml:space="preserve"> </w:t>
      </w:r>
      <w:r w:rsidRPr="00D86945">
        <w:rPr>
          <w:rFonts w:ascii="Verdana" w:hAnsi="Verdana" w:cs="Times New Roman"/>
          <w:sz w:val="20"/>
          <w:szCs w:val="20"/>
        </w:rPr>
        <w:t xml:space="preserve">El deber de confidencialidad no abarca a la información relativa a la institución o a las funciones que ésta realiza cuando se hubiere hecho pública. Sin embargo, en ciertos casos, el incumplimiento del deber de confidencialidad puede generar responsabilidades administrativas, civiles o disciplinarias. En el presente caso no se analizará el contenido del deber de confidencialidad debido a que ha quedado demostrado que para escribir el libro “Ética y Servicios de Inteligencia” el señor Palamara Iribarne había utilizado información proveniente de “fuentes abiertas” </w:t>
      </w:r>
      <w:r w:rsidR="005E0C2B">
        <w:rPr>
          <w:rFonts w:ascii="Verdana" w:hAnsi="Verdana" w:cs="Times New Roman"/>
          <w:sz w:val="20"/>
          <w:szCs w:val="20"/>
        </w:rPr>
        <w:t>[...]</w:t>
      </w:r>
      <w:r w:rsidRPr="00D86945">
        <w:rPr>
          <w:rFonts w:ascii="Verdana" w:hAnsi="Verdana" w:cs="Times New Roman"/>
          <w:sz w:val="20"/>
          <w:szCs w:val="20"/>
        </w:rPr>
        <w:t>.</w:t>
      </w:r>
    </w:p>
    <w:p w14:paraId="2B90BFC6" w14:textId="77777777" w:rsidR="00CB5D84" w:rsidRPr="00D86945" w:rsidRDefault="00CB5D84" w:rsidP="004F4FE7">
      <w:pPr>
        <w:tabs>
          <w:tab w:val="left" w:pos="360"/>
        </w:tabs>
        <w:spacing w:line="240" w:lineRule="auto"/>
        <w:ind w:right="49"/>
        <w:jc w:val="both"/>
        <w:rPr>
          <w:rFonts w:ascii="Verdana" w:hAnsi="Verdana" w:cs="Times New Roman"/>
          <w:sz w:val="20"/>
          <w:szCs w:val="20"/>
        </w:rPr>
      </w:pPr>
    </w:p>
    <w:p w14:paraId="1B7BC84C" w14:textId="2F17184C" w:rsidR="00987FF9" w:rsidRPr="00D86945" w:rsidRDefault="00987FF9" w:rsidP="00BF3BF6">
      <w:pPr>
        <w:pStyle w:val="Ttulo2"/>
      </w:pPr>
      <w:bookmarkStart w:id="15" w:name="_Toc89691467"/>
      <w:r w:rsidRPr="00D86945">
        <w:t>Margen reducido de restricción del debate público o político</w:t>
      </w:r>
      <w:bookmarkEnd w:id="15"/>
    </w:p>
    <w:p w14:paraId="23426F0F" w14:textId="04261001"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b/>
          <w:sz w:val="20"/>
          <w:szCs w:val="20"/>
        </w:rPr>
        <w:t xml:space="preserve">Corte IDH. Caso </w:t>
      </w:r>
      <w:proofErr w:type="spellStart"/>
      <w:r w:rsidRPr="00D86945">
        <w:rPr>
          <w:rFonts w:ascii="Verdana" w:hAnsi="Verdana" w:cs="Times New Roman"/>
          <w:b/>
          <w:sz w:val="20"/>
          <w:szCs w:val="20"/>
        </w:rPr>
        <w:t>Ivcher</w:t>
      </w:r>
      <w:proofErr w:type="spellEnd"/>
      <w:r w:rsidRPr="00D86945">
        <w:rPr>
          <w:rFonts w:ascii="Verdana" w:hAnsi="Verdana" w:cs="Times New Roman"/>
          <w:b/>
          <w:sz w:val="20"/>
          <w:szCs w:val="20"/>
        </w:rPr>
        <w:t xml:space="preserve"> </w:t>
      </w:r>
      <w:proofErr w:type="spellStart"/>
      <w:r w:rsidRPr="00D86945">
        <w:rPr>
          <w:rFonts w:ascii="Verdana" w:hAnsi="Verdana" w:cs="Times New Roman"/>
          <w:b/>
          <w:sz w:val="20"/>
          <w:szCs w:val="20"/>
        </w:rPr>
        <w:t>Bronstein</w:t>
      </w:r>
      <w:proofErr w:type="spellEnd"/>
      <w:r w:rsidRPr="00D86945">
        <w:rPr>
          <w:rFonts w:ascii="Verdana" w:hAnsi="Verdana" w:cs="Times New Roman"/>
          <w:b/>
          <w:sz w:val="20"/>
          <w:szCs w:val="20"/>
        </w:rPr>
        <w:t xml:space="preserve"> Vs. Perú. Fondo, Reparaciones y Costas. Sentencia de 6 de febrero de 2001. Serie C No. 74</w:t>
      </w:r>
      <w:r w:rsidRPr="00D86945">
        <w:rPr>
          <w:rFonts w:ascii="Verdana" w:hAnsi="Verdana" w:cs="Times New Roman"/>
          <w:sz w:val="20"/>
          <w:szCs w:val="20"/>
        </w:rPr>
        <w:t>.</w:t>
      </w:r>
    </w:p>
    <w:p w14:paraId="36F6609F" w14:textId="4340BAC6"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155.</w:t>
      </w:r>
      <w:r w:rsidRPr="00D86945">
        <w:rPr>
          <w:rFonts w:ascii="Verdana" w:hAnsi="Verdana" w:cs="Times New Roman"/>
          <w:sz w:val="20"/>
          <w:szCs w:val="20"/>
        </w:rPr>
        <w:tab/>
        <w:t>La Corte Europea ha puesto énfasis en que el artículo 10.2 de la Convención Europea, referente a la libertad de expresión, deja un margen muy reducido a cualquier restricción del debate político o del debate sobre cuestiones de interés público.</w:t>
      </w:r>
      <w:r w:rsidR="00D35646" w:rsidRPr="00D86945">
        <w:rPr>
          <w:rFonts w:ascii="Verdana" w:hAnsi="Verdana" w:cs="Times New Roman"/>
          <w:sz w:val="20"/>
          <w:szCs w:val="20"/>
        </w:rPr>
        <w:t xml:space="preserve"> </w:t>
      </w:r>
      <w:r w:rsidRPr="00D86945">
        <w:rPr>
          <w:rFonts w:ascii="Verdana" w:hAnsi="Verdana" w:cs="Times New Roman"/>
          <w:sz w:val="20"/>
          <w:szCs w:val="20"/>
        </w:rPr>
        <w:t>Según dicho Tribunal,</w:t>
      </w:r>
    </w:p>
    <w:p w14:paraId="24E572B4" w14:textId="5937C556" w:rsidR="00987FF9" w:rsidRPr="004F4FE7" w:rsidRDefault="00987FF9" w:rsidP="004F4FE7">
      <w:pPr>
        <w:spacing w:line="240" w:lineRule="auto"/>
        <w:ind w:left="1416" w:right="49"/>
        <w:jc w:val="both"/>
        <w:rPr>
          <w:rFonts w:ascii="Verdana" w:hAnsi="Verdana" w:cs="Times New Roman"/>
          <w:sz w:val="18"/>
          <w:szCs w:val="18"/>
        </w:rPr>
      </w:pPr>
      <w:r w:rsidRPr="004F4FE7">
        <w:rPr>
          <w:rFonts w:ascii="Verdana" w:hAnsi="Verdana" w:cs="Times New Roman"/>
          <w:sz w:val="18"/>
          <w:szCs w:val="18"/>
        </w:rPr>
        <w:t>[...] los límites de críticas aceptables son más amplios con respecto al gobierno que en relación a un ciudadano privado o inclusive a un político.</w:t>
      </w:r>
      <w:r w:rsidR="00D35646" w:rsidRPr="004F4FE7">
        <w:rPr>
          <w:rFonts w:ascii="Verdana" w:hAnsi="Verdana" w:cs="Times New Roman"/>
          <w:sz w:val="18"/>
          <w:szCs w:val="18"/>
        </w:rPr>
        <w:t xml:space="preserve"> </w:t>
      </w:r>
      <w:r w:rsidRPr="004F4FE7">
        <w:rPr>
          <w:rFonts w:ascii="Verdana" w:hAnsi="Verdana" w:cs="Times New Roman"/>
          <w:sz w:val="18"/>
          <w:szCs w:val="18"/>
        </w:rPr>
        <w:t xml:space="preserve">En un sistema </w:t>
      </w:r>
      <w:r w:rsidRPr="004F4FE7">
        <w:rPr>
          <w:rFonts w:ascii="Verdana" w:hAnsi="Verdana" w:cs="Times New Roman"/>
          <w:sz w:val="18"/>
          <w:szCs w:val="18"/>
        </w:rPr>
        <w:lastRenderedPageBreak/>
        <w:t>democrático las acciones u omisiones del gobierno deben estar sujetas a exámenes rigurosos, no sólo por las autoridades legislativas y judiciales, sino también por la opinión pública. (traducción no oficial)</w:t>
      </w:r>
    </w:p>
    <w:p w14:paraId="46FE1933" w14:textId="254A118D" w:rsidR="00987FF9" w:rsidRPr="00D86945" w:rsidRDefault="00987FF9" w:rsidP="004F4FE7">
      <w:pPr>
        <w:spacing w:line="240" w:lineRule="auto"/>
        <w:ind w:right="49"/>
        <w:jc w:val="both"/>
        <w:rPr>
          <w:rFonts w:ascii="Verdana" w:hAnsi="Verdana" w:cs="Times New Roman"/>
          <w:b/>
          <w:sz w:val="20"/>
          <w:szCs w:val="20"/>
        </w:rPr>
      </w:pPr>
      <w:r w:rsidRPr="00D86945">
        <w:rPr>
          <w:rFonts w:ascii="Verdana" w:hAnsi="Verdana" w:cs="Times New Roman"/>
          <w:b/>
          <w:sz w:val="20"/>
          <w:szCs w:val="20"/>
        </w:rPr>
        <w:t>Corte IDH. Caso Herrera Ulloa Vs. Costa Rica. Excepciones Preliminares, Fondo, Reparaciones y Costas. Sentencia de 2 de julio de 2004. Serie C No. 107.</w:t>
      </w:r>
    </w:p>
    <w:p w14:paraId="74FB5905" w14:textId="170E250E"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125.</w:t>
      </w:r>
      <w:r w:rsidRPr="00D86945">
        <w:rPr>
          <w:rFonts w:ascii="Verdana" w:hAnsi="Verdana" w:cs="Times New Roman"/>
          <w:sz w:val="20"/>
          <w:szCs w:val="20"/>
        </w:rPr>
        <w:tab/>
        <w:t>La Corte Europea de Derechos Humanos ha sostenido de manera consistente que, con respecto a las limitaciones permisibles sobre la libertad de expresión, hay que distinguir entre las restricciones que son aplicables cuando el objeto de la expresión se refiera a un particular y, por otro lado, cuando es una persona pública como, por ejemplo, un político.</w:t>
      </w:r>
      <w:r w:rsidR="00D35646" w:rsidRPr="00D86945">
        <w:rPr>
          <w:rFonts w:ascii="Verdana" w:hAnsi="Verdana" w:cs="Times New Roman"/>
          <w:sz w:val="20"/>
          <w:szCs w:val="20"/>
        </w:rPr>
        <w:t xml:space="preserve"> </w:t>
      </w:r>
      <w:r w:rsidRPr="00D86945">
        <w:rPr>
          <w:rFonts w:ascii="Verdana" w:hAnsi="Verdana" w:cs="Times New Roman"/>
          <w:sz w:val="20"/>
          <w:szCs w:val="20"/>
        </w:rPr>
        <w:t>Esa Corte ha manifestado que:</w:t>
      </w:r>
    </w:p>
    <w:p w14:paraId="5E308473" w14:textId="215F1F12" w:rsidR="00987FF9" w:rsidRPr="004F4FE7" w:rsidRDefault="00987FF9" w:rsidP="004F4FE7">
      <w:pPr>
        <w:pStyle w:val="Sangradetindependiente2"/>
        <w:widowControl/>
        <w:spacing w:line="240" w:lineRule="auto"/>
        <w:ind w:left="1416" w:right="49"/>
        <w:jc w:val="both"/>
        <w:rPr>
          <w:rFonts w:ascii="Verdana" w:eastAsia="Times" w:hAnsi="Verdana"/>
          <w:sz w:val="18"/>
          <w:szCs w:val="18"/>
        </w:rPr>
      </w:pPr>
      <w:r w:rsidRPr="004F4FE7">
        <w:rPr>
          <w:rFonts w:ascii="Verdana" w:eastAsia="Times" w:hAnsi="Verdana"/>
          <w:sz w:val="18"/>
          <w:szCs w:val="18"/>
        </w:rPr>
        <w:t>Los límites de la crítica aceptable son, por tanto, respecto de un político, más amplios que en el caso de un particular. A diferencia de este último, aquel inevitable y conscientemente se abre a un riguroso escrutinio de todas sus palabras y hechos por parte de periodistas y de la opinión pública y, en consecuencia, debe demostrar un mayor grado de tolerancia. Sin duda, el artículo 10, inciso 2 (art.10-2) permite la protección de la reputación de los demás –es decir, de todas las personas- y esta protección comprende también a los políticos, aún cuando no estén actuando en carácter de particulares, pero en esos casos los requisitos de dicha protección tienen que ser ponderados en relación con los intereses de un debate abierto sobre los asuntos políticos.</w:t>
      </w:r>
    </w:p>
    <w:p w14:paraId="06560679" w14:textId="406EEE05" w:rsidR="00987FF9" w:rsidRPr="004F4FE7" w:rsidRDefault="00987FF9" w:rsidP="004F4FE7">
      <w:pPr>
        <w:pStyle w:val="Sangradetindependiente2"/>
        <w:widowControl/>
        <w:spacing w:line="240" w:lineRule="auto"/>
        <w:ind w:right="49"/>
        <w:jc w:val="both"/>
        <w:rPr>
          <w:rFonts w:ascii="Verdana" w:eastAsia="Times" w:hAnsi="Verdana"/>
          <w:sz w:val="18"/>
          <w:szCs w:val="18"/>
        </w:rPr>
      </w:pPr>
      <w:r w:rsidRPr="00D86945">
        <w:rPr>
          <w:rFonts w:ascii="Verdana" w:eastAsia="Times" w:hAnsi="Verdana"/>
          <w:sz w:val="20"/>
        </w:rPr>
        <w:t xml:space="preserve">La libertad de prensa proporciona a la opinión pública uno de los mejores medios para conocer y juzgar las ideas y actitudes de los dirigentes políticos. En términos más generales, la libertad de las controversias políticas pertenece al corazón mismo del concepto de sociedad democrática. </w:t>
      </w:r>
      <w:r w:rsidR="00CB5D84">
        <w:rPr>
          <w:rFonts w:ascii="Verdana" w:hAnsi="Verdana"/>
          <w:b/>
          <w:bCs/>
          <w:sz w:val="20"/>
        </w:rPr>
        <w:t>[</w:t>
      </w:r>
      <w:r w:rsidR="002A5747">
        <w:rPr>
          <w:rFonts w:ascii="Verdana" w:hAnsi="Verdana"/>
          <w:b/>
          <w:sz w:val="18"/>
          <w:szCs w:val="18"/>
        </w:rPr>
        <w:t>En similar sentido, ver entre otros:</w:t>
      </w:r>
      <w:r w:rsidRPr="004F4FE7">
        <w:rPr>
          <w:rFonts w:ascii="Verdana" w:eastAsia="Times" w:hAnsi="Verdana"/>
          <w:sz w:val="18"/>
          <w:szCs w:val="18"/>
        </w:rPr>
        <w:t xml:space="preserve"> </w:t>
      </w:r>
      <w:r w:rsidRPr="004F4FE7">
        <w:rPr>
          <w:rFonts w:ascii="Verdana" w:eastAsia="Times" w:hAnsi="Verdana"/>
          <w:b/>
          <w:sz w:val="18"/>
          <w:szCs w:val="18"/>
        </w:rPr>
        <w:t xml:space="preserve">Caso Ricardo </w:t>
      </w:r>
      <w:proofErr w:type="spellStart"/>
      <w:r w:rsidRPr="004F4FE7">
        <w:rPr>
          <w:rFonts w:ascii="Verdana" w:eastAsia="Times" w:hAnsi="Verdana"/>
          <w:b/>
          <w:sz w:val="18"/>
          <w:szCs w:val="18"/>
        </w:rPr>
        <w:t>Canese</w:t>
      </w:r>
      <w:proofErr w:type="spellEnd"/>
      <w:r w:rsidRPr="004F4FE7">
        <w:rPr>
          <w:rFonts w:ascii="Verdana" w:eastAsia="Times" w:hAnsi="Verdana"/>
          <w:b/>
          <w:sz w:val="18"/>
          <w:szCs w:val="18"/>
        </w:rPr>
        <w:t xml:space="preserve"> Vs. Paraguay. Fondo, Reparaciones y Costas. Sentencia de 31 de agosto de 2004. Serie C No. 111, párr.102</w:t>
      </w:r>
      <w:r w:rsidR="00CB5D84">
        <w:rPr>
          <w:rFonts w:ascii="Verdana" w:eastAsia="Times" w:hAnsi="Verdana"/>
          <w:b/>
          <w:sz w:val="18"/>
          <w:szCs w:val="18"/>
        </w:rPr>
        <w:t>]</w:t>
      </w:r>
      <w:r w:rsidRPr="004F4FE7">
        <w:rPr>
          <w:rFonts w:ascii="Verdana" w:eastAsia="Times" w:hAnsi="Verdana"/>
          <w:b/>
          <w:sz w:val="18"/>
          <w:szCs w:val="18"/>
        </w:rPr>
        <w:t>.</w:t>
      </w:r>
    </w:p>
    <w:p w14:paraId="7813B32B" w14:textId="24B452A0" w:rsidR="00987FF9" w:rsidRPr="00D86945" w:rsidRDefault="00987FF9" w:rsidP="004F4FE7">
      <w:pPr>
        <w:pStyle w:val="Sangradetindependiente2"/>
        <w:widowControl/>
        <w:spacing w:line="240" w:lineRule="auto"/>
        <w:ind w:right="49"/>
        <w:jc w:val="both"/>
        <w:rPr>
          <w:rFonts w:ascii="Verdana" w:eastAsia="Times" w:hAnsi="Verdana"/>
          <w:sz w:val="20"/>
        </w:rPr>
      </w:pPr>
      <w:r w:rsidRPr="00D86945">
        <w:rPr>
          <w:rFonts w:ascii="Verdana" w:eastAsia="Times" w:hAnsi="Verdana"/>
          <w:sz w:val="20"/>
        </w:rPr>
        <w:t>126.</w:t>
      </w:r>
      <w:r w:rsidRPr="00D86945">
        <w:rPr>
          <w:rFonts w:ascii="Verdana" w:eastAsia="Times" w:hAnsi="Verdana"/>
          <w:sz w:val="20"/>
        </w:rPr>
        <w:tab/>
        <w:t>En otra Sentencia, esa Corte sostuvo que</w:t>
      </w:r>
    </w:p>
    <w:p w14:paraId="30B5AA06" w14:textId="4B9A5F3D" w:rsidR="00987FF9" w:rsidRPr="004F4FE7" w:rsidRDefault="00987FF9" w:rsidP="004F4FE7">
      <w:pPr>
        <w:pStyle w:val="Sangradetindependiente2"/>
        <w:widowControl/>
        <w:spacing w:line="240" w:lineRule="auto"/>
        <w:ind w:left="1416" w:right="49"/>
        <w:jc w:val="both"/>
        <w:rPr>
          <w:rFonts w:ascii="Verdana" w:eastAsia="Times" w:hAnsi="Verdana"/>
          <w:sz w:val="18"/>
          <w:szCs w:val="18"/>
        </w:rPr>
      </w:pPr>
      <w:r w:rsidRPr="004F4FE7">
        <w:rPr>
          <w:rFonts w:ascii="Verdana" w:eastAsia="Times" w:hAnsi="Verdana"/>
          <w:sz w:val="18"/>
          <w:szCs w:val="18"/>
        </w:rPr>
        <w:t xml:space="preserve">[…] la libertad de expresión e información […] debe extenderse no solo a la información e ideas favorables, consideradas como inofensivas o indiferentes, sino también a aquellas que ofenden, resulten chocantes o perturben. […] Los límites de críticas aceptables son más amplios con respecto al Estado que en relación a un ciudadano privado e inclusive a un político. En un sistema democrático, las acciones u omisiones del Estado deben estar sujetas a un escrutinio riguroso, no sólo por parte de las autoridades legislativas y judiciales, sino también por parte de la prensa y de la opinión pública. </w:t>
      </w:r>
    </w:p>
    <w:p w14:paraId="2D4364E5" w14:textId="02B270AC" w:rsidR="00987FF9" w:rsidRPr="004F4FE7" w:rsidRDefault="00987FF9" w:rsidP="004F4FE7">
      <w:pPr>
        <w:tabs>
          <w:tab w:val="left" w:pos="720"/>
        </w:tabs>
        <w:spacing w:line="240" w:lineRule="auto"/>
        <w:ind w:right="49"/>
        <w:jc w:val="both"/>
        <w:rPr>
          <w:rFonts w:ascii="Verdana" w:hAnsi="Verdana" w:cs="Times New Roman"/>
          <w:b/>
          <w:sz w:val="18"/>
          <w:szCs w:val="18"/>
          <w:lang w:val="es-CL"/>
        </w:rPr>
      </w:pPr>
      <w:r w:rsidRPr="00D86945">
        <w:rPr>
          <w:rFonts w:ascii="Verdana" w:hAnsi="Verdana" w:cs="Times New Roman"/>
          <w:sz w:val="20"/>
          <w:szCs w:val="20"/>
        </w:rPr>
        <w:t>127.</w:t>
      </w:r>
      <w:r w:rsidRPr="00D86945">
        <w:rPr>
          <w:rFonts w:ascii="Verdana" w:hAnsi="Verdana" w:cs="Times New Roman"/>
          <w:sz w:val="20"/>
          <w:szCs w:val="20"/>
        </w:rPr>
        <w:tab/>
        <w:t xml:space="preserve">El control democrático, por parte de la sociedad a través de la opinión pública, fomenta la transparencia de las actividades estatales y promueve la responsabilidad de los funcionarios sobre su gestión pública, razón por la cual debe existir un margen reducido a cualquier restricción del debate político o del debate sobre cuestiones de interés público. </w:t>
      </w:r>
      <w:r w:rsidR="00CB5D84">
        <w:rPr>
          <w:rFonts w:ascii="Verdana" w:hAnsi="Verdana"/>
          <w:b/>
          <w:bCs/>
          <w:sz w:val="20"/>
          <w:szCs w:val="20"/>
        </w:rPr>
        <w:t>[</w:t>
      </w:r>
      <w:r w:rsidR="002A5747">
        <w:rPr>
          <w:rFonts w:ascii="Verdana" w:hAnsi="Verdana"/>
          <w:b/>
          <w:sz w:val="18"/>
          <w:szCs w:val="18"/>
        </w:rPr>
        <w:t>En similar sentido, ver entre otros:</w:t>
      </w:r>
      <w:r w:rsidRPr="004F4FE7">
        <w:rPr>
          <w:rFonts w:ascii="Verdana" w:hAnsi="Verdana" w:cs="Times New Roman"/>
          <w:sz w:val="18"/>
          <w:szCs w:val="18"/>
        </w:rPr>
        <w:t xml:space="preserve"> </w:t>
      </w:r>
      <w:r w:rsidRPr="004F4FE7">
        <w:rPr>
          <w:rFonts w:ascii="Verdana" w:hAnsi="Verdana" w:cs="Times New Roman"/>
          <w:b/>
          <w:sz w:val="18"/>
          <w:szCs w:val="18"/>
        </w:rPr>
        <w:t xml:space="preserve">Caso Ricardo </w:t>
      </w:r>
      <w:proofErr w:type="spellStart"/>
      <w:r w:rsidRPr="004F4FE7">
        <w:rPr>
          <w:rFonts w:ascii="Verdana" w:hAnsi="Verdana" w:cs="Times New Roman"/>
          <w:b/>
          <w:sz w:val="18"/>
          <w:szCs w:val="18"/>
        </w:rPr>
        <w:t>Canese</w:t>
      </w:r>
      <w:proofErr w:type="spellEnd"/>
      <w:r w:rsidRPr="004F4FE7">
        <w:rPr>
          <w:rFonts w:ascii="Verdana" w:hAnsi="Verdana" w:cs="Times New Roman"/>
          <w:b/>
          <w:sz w:val="18"/>
          <w:szCs w:val="18"/>
        </w:rPr>
        <w:t xml:space="preserve"> Vs. Paraguay. Fondo, Reparaciones y Costas. Sentencia de 31 de agosto de 2004. Serie C No. 111, párr.97</w:t>
      </w:r>
      <w:r w:rsidRPr="004F4FE7">
        <w:rPr>
          <w:rFonts w:ascii="Verdana" w:hAnsi="Verdana" w:cs="Times New Roman"/>
          <w:sz w:val="18"/>
          <w:szCs w:val="18"/>
        </w:rPr>
        <w:t xml:space="preserve">; </w:t>
      </w:r>
      <w:r w:rsidRPr="004F4FE7">
        <w:rPr>
          <w:rFonts w:ascii="Verdana" w:hAnsi="Verdana" w:cs="Times New Roman"/>
          <w:b/>
          <w:sz w:val="18"/>
          <w:szCs w:val="18"/>
        </w:rPr>
        <w:t>Caso Palamara Iribarne Vs. Chile. Fondo, Reparaciones y Costas. Sentencia de 22 de noviembre de 2005. Serie C No. 135, párr.83; Caso Claude Reyes y otros Vs. Chile. Fondo, Reparaciones y Costas. Sentencia de 19 de septiembre de 2006. Serie C No. 151</w:t>
      </w:r>
      <w:r w:rsidRPr="004F4FE7">
        <w:rPr>
          <w:rFonts w:ascii="Verdana" w:hAnsi="Verdana" w:cs="Times New Roman"/>
          <w:b/>
          <w:sz w:val="18"/>
          <w:szCs w:val="18"/>
          <w:lang w:val="es-CL"/>
        </w:rPr>
        <w:t xml:space="preserve">, párr.87; </w:t>
      </w:r>
      <w:r w:rsidR="00CB5D84">
        <w:rPr>
          <w:rFonts w:ascii="Verdana" w:hAnsi="Verdana" w:cs="Times New Roman"/>
          <w:b/>
          <w:sz w:val="18"/>
          <w:szCs w:val="18"/>
          <w:lang w:val="es-CL"/>
        </w:rPr>
        <w:t xml:space="preserve">y </w:t>
      </w:r>
      <w:r w:rsidRPr="004F4FE7">
        <w:rPr>
          <w:rFonts w:ascii="Verdana" w:hAnsi="Verdana" w:cs="Times New Roman"/>
          <w:b/>
          <w:sz w:val="18"/>
          <w:szCs w:val="18"/>
          <w:lang w:val="es-CL"/>
        </w:rPr>
        <w:t>Caso Kimel Vs. Argentina. Fondo, Reparaciones y Costas. Sentencia de 2 de mayo de 2008. Serie C No. 177, párr.87</w:t>
      </w:r>
      <w:r w:rsidR="00CB5D84">
        <w:rPr>
          <w:rFonts w:ascii="Verdana" w:hAnsi="Verdana" w:cs="Times New Roman"/>
          <w:b/>
          <w:sz w:val="18"/>
          <w:szCs w:val="18"/>
          <w:lang w:val="es-CL"/>
        </w:rPr>
        <w:t>]</w:t>
      </w:r>
      <w:r w:rsidRPr="004F4FE7">
        <w:rPr>
          <w:rFonts w:ascii="Verdana" w:hAnsi="Verdana" w:cs="Times New Roman"/>
          <w:b/>
          <w:sz w:val="18"/>
          <w:szCs w:val="18"/>
          <w:lang w:val="es-CL"/>
        </w:rPr>
        <w:t>.</w:t>
      </w:r>
    </w:p>
    <w:p w14:paraId="4149F49B" w14:textId="19AF0B40"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128.</w:t>
      </w:r>
      <w:r w:rsidRPr="00D86945">
        <w:rPr>
          <w:rFonts w:ascii="Verdana" w:hAnsi="Verdana" w:cs="Times New Roman"/>
          <w:sz w:val="20"/>
          <w:szCs w:val="20"/>
        </w:rPr>
        <w:tab/>
        <w:t>En este contexto es lógico y apropiado que las expresiones concernientes a funcionarios públicos o a otras personas que ejercen funciones de una naturaleza pública deben gozar, en los términos del artículo 13.2 de la Convención, de un margen de apertura a un debate amplio respecto de asuntos de interés público, el cual es esencial para el funcionamiento de un sistema verdaderamente democrático.</w:t>
      </w:r>
      <w:r w:rsidRPr="00D86945">
        <w:rPr>
          <w:rFonts w:ascii="Verdana" w:hAnsi="Verdana" w:cs="Times New Roman"/>
          <w:b/>
          <w:sz w:val="20"/>
          <w:szCs w:val="20"/>
        </w:rPr>
        <w:t xml:space="preserve"> </w:t>
      </w:r>
      <w:r w:rsidRPr="00D86945">
        <w:rPr>
          <w:rFonts w:ascii="Verdana" w:hAnsi="Verdana" w:cs="Times New Roman"/>
          <w:sz w:val="20"/>
          <w:szCs w:val="20"/>
        </w:rPr>
        <w:t xml:space="preserve">Esto no significa, de modo alguno, que el honor de los funcionarios públicos o de las </w:t>
      </w:r>
      <w:r w:rsidRPr="00D86945">
        <w:rPr>
          <w:rFonts w:ascii="Verdana" w:hAnsi="Verdana" w:cs="Times New Roman"/>
          <w:sz w:val="20"/>
          <w:szCs w:val="20"/>
        </w:rPr>
        <w:lastRenderedPageBreak/>
        <w:t xml:space="preserve">personas públicas no deba ser jurídicamente protegido, sino que éste debe serlo de manera acorde con los principios del pluralismo democrático. </w:t>
      </w:r>
      <w:r w:rsidR="00CB5D84">
        <w:rPr>
          <w:rFonts w:ascii="Verdana" w:hAnsi="Verdana"/>
          <w:b/>
          <w:bCs/>
          <w:sz w:val="20"/>
          <w:szCs w:val="20"/>
        </w:rPr>
        <w:t>[</w:t>
      </w:r>
      <w:r w:rsidR="002A5747">
        <w:rPr>
          <w:rFonts w:ascii="Verdana" w:hAnsi="Verdana"/>
          <w:b/>
          <w:sz w:val="18"/>
          <w:szCs w:val="18"/>
        </w:rPr>
        <w:t>En similar sentido, ver entre otros:</w:t>
      </w:r>
      <w:r w:rsidRPr="004F4FE7">
        <w:rPr>
          <w:rFonts w:ascii="Verdana" w:hAnsi="Verdana" w:cs="Times New Roman"/>
          <w:sz w:val="18"/>
          <w:szCs w:val="18"/>
        </w:rPr>
        <w:t xml:space="preserve"> </w:t>
      </w:r>
      <w:r w:rsidRPr="004F4FE7">
        <w:rPr>
          <w:rFonts w:ascii="Verdana" w:hAnsi="Verdana" w:cs="Times New Roman"/>
          <w:b/>
          <w:sz w:val="18"/>
          <w:szCs w:val="18"/>
        </w:rPr>
        <w:t>Corte IDH. Caso Palamara Iribarne Vs. Chile. Fondo, Reparaciones y Costas. Sentencia de 22 de noviembre de 2005. Serie C No. 135, párr.82</w:t>
      </w:r>
      <w:r w:rsidR="00CB5D84">
        <w:rPr>
          <w:rFonts w:ascii="Verdana" w:hAnsi="Verdana" w:cs="Times New Roman"/>
          <w:b/>
          <w:sz w:val="18"/>
          <w:szCs w:val="18"/>
        </w:rPr>
        <w:t>]</w:t>
      </w:r>
      <w:r w:rsidRPr="004F4FE7">
        <w:rPr>
          <w:rFonts w:ascii="Verdana" w:hAnsi="Verdana" w:cs="Times New Roman"/>
          <w:b/>
          <w:sz w:val="18"/>
          <w:szCs w:val="18"/>
        </w:rPr>
        <w:t>.</w:t>
      </w:r>
    </w:p>
    <w:p w14:paraId="131E9563" w14:textId="5D6D037D" w:rsidR="00987FF9" w:rsidRPr="004F4FE7" w:rsidRDefault="00987FF9" w:rsidP="004F4FE7">
      <w:pPr>
        <w:spacing w:line="240" w:lineRule="auto"/>
        <w:ind w:right="49"/>
        <w:jc w:val="both"/>
        <w:rPr>
          <w:rFonts w:ascii="Verdana" w:hAnsi="Verdana" w:cs="Times New Roman"/>
          <w:b/>
          <w:sz w:val="18"/>
          <w:szCs w:val="18"/>
        </w:rPr>
      </w:pPr>
      <w:r w:rsidRPr="00D86945">
        <w:rPr>
          <w:rFonts w:ascii="Verdana" w:eastAsia="Times" w:hAnsi="Verdana" w:cs="Times New Roman"/>
          <w:sz w:val="20"/>
          <w:szCs w:val="20"/>
        </w:rPr>
        <w:t>129.</w:t>
      </w:r>
      <w:r w:rsidRPr="00D86945">
        <w:rPr>
          <w:rFonts w:ascii="Verdana" w:eastAsia="Times" w:hAnsi="Verdana" w:cs="Times New Roman"/>
          <w:sz w:val="20"/>
          <w:szCs w:val="20"/>
        </w:rPr>
        <w:tab/>
        <w:t xml:space="preserve">Es así </w:t>
      </w:r>
      <w:proofErr w:type="gramStart"/>
      <w:r w:rsidRPr="00D86945">
        <w:rPr>
          <w:rFonts w:ascii="Verdana" w:eastAsia="Times" w:hAnsi="Verdana" w:cs="Times New Roman"/>
          <w:sz w:val="20"/>
          <w:szCs w:val="20"/>
        </w:rPr>
        <w:t>que</w:t>
      </w:r>
      <w:proofErr w:type="gramEnd"/>
      <w:r w:rsidRPr="00D86945">
        <w:rPr>
          <w:rFonts w:ascii="Verdana" w:eastAsia="Times" w:hAnsi="Verdana" w:cs="Times New Roman"/>
          <w:sz w:val="20"/>
          <w:szCs w:val="20"/>
        </w:rPr>
        <w:t xml:space="preserve"> el acento de este umbral diferente de protección no se asienta en la calidad del sujeto, sino en el carácter de interés público que conllevan las actividades o actuaciones de una persona determinada. Aquellas personas que influyen en cuestiones de interés público se han expuesto voluntariamente a un escrutinio público más exigente y, consecuentemente, se ven expuestos a un mayor riesgo de sufrir críticas, ya que sus actividades salen del dominio de la esfera privada para insertarse en la esfera del debate público.</w:t>
      </w:r>
      <w:r w:rsidR="00D35646" w:rsidRPr="00D86945">
        <w:rPr>
          <w:rFonts w:ascii="Verdana" w:eastAsia="Times" w:hAnsi="Verdana" w:cs="Times New Roman"/>
          <w:sz w:val="20"/>
          <w:szCs w:val="20"/>
        </w:rPr>
        <w:t xml:space="preserve"> </w:t>
      </w:r>
      <w:r w:rsidR="00CB5D84">
        <w:rPr>
          <w:rFonts w:ascii="Verdana" w:hAnsi="Verdana"/>
          <w:b/>
          <w:bCs/>
          <w:sz w:val="20"/>
          <w:szCs w:val="20"/>
        </w:rPr>
        <w:t>[</w:t>
      </w:r>
      <w:r w:rsidR="002A5747">
        <w:rPr>
          <w:rFonts w:ascii="Verdana" w:hAnsi="Verdana"/>
          <w:b/>
          <w:sz w:val="18"/>
          <w:szCs w:val="18"/>
        </w:rPr>
        <w:t>En similar sentido, ver entre otros:</w:t>
      </w:r>
      <w:r w:rsidRPr="004F4FE7">
        <w:rPr>
          <w:rFonts w:ascii="Verdana" w:eastAsia="Times" w:hAnsi="Verdana" w:cs="Times New Roman"/>
          <w:sz w:val="18"/>
          <w:szCs w:val="18"/>
        </w:rPr>
        <w:t xml:space="preserve"> </w:t>
      </w:r>
      <w:r w:rsidRPr="004F4FE7">
        <w:rPr>
          <w:rFonts w:ascii="Verdana" w:hAnsi="Verdana" w:cs="Times New Roman"/>
          <w:b/>
          <w:sz w:val="18"/>
          <w:szCs w:val="18"/>
        </w:rPr>
        <w:t>Corte IDH. Caso Palamara Iribarne Vs. Chile. Fondo, Reparaciones y Costas. Sentencia de 22 de noviembre de 2005. Serie C No. 135, párr.84; Caso Kimel Vs. Argentina. Fondo, Reparaciones y Costas. Sentencia de 2 de mayo de 2008. Serie C No. 177, párr.86</w:t>
      </w:r>
      <w:r w:rsidR="00CB5D84">
        <w:rPr>
          <w:rFonts w:ascii="Verdana" w:hAnsi="Verdana" w:cs="Times New Roman"/>
          <w:b/>
          <w:sz w:val="18"/>
          <w:szCs w:val="18"/>
        </w:rPr>
        <w:t>]</w:t>
      </w:r>
      <w:r w:rsidRPr="004F4FE7">
        <w:rPr>
          <w:rFonts w:ascii="Verdana" w:hAnsi="Verdana" w:cs="Times New Roman"/>
          <w:b/>
          <w:sz w:val="18"/>
          <w:szCs w:val="18"/>
        </w:rPr>
        <w:t>.</w:t>
      </w:r>
    </w:p>
    <w:p w14:paraId="5DB9695F" w14:textId="5FC4DAF3"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130.</w:t>
      </w:r>
      <w:r w:rsidRPr="00D86945">
        <w:rPr>
          <w:rFonts w:ascii="Verdana" w:hAnsi="Verdana" w:cs="Times New Roman"/>
          <w:sz w:val="20"/>
          <w:szCs w:val="20"/>
        </w:rPr>
        <w:tab/>
        <w:t>A la luz de lo anteriormente señalado, este Tribunal pasa a determinar si la sanción penal impuesta al periodista Mauricio Herrera Ulloa fue una restricción necesaria en una sociedad democrática y consecuentemente compatible con la Convención Americana.</w:t>
      </w:r>
    </w:p>
    <w:p w14:paraId="2D0C4B76" w14:textId="1E107C90"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131.</w:t>
      </w:r>
      <w:r w:rsidRPr="00D86945">
        <w:rPr>
          <w:rFonts w:ascii="Verdana" w:hAnsi="Verdana" w:cs="Times New Roman"/>
          <w:sz w:val="20"/>
          <w:szCs w:val="20"/>
        </w:rPr>
        <w:tab/>
        <w:t xml:space="preserve">En el presente caso, la información vertida en la prensa de Bélgica respecto del diplomático Félix </w:t>
      </w:r>
      <w:proofErr w:type="spellStart"/>
      <w:r w:rsidRPr="00D86945">
        <w:rPr>
          <w:rFonts w:ascii="Verdana" w:hAnsi="Verdana" w:cs="Times New Roman"/>
          <w:sz w:val="20"/>
          <w:szCs w:val="20"/>
        </w:rPr>
        <w:t>Przedborski</w:t>
      </w:r>
      <w:proofErr w:type="spellEnd"/>
      <w:r w:rsidRPr="00D86945">
        <w:rPr>
          <w:rFonts w:ascii="Verdana" w:hAnsi="Verdana" w:cs="Times New Roman"/>
          <w:sz w:val="20"/>
          <w:szCs w:val="20"/>
        </w:rPr>
        <w:t>, representante del Estado costarricense ante la Organización de Energía Atómica en Austria, por sus supuestas actividades ilícitas, produjo una inmediata atención por parte del periodista Mauricio Herrera Ulloa, quien reprodujo parcialmente información publicada por dichos medios. La Corte observa que el periodista Herrera Ulloa se limitó básicamente a la reproducción de estas informaciones que atañían, como se ha dicho, a la conducta de un funcionario público en el extranjero.</w:t>
      </w:r>
    </w:p>
    <w:p w14:paraId="4BB7C190" w14:textId="79876372" w:rsidR="00987FF9" w:rsidRPr="00D86945" w:rsidRDefault="00987FF9" w:rsidP="004F4FE7">
      <w:pPr>
        <w:tabs>
          <w:tab w:val="left" w:pos="90"/>
        </w:tabs>
        <w:spacing w:line="240" w:lineRule="auto"/>
        <w:ind w:right="49"/>
        <w:jc w:val="both"/>
        <w:rPr>
          <w:rFonts w:ascii="Verdana" w:hAnsi="Verdana" w:cs="Times New Roman"/>
          <w:sz w:val="20"/>
          <w:szCs w:val="20"/>
        </w:rPr>
      </w:pPr>
      <w:r w:rsidRPr="00D86945">
        <w:rPr>
          <w:rFonts w:ascii="Verdana" w:hAnsi="Verdana" w:cs="Times New Roman"/>
          <w:sz w:val="20"/>
          <w:szCs w:val="20"/>
        </w:rPr>
        <w:t>132.</w:t>
      </w:r>
      <w:r w:rsidRPr="00D86945">
        <w:rPr>
          <w:rFonts w:ascii="Verdana" w:hAnsi="Verdana" w:cs="Times New Roman"/>
          <w:sz w:val="20"/>
          <w:szCs w:val="20"/>
        </w:rPr>
        <w:tab/>
        <w:t xml:space="preserve"> Este Tribunal debe mencionar que, como consecuencia de sus actos, el señor Herrera Ulloa fue sometido a un proceso penal que terminó con una sentencia condenatoria en la que el juez, aplicando los artículos 146, 149 y 152</w:t>
      </w:r>
      <w:r w:rsidR="00D35646" w:rsidRPr="00D86945">
        <w:rPr>
          <w:rFonts w:ascii="Verdana" w:hAnsi="Verdana" w:cs="Times New Roman"/>
          <w:sz w:val="20"/>
          <w:szCs w:val="20"/>
        </w:rPr>
        <w:t xml:space="preserve"> </w:t>
      </w:r>
      <w:r w:rsidRPr="00D86945">
        <w:rPr>
          <w:rFonts w:ascii="Verdana" w:hAnsi="Verdana" w:cs="Times New Roman"/>
          <w:sz w:val="20"/>
          <w:szCs w:val="20"/>
        </w:rPr>
        <w:t>del Código Penal de Costa Rica,</w:t>
      </w:r>
      <w:r w:rsidR="00D35646" w:rsidRPr="00D86945">
        <w:rPr>
          <w:rFonts w:ascii="Verdana" w:hAnsi="Verdana" w:cs="Times New Roman"/>
          <w:sz w:val="20"/>
          <w:szCs w:val="20"/>
        </w:rPr>
        <w:t xml:space="preserve"> </w:t>
      </w:r>
      <w:r w:rsidRPr="00D86945">
        <w:rPr>
          <w:rFonts w:ascii="Verdana" w:hAnsi="Verdana" w:cs="Times New Roman"/>
          <w:sz w:val="20"/>
          <w:szCs w:val="20"/>
        </w:rPr>
        <w:t xml:space="preserve">sostuvo que la </w:t>
      </w:r>
      <w:proofErr w:type="spellStart"/>
      <w:r w:rsidRPr="00D86945">
        <w:rPr>
          <w:rFonts w:ascii="Verdana" w:hAnsi="Verdana" w:cs="Times New Roman"/>
          <w:i/>
          <w:sz w:val="20"/>
          <w:szCs w:val="20"/>
        </w:rPr>
        <w:t>exceptio</w:t>
      </w:r>
      <w:proofErr w:type="spellEnd"/>
      <w:r w:rsidRPr="00D86945">
        <w:rPr>
          <w:rFonts w:ascii="Verdana" w:hAnsi="Verdana" w:cs="Times New Roman"/>
          <w:i/>
          <w:sz w:val="20"/>
          <w:szCs w:val="20"/>
        </w:rPr>
        <w:t xml:space="preserve"> </w:t>
      </w:r>
      <w:proofErr w:type="spellStart"/>
      <w:r w:rsidRPr="00D86945">
        <w:rPr>
          <w:rFonts w:ascii="Verdana" w:hAnsi="Verdana" w:cs="Times New Roman"/>
          <w:i/>
          <w:sz w:val="20"/>
          <w:szCs w:val="20"/>
        </w:rPr>
        <w:t>veritatis</w:t>
      </w:r>
      <w:proofErr w:type="spellEnd"/>
      <w:r w:rsidRPr="00D86945">
        <w:rPr>
          <w:rFonts w:ascii="Verdana" w:hAnsi="Verdana" w:cs="Times New Roman"/>
          <w:sz w:val="20"/>
          <w:szCs w:val="20"/>
        </w:rPr>
        <w:t xml:space="preserve"> invocada por el querellado debía ser desechada porque éste no logró probar la veracidad de los hechos atribuidos por diversos periódicos europeos al señor Félix </w:t>
      </w:r>
      <w:proofErr w:type="spellStart"/>
      <w:r w:rsidRPr="00D86945">
        <w:rPr>
          <w:rFonts w:ascii="Verdana" w:hAnsi="Verdana" w:cs="Times New Roman"/>
          <w:sz w:val="20"/>
          <w:szCs w:val="20"/>
        </w:rPr>
        <w:t>Przedborski</w:t>
      </w:r>
      <w:proofErr w:type="spellEnd"/>
      <w:r w:rsidRPr="00D86945">
        <w:rPr>
          <w:rFonts w:ascii="Verdana" w:hAnsi="Verdana" w:cs="Times New Roman"/>
          <w:sz w:val="20"/>
          <w:szCs w:val="20"/>
        </w:rPr>
        <w:t xml:space="preserve">, sino que sólo pudo demostrar que “el querellante fue cuestionado a nivel periodístico en Europa”. Esto significa que el juzgador no aceptó la excepción mencionada porque el periodista no había probado la veracidad de los hechos de que daban cuenta las publicaciones europeas; exigencia que entraña una limitación excesiva a la libertad de expresión, de manera inconsecuente con lo previsto en el artículo 13.2 de la Convención. </w:t>
      </w:r>
    </w:p>
    <w:p w14:paraId="63898707" w14:textId="59FF0306"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133.</w:t>
      </w:r>
      <w:r w:rsidRPr="00D86945">
        <w:rPr>
          <w:rFonts w:ascii="Verdana" w:hAnsi="Verdana" w:cs="Times New Roman"/>
          <w:sz w:val="20"/>
          <w:szCs w:val="20"/>
        </w:rPr>
        <w:tab/>
        <w:t xml:space="preserve">El efecto de esta exigencia resultante de la sentencia conlleva una restricción incompatible con el artículo 13 de la Convención Americana, toda vez que produce un efecto disuasivo, atemorizador e inhibidor sobre todos los que ejercen la profesión de periodista, lo que, a su vez, impide el debate público sobre temas de interés de la sociedad. </w:t>
      </w:r>
    </w:p>
    <w:p w14:paraId="52E285B4" w14:textId="2723EBB3"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134.</w:t>
      </w:r>
      <w:r w:rsidRPr="00D86945">
        <w:rPr>
          <w:rFonts w:ascii="Verdana" w:hAnsi="Verdana" w:cs="Times New Roman"/>
          <w:sz w:val="20"/>
          <w:szCs w:val="20"/>
        </w:rPr>
        <w:tab/>
        <w:t>A este respecto, la Corte Europea ha señalado que</w:t>
      </w:r>
    </w:p>
    <w:p w14:paraId="2E0E0FF4" w14:textId="4794828B" w:rsidR="00987FF9" w:rsidRPr="004F4FE7" w:rsidRDefault="00987FF9" w:rsidP="004F4FE7">
      <w:pPr>
        <w:spacing w:line="240" w:lineRule="auto"/>
        <w:ind w:left="1416" w:right="49"/>
        <w:jc w:val="both"/>
        <w:rPr>
          <w:rFonts w:ascii="Verdana" w:hAnsi="Verdana" w:cs="Times New Roman"/>
          <w:sz w:val="18"/>
          <w:szCs w:val="18"/>
        </w:rPr>
      </w:pPr>
      <w:r w:rsidRPr="004F4FE7">
        <w:rPr>
          <w:rFonts w:ascii="Verdana" w:hAnsi="Verdana" w:cs="Times New Roman"/>
          <w:sz w:val="18"/>
          <w:szCs w:val="18"/>
        </w:rPr>
        <w:t>El castigar a un periodista por asistir en la diseminación de las aseveraciones realizadas por otra persona amenazaría seriamente la contribución de la prensa en la discusión de temas de interés público.</w:t>
      </w:r>
    </w:p>
    <w:p w14:paraId="387BFD6C" w14:textId="77777777"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135.</w:t>
      </w:r>
      <w:r w:rsidRPr="00D86945">
        <w:rPr>
          <w:rFonts w:ascii="Verdana" w:hAnsi="Verdana" w:cs="Times New Roman"/>
          <w:sz w:val="20"/>
          <w:szCs w:val="20"/>
        </w:rPr>
        <w:tab/>
        <w:t xml:space="preserve"> Por lo expuesto, la Corte considera que el Estado violó el derecho a la libertad de pensamiento y de expresión consagrado en el artículo 13 de la Convención Americana sobre Derechos Humanos, en relación con el artículo 1.1 de dicho tratado, </w:t>
      </w:r>
      <w:r w:rsidRPr="00D86945">
        <w:rPr>
          <w:rFonts w:ascii="Verdana" w:hAnsi="Verdana" w:cs="Times New Roman"/>
          <w:sz w:val="20"/>
          <w:szCs w:val="20"/>
        </w:rPr>
        <w:lastRenderedPageBreak/>
        <w:t xml:space="preserve">en perjuicio del señor Mauricio Herrera Ulloa, dado que la restricción al ejercicio de este derecho sufrida por el mencionado periodista excede el marco contenido en dicho artículo. </w:t>
      </w:r>
    </w:p>
    <w:p w14:paraId="1755B59C" w14:textId="705C3A9F" w:rsidR="00987FF9" w:rsidRPr="00D86945" w:rsidRDefault="00987FF9" w:rsidP="004F4FE7">
      <w:pPr>
        <w:spacing w:line="240" w:lineRule="auto"/>
        <w:ind w:right="49"/>
        <w:jc w:val="both"/>
        <w:rPr>
          <w:rFonts w:ascii="Verdana" w:hAnsi="Verdana" w:cs="Times New Roman"/>
          <w:sz w:val="20"/>
          <w:szCs w:val="20"/>
          <w:lang w:val="es-CL"/>
        </w:rPr>
      </w:pPr>
      <w:r w:rsidRPr="00D86945">
        <w:rPr>
          <w:rFonts w:ascii="Verdana" w:hAnsi="Verdana" w:cs="Times New Roman"/>
          <w:b/>
          <w:sz w:val="20"/>
          <w:szCs w:val="20"/>
        </w:rPr>
        <w:t xml:space="preserve">Corte IDH. Caso Ricardo </w:t>
      </w:r>
      <w:proofErr w:type="spellStart"/>
      <w:r w:rsidRPr="00D86945">
        <w:rPr>
          <w:rFonts w:ascii="Verdana" w:hAnsi="Verdana" w:cs="Times New Roman"/>
          <w:b/>
          <w:sz w:val="20"/>
          <w:szCs w:val="20"/>
        </w:rPr>
        <w:t>Canese</w:t>
      </w:r>
      <w:proofErr w:type="spellEnd"/>
      <w:r w:rsidRPr="00D86945">
        <w:rPr>
          <w:rFonts w:ascii="Verdana" w:hAnsi="Verdana" w:cs="Times New Roman"/>
          <w:b/>
          <w:sz w:val="20"/>
          <w:szCs w:val="20"/>
        </w:rPr>
        <w:t xml:space="preserve"> Vs. Paraguay. Fondo, Reparaciones y Costas. Sentencia de 31 de agosto de 2004. Serie C No. 111</w:t>
      </w:r>
      <w:r w:rsidRPr="00D86945">
        <w:rPr>
          <w:rFonts w:ascii="Verdana" w:hAnsi="Verdana" w:cs="Times New Roman"/>
          <w:sz w:val="20"/>
          <w:szCs w:val="20"/>
        </w:rPr>
        <w:t>.</w:t>
      </w:r>
    </w:p>
    <w:p w14:paraId="5D89108E" w14:textId="1D41CEAA" w:rsidR="00987FF9" w:rsidRPr="00D86945" w:rsidRDefault="00987FF9" w:rsidP="004F4FE7">
      <w:pPr>
        <w:pStyle w:val="Textoindependiente20"/>
        <w:spacing w:line="240" w:lineRule="auto"/>
        <w:ind w:right="49"/>
        <w:jc w:val="both"/>
        <w:rPr>
          <w:rFonts w:ascii="Verdana" w:hAnsi="Verdana" w:cs="Times New Roman"/>
          <w:sz w:val="20"/>
          <w:szCs w:val="20"/>
        </w:rPr>
      </w:pPr>
      <w:r w:rsidRPr="00D86945">
        <w:rPr>
          <w:rFonts w:ascii="Verdana" w:hAnsi="Verdana" w:cs="Times New Roman"/>
          <w:sz w:val="20"/>
          <w:szCs w:val="20"/>
        </w:rPr>
        <w:t>88.</w:t>
      </w:r>
      <w:r w:rsidRPr="00D86945">
        <w:rPr>
          <w:rFonts w:ascii="Verdana" w:hAnsi="Verdana" w:cs="Times New Roman"/>
          <w:sz w:val="20"/>
          <w:szCs w:val="20"/>
        </w:rPr>
        <w:tab/>
        <w:t>La Corte considera importante resaltar que, en el marco de una campaña electoral, la libertad de pensamiento y de expresión en sus dos dimensiones constituye un bastión fundamental para el debate durante el proceso electoral, debido a que se transforma en una herramienta esencial para la formación de la opinión pública de los electores, fortalece la contienda política entre los distintos candidatos y partidos que participan en los comicios y se transforma en un auténtico instrumento de análisis de las plataformas políticas planteadas por los distintos candidatos, lo cual permite una mayor transparencia y fiscalización de las futuras autoridades y de su gestión.</w:t>
      </w:r>
    </w:p>
    <w:p w14:paraId="1B2C995F" w14:textId="00A20EA0" w:rsidR="00987FF9" w:rsidRPr="00D86945" w:rsidRDefault="00987FF9" w:rsidP="004F4FE7">
      <w:pPr>
        <w:pStyle w:val="JuPara"/>
        <w:spacing w:line="240" w:lineRule="auto"/>
        <w:ind w:right="49" w:firstLine="0"/>
        <w:rPr>
          <w:rFonts w:ascii="Verdana" w:hAnsi="Verdana"/>
          <w:sz w:val="20"/>
          <w:lang w:val="es-ES_tradnl"/>
        </w:rPr>
      </w:pPr>
      <w:r w:rsidRPr="00D86945">
        <w:rPr>
          <w:rFonts w:ascii="Verdana" w:hAnsi="Verdana"/>
          <w:sz w:val="20"/>
          <w:lang w:val="es-ES_tradnl"/>
        </w:rPr>
        <w:t>89.</w:t>
      </w:r>
      <w:r w:rsidRPr="00D86945">
        <w:rPr>
          <w:rFonts w:ascii="Verdana" w:hAnsi="Verdana"/>
          <w:sz w:val="20"/>
          <w:lang w:val="es-ES_tradnl"/>
        </w:rPr>
        <w:tab/>
        <w:t>Al respecto, la Corte Europea ha expresado que:</w:t>
      </w:r>
    </w:p>
    <w:p w14:paraId="612904A5" w14:textId="6F90BD64" w:rsidR="00987FF9" w:rsidRPr="004F4FE7" w:rsidRDefault="00987FF9" w:rsidP="004F4FE7">
      <w:pPr>
        <w:pStyle w:val="JuPara"/>
        <w:spacing w:line="240" w:lineRule="auto"/>
        <w:ind w:left="1416" w:right="49" w:firstLine="0"/>
        <w:rPr>
          <w:rFonts w:ascii="Verdana" w:hAnsi="Verdana"/>
          <w:sz w:val="18"/>
          <w:szCs w:val="18"/>
          <w:lang w:val="es-ES_tradnl"/>
        </w:rPr>
      </w:pPr>
      <w:r w:rsidRPr="004F4FE7">
        <w:rPr>
          <w:rFonts w:ascii="Verdana" w:hAnsi="Verdana"/>
          <w:sz w:val="18"/>
          <w:szCs w:val="18"/>
          <w:lang w:val="es-ES_tradnl"/>
        </w:rPr>
        <w:t xml:space="preserve">La libertad de expresión, preciosa para todos, es particularmente importante para los partidos políticos y sus miembros activos </w:t>
      </w:r>
      <w:r w:rsidR="005E0C2B">
        <w:rPr>
          <w:rFonts w:ascii="Verdana" w:hAnsi="Verdana"/>
          <w:sz w:val="18"/>
          <w:szCs w:val="18"/>
          <w:lang w:val="es-ES_tradnl"/>
        </w:rPr>
        <w:t>[...]</w:t>
      </w:r>
      <w:r w:rsidRPr="004F4FE7">
        <w:rPr>
          <w:rFonts w:ascii="Verdana" w:hAnsi="Verdana"/>
          <w:sz w:val="18"/>
          <w:szCs w:val="18"/>
          <w:lang w:val="es-ES_tradnl"/>
        </w:rPr>
        <w:t>. Ellos representan a su electorado, llaman la atención sobre sus preocupaciones y defienden sus intereses.</w:t>
      </w:r>
      <w:r w:rsidR="00D35646" w:rsidRPr="004F4FE7">
        <w:rPr>
          <w:rFonts w:ascii="Verdana" w:hAnsi="Verdana"/>
          <w:sz w:val="18"/>
          <w:szCs w:val="18"/>
          <w:lang w:val="es-ES_tradnl"/>
        </w:rPr>
        <w:t xml:space="preserve"> </w:t>
      </w:r>
      <w:r w:rsidRPr="004F4FE7">
        <w:rPr>
          <w:rFonts w:ascii="Verdana" w:hAnsi="Verdana"/>
          <w:sz w:val="18"/>
          <w:szCs w:val="18"/>
          <w:lang w:val="es-ES_tradnl"/>
        </w:rPr>
        <w:t>Por lo tanto, las interferencias a la libertad de expresión de un político miembro de un partido de oposición, como el solicitante, deben ser cuidadosamente examinadas por la Corte.</w:t>
      </w:r>
    </w:p>
    <w:p w14:paraId="1AA87FDD" w14:textId="00FF425F" w:rsidR="00987FF9" w:rsidRPr="00D86945" w:rsidRDefault="00987FF9" w:rsidP="004F4FE7">
      <w:pPr>
        <w:pStyle w:val="JuPara"/>
        <w:spacing w:line="240" w:lineRule="auto"/>
        <w:ind w:right="49" w:firstLine="0"/>
        <w:rPr>
          <w:rFonts w:ascii="Verdana" w:hAnsi="Verdana"/>
          <w:sz w:val="20"/>
          <w:lang w:val="es-ES_tradnl"/>
        </w:rPr>
      </w:pPr>
      <w:r w:rsidRPr="00D86945">
        <w:rPr>
          <w:rFonts w:ascii="Verdana" w:hAnsi="Verdana"/>
          <w:sz w:val="20"/>
          <w:lang w:val="es-ES_tradnl"/>
        </w:rPr>
        <w:t>90.</w:t>
      </w:r>
      <w:r w:rsidRPr="00D86945">
        <w:rPr>
          <w:rFonts w:ascii="Verdana" w:hAnsi="Verdana"/>
          <w:sz w:val="20"/>
          <w:lang w:val="es-ES_tradnl"/>
        </w:rPr>
        <w:tab/>
        <w:t>El Tribunal considera indispensable que se proteja y garantice el ejercicio de la libertad de expresión en el debate político que precede a las elecciones de las autoridades estatales que gobernarán un Estado. La formación de la voluntad colectiva mediante el ejercicio del sufragio individual se nutre de las diferentes opciones que presentan los partidos políticos a través de los candidatos que los representan.</w:t>
      </w:r>
      <w:r w:rsidR="00D35646" w:rsidRPr="00D86945">
        <w:rPr>
          <w:rFonts w:ascii="Verdana" w:hAnsi="Verdana"/>
          <w:sz w:val="20"/>
          <w:lang w:val="es-ES_tradnl"/>
        </w:rPr>
        <w:t xml:space="preserve"> </w:t>
      </w:r>
      <w:r w:rsidRPr="00D86945">
        <w:rPr>
          <w:rFonts w:ascii="Verdana" w:hAnsi="Verdana"/>
          <w:sz w:val="20"/>
          <w:lang w:val="es-ES_tradnl"/>
        </w:rPr>
        <w:t>El debate democrático implica que se permita la circulación libre de ideas e información respecto de los candidatos y sus partidos políticos por parte de los medios de comunicación, de los propios candidatos y de cualquier persona que desee expresar su opinión o brindar información.</w:t>
      </w:r>
      <w:r w:rsidR="00D35646" w:rsidRPr="00D86945">
        <w:rPr>
          <w:rFonts w:ascii="Verdana" w:hAnsi="Verdana"/>
          <w:sz w:val="20"/>
          <w:lang w:val="es-ES_tradnl"/>
        </w:rPr>
        <w:t xml:space="preserve"> </w:t>
      </w:r>
      <w:r w:rsidRPr="00D86945">
        <w:rPr>
          <w:rFonts w:ascii="Verdana" w:hAnsi="Verdana"/>
          <w:sz w:val="20"/>
          <w:lang w:val="es-ES_tradnl"/>
        </w:rPr>
        <w:t>Es preciso que todos puedan cuestionar e indagar sobre la capacidad e idoneidad de los candidatos, así como disentir y confrontar sus propuestas, ideas y opiniones de manera que los electores puedan formar su criterio para votar.</w:t>
      </w:r>
      <w:r w:rsidR="00D35646" w:rsidRPr="00D86945">
        <w:rPr>
          <w:rFonts w:ascii="Verdana" w:hAnsi="Verdana"/>
          <w:sz w:val="20"/>
          <w:lang w:val="es-ES_tradnl"/>
        </w:rPr>
        <w:t xml:space="preserve"> </w:t>
      </w:r>
      <w:r w:rsidRPr="00D86945">
        <w:rPr>
          <w:rFonts w:ascii="Verdana" w:hAnsi="Verdana"/>
          <w:sz w:val="20"/>
          <w:lang w:val="es-ES_tradnl"/>
        </w:rPr>
        <w:t>En este sentido, el ejercicio de los derechos políticos y la libertad de pensamiento y de expresión se encuentran íntimamente ligados y se fortalecen entre sí.</w:t>
      </w:r>
      <w:r w:rsidR="00D35646" w:rsidRPr="00D86945">
        <w:rPr>
          <w:rFonts w:ascii="Verdana" w:hAnsi="Verdana"/>
          <w:sz w:val="20"/>
          <w:lang w:val="es-ES_tradnl"/>
        </w:rPr>
        <w:t xml:space="preserve"> </w:t>
      </w:r>
      <w:r w:rsidRPr="00D86945">
        <w:rPr>
          <w:rFonts w:ascii="Verdana" w:hAnsi="Verdana"/>
          <w:sz w:val="20"/>
          <w:lang w:val="es-ES_tradnl"/>
        </w:rPr>
        <w:t>Al respecto, la Corte Europea ha establecido que:</w:t>
      </w:r>
    </w:p>
    <w:p w14:paraId="14407C59" w14:textId="35118561" w:rsidR="00987FF9" w:rsidRPr="004F4FE7" w:rsidRDefault="00987FF9" w:rsidP="004F4FE7">
      <w:pPr>
        <w:pStyle w:val="JuPara"/>
        <w:spacing w:line="240" w:lineRule="auto"/>
        <w:ind w:left="1416" w:right="49" w:firstLine="0"/>
        <w:rPr>
          <w:rFonts w:ascii="Verdana" w:hAnsi="Verdana"/>
          <w:b/>
          <w:sz w:val="18"/>
          <w:szCs w:val="18"/>
          <w:lang w:val="es-ES_tradnl"/>
        </w:rPr>
      </w:pPr>
      <w:r w:rsidRPr="004F4FE7">
        <w:rPr>
          <w:rFonts w:ascii="Verdana" w:hAnsi="Verdana"/>
          <w:sz w:val="18"/>
          <w:szCs w:val="18"/>
          <w:lang w:val="es-ES_tradnl"/>
        </w:rPr>
        <w:t xml:space="preserve">Las elecciones libres y la libertad de expresión, particularmente la libertad de debate político, forman juntas el cimiento de cualquier sistema democrático </w:t>
      </w:r>
      <w:r w:rsidR="005E0C2B">
        <w:rPr>
          <w:rFonts w:ascii="Verdana" w:hAnsi="Verdana"/>
          <w:sz w:val="18"/>
          <w:szCs w:val="18"/>
          <w:lang w:val="es-ES_tradnl"/>
        </w:rPr>
        <w:t>[...]</w:t>
      </w:r>
      <w:r w:rsidRPr="004F4FE7">
        <w:rPr>
          <w:rFonts w:ascii="Verdana" w:hAnsi="Verdana"/>
          <w:sz w:val="18"/>
          <w:szCs w:val="18"/>
          <w:lang w:val="es-ES_tradnl"/>
        </w:rPr>
        <w:t>.</w:t>
      </w:r>
      <w:r w:rsidR="00D35646" w:rsidRPr="004F4FE7">
        <w:rPr>
          <w:rFonts w:ascii="Verdana" w:hAnsi="Verdana"/>
          <w:sz w:val="18"/>
          <w:szCs w:val="18"/>
          <w:lang w:val="es-ES_tradnl"/>
        </w:rPr>
        <w:t xml:space="preserve"> </w:t>
      </w:r>
      <w:r w:rsidRPr="004F4FE7">
        <w:rPr>
          <w:rFonts w:ascii="Verdana" w:hAnsi="Verdana"/>
          <w:sz w:val="18"/>
          <w:szCs w:val="18"/>
          <w:lang w:val="es-ES_tradnl"/>
        </w:rPr>
        <w:t xml:space="preserve">Los dos derechos están interrelacionados y se refuerzan el uno al otro: por ejemplo, como ha indicado la Corte en el pasado, la libertad de expresión es una de las “condiciones” necesarias para “asegurar la libre expresión de opinión del pueblo en la elección del cuerpo legislativo” </w:t>
      </w:r>
      <w:r w:rsidR="005E0C2B">
        <w:rPr>
          <w:rFonts w:ascii="Verdana" w:hAnsi="Verdana"/>
          <w:sz w:val="18"/>
          <w:szCs w:val="18"/>
          <w:lang w:val="es-ES_tradnl"/>
        </w:rPr>
        <w:t>[...]</w:t>
      </w:r>
      <w:r w:rsidRPr="004F4FE7">
        <w:rPr>
          <w:rFonts w:ascii="Verdana" w:hAnsi="Verdana"/>
          <w:sz w:val="18"/>
          <w:szCs w:val="18"/>
          <w:lang w:val="es-ES_tradnl"/>
        </w:rPr>
        <w:t>.</w:t>
      </w:r>
      <w:r w:rsidR="00D35646" w:rsidRPr="004F4FE7">
        <w:rPr>
          <w:rFonts w:ascii="Verdana" w:hAnsi="Verdana"/>
          <w:sz w:val="18"/>
          <w:szCs w:val="18"/>
          <w:lang w:val="es-ES_tradnl"/>
        </w:rPr>
        <w:t xml:space="preserve"> </w:t>
      </w:r>
      <w:r w:rsidRPr="004F4FE7">
        <w:rPr>
          <w:rFonts w:ascii="Verdana" w:hAnsi="Verdana"/>
          <w:sz w:val="18"/>
          <w:szCs w:val="18"/>
          <w:lang w:val="es-ES_tradnl"/>
        </w:rPr>
        <w:t xml:space="preserve">Por esta razón[,] es particularmente importante que las opiniones y la información de toda clase puedan circular libremente en el período que antecede a las elecciones. </w:t>
      </w:r>
    </w:p>
    <w:p w14:paraId="57B71146" w14:textId="597C16E0" w:rsidR="00987FF9" w:rsidRPr="00D86945" w:rsidRDefault="00987FF9" w:rsidP="004F4FE7">
      <w:pPr>
        <w:pStyle w:val="JuPara"/>
        <w:spacing w:line="240" w:lineRule="auto"/>
        <w:ind w:right="49" w:firstLine="0"/>
        <w:rPr>
          <w:rFonts w:ascii="Verdana" w:hAnsi="Verdana"/>
          <w:sz w:val="20"/>
          <w:lang w:val="es-ES_tradnl"/>
        </w:rPr>
      </w:pPr>
      <w:r w:rsidRPr="00D86945">
        <w:rPr>
          <w:rFonts w:ascii="Verdana" w:hAnsi="Verdana"/>
          <w:sz w:val="20"/>
          <w:lang w:val="es-ES_tradnl"/>
        </w:rPr>
        <w:t>98.</w:t>
      </w:r>
      <w:r w:rsidRPr="00D86945">
        <w:rPr>
          <w:rFonts w:ascii="Verdana" w:hAnsi="Verdana"/>
          <w:sz w:val="20"/>
          <w:lang w:val="es-ES_tradnl"/>
        </w:rPr>
        <w:tab/>
        <w:t>El Tribunal ha establecido que es lógico y apropiado que las expresiones concernientes a funcionarios públicos o a otras personas que ejercen funciones de una naturaleza pública deben gozar, en los términos del artículo 13.2 de la Convención, de un margen de apertura a un debate amplio respecto de asuntos de interés público, el cual es esencial para el funcionamiento de un sistema verdaderamente democrático.</w:t>
      </w:r>
      <w:r w:rsidR="00D35646" w:rsidRPr="00D86945">
        <w:rPr>
          <w:rFonts w:ascii="Verdana" w:hAnsi="Verdana"/>
          <w:b/>
          <w:sz w:val="20"/>
          <w:lang w:val="es-ES_tradnl"/>
        </w:rPr>
        <w:t xml:space="preserve"> </w:t>
      </w:r>
      <w:r w:rsidRPr="00D86945">
        <w:rPr>
          <w:rFonts w:ascii="Verdana" w:hAnsi="Verdana"/>
          <w:sz w:val="20"/>
          <w:lang w:val="es-ES_tradnl"/>
        </w:rPr>
        <w:t xml:space="preserve">Este mismo criterio se aplica respecto de las opiniones o declaraciones de interés público que se viertan en relación con una persona que se postula como candidato a la Presidencia de la República, la cual se somete voluntariamente al escrutinio público, así como respecto de asuntos de interés público en los cuales la sociedad tiene un legítimo interés de mantenerse informada, </w:t>
      </w:r>
      <w:r w:rsidRPr="00D86945">
        <w:rPr>
          <w:rFonts w:ascii="Verdana" w:hAnsi="Verdana"/>
          <w:sz w:val="20"/>
          <w:lang w:val="es-ES_tradnl"/>
        </w:rPr>
        <w:lastRenderedPageBreak/>
        <w:t xml:space="preserve">de conocer lo que incide sobre el funcionamiento del Estado, afecta intereses o derechos generales, o le acarrea consecuencias importantes. Como ha quedado establecido, no hay duda de que las declaraciones que hiciera el señor </w:t>
      </w:r>
      <w:proofErr w:type="spellStart"/>
      <w:r w:rsidRPr="00D86945">
        <w:rPr>
          <w:rFonts w:ascii="Verdana" w:hAnsi="Verdana"/>
          <w:sz w:val="20"/>
          <w:lang w:val="es-ES_tradnl"/>
        </w:rPr>
        <w:t>Canese</w:t>
      </w:r>
      <w:proofErr w:type="spellEnd"/>
      <w:r w:rsidRPr="00D86945">
        <w:rPr>
          <w:rFonts w:ascii="Verdana" w:hAnsi="Verdana"/>
          <w:sz w:val="20"/>
          <w:lang w:val="es-ES_tradnl"/>
        </w:rPr>
        <w:t xml:space="preserve"> en relación con la empresa CONEMPA atañen a asuntos de interés público </w:t>
      </w:r>
      <w:r w:rsidR="005E0C2B">
        <w:rPr>
          <w:rFonts w:ascii="Verdana" w:hAnsi="Verdana"/>
          <w:sz w:val="20"/>
          <w:lang w:val="es-ES_tradnl"/>
        </w:rPr>
        <w:t>[...]</w:t>
      </w:r>
      <w:r w:rsidRPr="00D86945">
        <w:rPr>
          <w:rFonts w:ascii="Verdana" w:hAnsi="Verdana"/>
          <w:sz w:val="20"/>
          <w:lang w:val="es-ES_tradnl"/>
        </w:rPr>
        <w:t>.</w:t>
      </w:r>
    </w:p>
    <w:p w14:paraId="7931884F" w14:textId="414E1211"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100.</w:t>
      </w:r>
      <w:r w:rsidRPr="00D86945">
        <w:rPr>
          <w:rFonts w:ascii="Verdana" w:hAnsi="Verdana" w:cs="Times New Roman"/>
          <w:sz w:val="20"/>
          <w:szCs w:val="20"/>
        </w:rPr>
        <w:tab/>
        <w:t xml:space="preserve">Las anteriores consideraciones no significan, de modo alguno, que el honor de los funcionarios públicos o de las personas públicas no deba ser jurídicamente protegido, sino que éste debe serlo de manera acorde con los principios del pluralismo democrático. Asimismo, la protección de la reputación de particulares que se encuentran inmiscuidos en actividades de interés público también se deberá realizar de conformidad con los principios del pluralismo democrático. </w:t>
      </w:r>
    </w:p>
    <w:p w14:paraId="476E7EED" w14:textId="3ADD4981" w:rsidR="00987FF9" w:rsidRPr="004F4FE7" w:rsidRDefault="00987FF9" w:rsidP="004F4FE7">
      <w:pPr>
        <w:pStyle w:val="JuPara"/>
        <w:spacing w:line="240" w:lineRule="auto"/>
        <w:ind w:right="49" w:firstLine="0"/>
        <w:rPr>
          <w:rFonts w:ascii="Verdana" w:hAnsi="Verdana"/>
          <w:sz w:val="18"/>
          <w:szCs w:val="18"/>
          <w:lang w:val="es-ES_tradnl"/>
        </w:rPr>
      </w:pPr>
      <w:r w:rsidRPr="00D86945">
        <w:rPr>
          <w:rFonts w:ascii="Verdana" w:hAnsi="Verdana"/>
          <w:sz w:val="20"/>
          <w:lang w:val="es-ES_tradnl"/>
        </w:rPr>
        <w:t>103.</w:t>
      </w:r>
      <w:r w:rsidRPr="00D86945">
        <w:rPr>
          <w:rFonts w:ascii="Verdana" w:hAnsi="Verdana"/>
          <w:sz w:val="20"/>
          <w:lang w:val="es-ES_tradnl"/>
        </w:rPr>
        <w:tab/>
        <w:t>Es así que tratándose de funcionarios públicos, de personas que ejercen funciones de una naturaleza pública y de políticos, se debe aplicar un umbral diferente de protección, el cual no se asienta en la calidad del sujeto, sino en el carácter de interés público que conllevan las actividades o actuaciones de una persona determinada.</w:t>
      </w:r>
      <w:r w:rsidR="00D35646" w:rsidRPr="00D86945">
        <w:rPr>
          <w:rFonts w:ascii="Verdana" w:hAnsi="Verdana"/>
          <w:sz w:val="20"/>
          <w:lang w:val="es-ES_tradnl"/>
        </w:rPr>
        <w:t xml:space="preserve"> </w:t>
      </w:r>
      <w:r w:rsidRPr="00D86945">
        <w:rPr>
          <w:rFonts w:ascii="Verdana" w:hAnsi="Verdana"/>
          <w:sz w:val="20"/>
          <w:lang w:val="es-ES_tradnl"/>
        </w:rPr>
        <w:t xml:space="preserve">Aquellas personas que influyen en cuestiones de interés público se han expuesto voluntariamente a un escrutinio público más exigente y, consecuentemente, </w:t>
      </w:r>
      <w:r w:rsidRPr="00D86945">
        <w:rPr>
          <w:rFonts w:ascii="Verdana" w:eastAsia="Times" w:hAnsi="Verdana"/>
          <w:sz w:val="20"/>
          <w:lang w:val="es-ES_tradnl"/>
        </w:rPr>
        <w:t xml:space="preserve">en ese ámbito </w:t>
      </w:r>
      <w:r w:rsidRPr="00D86945">
        <w:rPr>
          <w:rFonts w:ascii="Verdana" w:hAnsi="Verdana"/>
          <w:sz w:val="20"/>
          <w:lang w:val="es-ES_tradnl"/>
        </w:rPr>
        <w:t>se ven sometidos a un mayor riesgo de sufrir críticas, ya que sus actividades salen del dominio de la esfera privada para insertarse en la esfera del debate público.</w:t>
      </w:r>
      <w:r w:rsidR="00D35646" w:rsidRPr="00D86945">
        <w:rPr>
          <w:rFonts w:ascii="Verdana" w:hAnsi="Verdana"/>
          <w:sz w:val="20"/>
          <w:lang w:val="es-ES_tradnl"/>
        </w:rPr>
        <w:t xml:space="preserve"> </w:t>
      </w:r>
      <w:r w:rsidRPr="00D86945">
        <w:rPr>
          <w:rFonts w:ascii="Verdana" w:hAnsi="Verdana"/>
          <w:sz w:val="20"/>
          <w:lang w:val="es-ES_tradnl"/>
        </w:rPr>
        <w:t>En este sentido, en el marco del debate público, el margen de aceptación y tolerancia a las críticas por parte del propio Estado, de los funcionarios públicos, de los políticos e inclusive de los particulares que desarrollan actividades sometidas al escrutinio público debe ser mucho mayor que el de los particulares.</w:t>
      </w:r>
      <w:r w:rsidR="00D35646" w:rsidRPr="00D86945">
        <w:rPr>
          <w:rFonts w:ascii="Verdana" w:hAnsi="Verdana"/>
          <w:sz w:val="20"/>
          <w:lang w:val="es-ES_tradnl"/>
        </w:rPr>
        <w:t xml:space="preserve"> </w:t>
      </w:r>
      <w:r w:rsidRPr="00D86945">
        <w:rPr>
          <w:rFonts w:ascii="Verdana" w:hAnsi="Verdana"/>
          <w:sz w:val="20"/>
          <w:lang w:val="es-ES_tradnl"/>
        </w:rPr>
        <w:t xml:space="preserve">En esta hipótesis se encuentran los directivos de la empresa CONEMPA, consorcio al cual le fue encargada la ejecución de gran parte de las obras de construcción de la central hidroeléctrica de </w:t>
      </w:r>
      <w:proofErr w:type="spellStart"/>
      <w:r w:rsidRPr="00D86945">
        <w:rPr>
          <w:rFonts w:ascii="Verdana" w:hAnsi="Verdana"/>
          <w:sz w:val="20"/>
          <w:lang w:val="es-ES_tradnl"/>
        </w:rPr>
        <w:t>Itaipú</w:t>
      </w:r>
      <w:proofErr w:type="spellEnd"/>
      <w:r w:rsidRPr="00D86945">
        <w:rPr>
          <w:rFonts w:ascii="Verdana" w:hAnsi="Verdana"/>
          <w:sz w:val="20"/>
          <w:lang w:val="es-ES_tradnl"/>
        </w:rPr>
        <w:t>.</w:t>
      </w:r>
      <w:r w:rsidR="00D35646" w:rsidRPr="00D86945">
        <w:rPr>
          <w:rFonts w:ascii="Verdana" w:hAnsi="Verdana"/>
          <w:sz w:val="20"/>
          <w:lang w:val="es-ES_tradnl"/>
        </w:rPr>
        <w:t xml:space="preserve"> </w:t>
      </w:r>
      <w:r w:rsidR="00CB5D84" w:rsidRPr="00215583">
        <w:rPr>
          <w:rFonts w:ascii="Verdana" w:hAnsi="Verdana"/>
          <w:b/>
          <w:bCs/>
          <w:sz w:val="20"/>
          <w:lang w:val="es-CL"/>
        </w:rPr>
        <w:t>[</w:t>
      </w:r>
      <w:r w:rsidR="002A5747">
        <w:rPr>
          <w:rFonts w:ascii="Verdana" w:hAnsi="Verdana"/>
          <w:b/>
          <w:sz w:val="18"/>
          <w:szCs w:val="18"/>
          <w:lang w:val="es-CL"/>
        </w:rPr>
        <w:t>En similar sentido, ver entre otros:</w:t>
      </w:r>
      <w:r w:rsidRPr="004F4FE7">
        <w:rPr>
          <w:rFonts w:ascii="Verdana" w:hAnsi="Verdana"/>
          <w:sz w:val="18"/>
          <w:szCs w:val="18"/>
          <w:lang w:val="es-ES_tradnl"/>
        </w:rPr>
        <w:t xml:space="preserve"> </w:t>
      </w:r>
      <w:r w:rsidRPr="004F4FE7">
        <w:rPr>
          <w:rFonts w:ascii="Verdana" w:hAnsi="Verdana"/>
          <w:b/>
          <w:sz w:val="18"/>
          <w:szCs w:val="18"/>
          <w:lang w:val="es-ES_tradnl"/>
        </w:rPr>
        <w:t>Caso Tristán Donoso Vs. Panamá. Excepción Preliminar, Fondo, Reparaciones y Costas. Sentencia de 27 de enero de 2009. Serie C No. 193, párr.115</w:t>
      </w:r>
      <w:r w:rsidR="00CB5D84">
        <w:rPr>
          <w:rFonts w:ascii="Verdana" w:hAnsi="Verdana"/>
          <w:b/>
          <w:sz w:val="18"/>
          <w:szCs w:val="18"/>
          <w:lang w:val="es-ES_tradnl"/>
        </w:rPr>
        <w:t>]</w:t>
      </w:r>
      <w:r w:rsidRPr="004F4FE7">
        <w:rPr>
          <w:rFonts w:ascii="Verdana" w:hAnsi="Verdana"/>
          <w:b/>
          <w:sz w:val="18"/>
          <w:szCs w:val="18"/>
          <w:lang w:val="es-ES_tradnl"/>
        </w:rPr>
        <w:t>.</w:t>
      </w:r>
    </w:p>
    <w:p w14:paraId="0F8F8C3A" w14:textId="0FBEA25F"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105.</w:t>
      </w:r>
      <w:r w:rsidRPr="00D86945">
        <w:rPr>
          <w:rFonts w:ascii="Verdana" w:hAnsi="Verdana" w:cs="Times New Roman"/>
          <w:sz w:val="20"/>
          <w:szCs w:val="20"/>
        </w:rPr>
        <w:tab/>
        <w:t xml:space="preserve">El Tribunal estima que en el proceso seguido contra el señor </w:t>
      </w:r>
      <w:proofErr w:type="spellStart"/>
      <w:r w:rsidRPr="00D86945">
        <w:rPr>
          <w:rFonts w:ascii="Verdana" w:hAnsi="Verdana" w:cs="Times New Roman"/>
          <w:sz w:val="20"/>
          <w:szCs w:val="20"/>
        </w:rPr>
        <w:t>Canese</w:t>
      </w:r>
      <w:proofErr w:type="spellEnd"/>
      <w:r w:rsidRPr="00D86945">
        <w:rPr>
          <w:rFonts w:ascii="Verdana" w:hAnsi="Verdana" w:cs="Times New Roman"/>
          <w:sz w:val="20"/>
          <w:szCs w:val="20"/>
        </w:rPr>
        <w:t xml:space="preserve"> los órganos judiciales debieron tomar en consideración que aquel rindió sus declaraciones en el contexto de una campaña electoral a la Presidencia de la República y respecto de asuntos de interés público, circunstancia en la cual las opiniones y críticas se emiten de una manera más abierta, intensa y dinámica acorde con los principios del pluralismo democrático.</w:t>
      </w:r>
      <w:r w:rsidR="00D35646" w:rsidRPr="00D86945">
        <w:rPr>
          <w:rFonts w:ascii="Verdana" w:hAnsi="Verdana" w:cs="Times New Roman"/>
          <w:sz w:val="20"/>
          <w:szCs w:val="20"/>
        </w:rPr>
        <w:t xml:space="preserve"> </w:t>
      </w:r>
      <w:r w:rsidRPr="00D86945">
        <w:rPr>
          <w:rFonts w:ascii="Verdana" w:hAnsi="Verdana" w:cs="Times New Roman"/>
          <w:sz w:val="20"/>
          <w:szCs w:val="20"/>
        </w:rPr>
        <w:t>En el presente caso, el juzgador debía ponderar el respeto a los derechos o a la reputación de los demás con el valor que tiene en una sociedad democrática el debate abierto sobre temas de interés o preocupación pública.</w:t>
      </w:r>
    </w:p>
    <w:p w14:paraId="11034C76" w14:textId="1F67CA4A"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106.</w:t>
      </w:r>
      <w:r w:rsidRPr="00D86945">
        <w:rPr>
          <w:rFonts w:ascii="Verdana" w:hAnsi="Verdana" w:cs="Times New Roman"/>
          <w:sz w:val="20"/>
          <w:szCs w:val="20"/>
        </w:rPr>
        <w:tab/>
        <w:t xml:space="preserve">El proceso penal, la consecuente condena impuesta al señor </w:t>
      </w:r>
      <w:proofErr w:type="spellStart"/>
      <w:r w:rsidRPr="00D86945">
        <w:rPr>
          <w:rFonts w:ascii="Verdana" w:hAnsi="Verdana" w:cs="Times New Roman"/>
          <w:sz w:val="20"/>
          <w:szCs w:val="20"/>
        </w:rPr>
        <w:t>Canese</w:t>
      </w:r>
      <w:proofErr w:type="spellEnd"/>
      <w:r w:rsidRPr="00D86945">
        <w:rPr>
          <w:rFonts w:ascii="Verdana" w:hAnsi="Verdana" w:cs="Times New Roman"/>
          <w:sz w:val="20"/>
          <w:szCs w:val="20"/>
        </w:rPr>
        <w:t xml:space="preserve"> durante más de ocho años y la restricción para salir del país aplicada durante ocho años y casi cuatro meses, hechos que sustentan el presente caso, constituyeron una sanción innecesaria y excesiva por las declaraciones que emitió la presunta víctima en el marco de la campaña electoral, respecto de otro candidato a la Presidencia de la República y sobre asuntos de interés público; así como también limitaron el debate abierto sobre temas de interés o preocupación pública y restringieron el ejercicio de la libertad de pensamiento y de expresión del señor </w:t>
      </w:r>
      <w:proofErr w:type="spellStart"/>
      <w:r w:rsidRPr="00D86945">
        <w:rPr>
          <w:rFonts w:ascii="Verdana" w:hAnsi="Verdana" w:cs="Times New Roman"/>
          <w:sz w:val="20"/>
          <w:szCs w:val="20"/>
        </w:rPr>
        <w:t>Canese</w:t>
      </w:r>
      <w:proofErr w:type="spellEnd"/>
      <w:r w:rsidRPr="00D86945">
        <w:rPr>
          <w:rFonts w:ascii="Verdana" w:hAnsi="Verdana" w:cs="Times New Roman"/>
          <w:sz w:val="20"/>
          <w:szCs w:val="20"/>
        </w:rPr>
        <w:t xml:space="preserve"> de emitir sus opiniones durante el resto de la campaña electoral.</w:t>
      </w:r>
      <w:r w:rsidR="00D35646" w:rsidRPr="00D86945">
        <w:rPr>
          <w:rFonts w:ascii="Verdana" w:hAnsi="Verdana" w:cs="Times New Roman"/>
          <w:sz w:val="20"/>
          <w:szCs w:val="20"/>
        </w:rPr>
        <w:t xml:space="preserve"> </w:t>
      </w:r>
      <w:r w:rsidRPr="00D86945">
        <w:rPr>
          <w:rFonts w:ascii="Verdana" w:hAnsi="Verdana" w:cs="Times New Roman"/>
          <w:sz w:val="20"/>
          <w:szCs w:val="20"/>
        </w:rPr>
        <w:t>De acuerdo con las circunstancias del presente caso, no existía un interés social imperativo que justificara la sanción penal, pues se limitó desproporcionadamente la libertad de pensamiento y de expresión de la presunta víctima sin tomar en consideración que sus declaraciones se referían a cuestiones de interés público.</w:t>
      </w:r>
      <w:r w:rsidR="00D35646" w:rsidRPr="00D86945">
        <w:rPr>
          <w:rFonts w:ascii="Verdana" w:hAnsi="Verdana" w:cs="Times New Roman"/>
          <w:sz w:val="20"/>
          <w:szCs w:val="20"/>
        </w:rPr>
        <w:t xml:space="preserve"> </w:t>
      </w:r>
      <w:r w:rsidRPr="00D86945">
        <w:rPr>
          <w:rFonts w:ascii="Verdana" w:hAnsi="Verdana" w:cs="Times New Roman"/>
          <w:sz w:val="20"/>
          <w:szCs w:val="20"/>
        </w:rPr>
        <w:t xml:space="preserve">Lo anterior constituyó una restricción o limitación excesiva en una sociedad democrática al derecho a la libertad de pensamiento y de expresión del señor Ricardo </w:t>
      </w:r>
      <w:proofErr w:type="spellStart"/>
      <w:r w:rsidRPr="00D86945">
        <w:rPr>
          <w:rFonts w:ascii="Verdana" w:hAnsi="Verdana" w:cs="Times New Roman"/>
          <w:sz w:val="20"/>
          <w:szCs w:val="20"/>
        </w:rPr>
        <w:t>Canese</w:t>
      </w:r>
      <w:proofErr w:type="spellEnd"/>
      <w:r w:rsidRPr="00D86945">
        <w:rPr>
          <w:rFonts w:ascii="Verdana" w:hAnsi="Verdana" w:cs="Times New Roman"/>
          <w:sz w:val="20"/>
          <w:szCs w:val="20"/>
        </w:rPr>
        <w:t xml:space="preserve">, incompatible con el artículo 13 de la Convención Americana. </w:t>
      </w:r>
    </w:p>
    <w:p w14:paraId="469917F8" w14:textId="6BC84010"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lastRenderedPageBreak/>
        <w:t>107.</w:t>
      </w:r>
      <w:r w:rsidRPr="00D86945">
        <w:rPr>
          <w:rFonts w:ascii="Verdana" w:hAnsi="Verdana" w:cs="Times New Roman"/>
          <w:sz w:val="20"/>
          <w:szCs w:val="20"/>
        </w:rPr>
        <w:tab/>
        <w:t xml:space="preserve">Asimismo, el Tribunal considera que, en este caso, el proceso penal, la consecuente condena impuesta al señor </w:t>
      </w:r>
      <w:proofErr w:type="spellStart"/>
      <w:r w:rsidRPr="00D86945">
        <w:rPr>
          <w:rFonts w:ascii="Verdana" w:hAnsi="Verdana" w:cs="Times New Roman"/>
          <w:sz w:val="20"/>
          <w:szCs w:val="20"/>
        </w:rPr>
        <w:t>Canese</w:t>
      </w:r>
      <w:proofErr w:type="spellEnd"/>
      <w:r w:rsidRPr="00D86945">
        <w:rPr>
          <w:rFonts w:ascii="Verdana" w:hAnsi="Verdana" w:cs="Times New Roman"/>
          <w:sz w:val="20"/>
          <w:szCs w:val="20"/>
        </w:rPr>
        <w:t xml:space="preserve"> durante más de ocho años y las restricciones para salir del país durante ocho años y casi cuatro meses constituyeron medios indirectos de restricción a la libertad de pensamiento y de expresión del señor </w:t>
      </w:r>
      <w:proofErr w:type="spellStart"/>
      <w:r w:rsidRPr="00D86945">
        <w:rPr>
          <w:rFonts w:ascii="Verdana" w:hAnsi="Verdana" w:cs="Times New Roman"/>
          <w:sz w:val="20"/>
          <w:szCs w:val="20"/>
        </w:rPr>
        <w:t>Canese</w:t>
      </w:r>
      <w:proofErr w:type="spellEnd"/>
      <w:r w:rsidRPr="00D86945">
        <w:rPr>
          <w:rFonts w:ascii="Verdana" w:hAnsi="Verdana" w:cs="Times New Roman"/>
          <w:sz w:val="20"/>
          <w:szCs w:val="20"/>
        </w:rPr>
        <w:t>.</w:t>
      </w:r>
      <w:r w:rsidR="00D35646" w:rsidRPr="00D86945">
        <w:rPr>
          <w:rFonts w:ascii="Verdana" w:hAnsi="Verdana" w:cs="Times New Roman"/>
          <w:sz w:val="20"/>
          <w:szCs w:val="20"/>
        </w:rPr>
        <w:t xml:space="preserve"> </w:t>
      </w:r>
      <w:r w:rsidRPr="00D86945">
        <w:rPr>
          <w:rFonts w:ascii="Verdana" w:hAnsi="Verdana" w:cs="Times New Roman"/>
          <w:sz w:val="20"/>
          <w:szCs w:val="20"/>
        </w:rPr>
        <w:t xml:space="preserve">Al respecto, después de ser condenado penalmente, el señor </w:t>
      </w:r>
      <w:proofErr w:type="spellStart"/>
      <w:r w:rsidRPr="00D86945">
        <w:rPr>
          <w:rFonts w:ascii="Verdana" w:hAnsi="Verdana" w:cs="Times New Roman"/>
          <w:sz w:val="20"/>
          <w:szCs w:val="20"/>
        </w:rPr>
        <w:t>Canese</w:t>
      </w:r>
      <w:proofErr w:type="spellEnd"/>
      <w:r w:rsidRPr="00D86945">
        <w:rPr>
          <w:rFonts w:ascii="Verdana" w:hAnsi="Verdana" w:cs="Times New Roman"/>
          <w:sz w:val="20"/>
          <w:szCs w:val="20"/>
        </w:rPr>
        <w:t xml:space="preserve"> fue despedido del medio de comunicación en el cual trabajaba y durante un período no publicó sus artículos en ningún otro diario.</w:t>
      </w:r>
    </w:p>
    <w:p w14:paraId="331D8BF9" w14:textId="77777777"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108.</w:t>
      </w:r>
      <w:r w:rsidRPr="00D86945">
        <w:rPr>
          <w:rFonts w:ascii="Verdana" w:hAnsi="Verdana" w:cs="Times New Roman"/>
          <w:sz w:val="20"/>
          <w:szCs w:val="20"/>
        </w:rPr>
        <w:tab/>
        <w:t xml:space="preserve"> Por todo lo expuesto, la Corte considera que el Estado violó el derecho a la libertad de pensamiento y de expresión consagrado en el artículo 13 de la Convención Americana, en relación con el artículo 1.1 de dicho tratado, en perjuicio del señor Ricardo </w:t>
      </w:r>
      <w:proofErr w:type="spellStart"/>
      <w:r w:rsidRPr="00D86945">
        <w:rPr>
          <w:rFonts w:ascii="Verdana" w:hAnsi="Verdana" w:cs="Times New Roman"/>
          <w:sz w:val="20"/>
          <w:szCs w:val="20"/>
        </w:rPr>
        <w:t>Canese</w:t>
      </w:r>
      <w:proofErr w:type="spellEnd"/>
      <w:r w:rsidRPr="00D86945">
        <w:rPr>
          <w:rFonts w:ascii="Verdana" w:hAnsi="Verdana" w:cs="Times New Roman"/>
          <w:sz w:val="20"/>
          <w:szCs w:val="20"/>
        </w:rPr>
        <w:t>, dado que las restricciones al ejercicio de este derecho impuestas a éste durante aproximadamente ocho años excedieron el marco contenido en dicho artículo.</w:t>
      </w:r>
    </w:p>
    <w:p w14:paraId="17F49A67" w14:textId="0FE6462E"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t>Corte IDH. Caso Tristán Donoso Vs. Panamá. Excepción Preliminar, Fondo, Reparaciones y Costas. Sentencia de 27 de enero de 2009. Serie C No. 193.</w:t>
      </w:r>
    </w:p>
    <w:p w14:paraId="1913195D" w14:textId="4725C020"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121.</w:t>
      </w:r>
      <w:r w:rsidRPr="00D86945">
        <w:rPr>
          <w:rFonts w:ascii="Verdana" w:hAnsi="Verdana"/>
          <w:sz w:val="20"/>
          <w:szCs w:val="20"/>
        </w:rPr>
        <w:tab/>
        <w:t xml:space="preserve">En su jurisprudencia constante la Corte ha reafirmado la protección a la libertad de expresión de las opiniones o afirmaciones sobre asuntos en los cuales la sociedad tiene un legítimo interés de mantenerse informada, de conocer lo que incide sobre el funcionamiento del Estado, o afecta intereses o derechos generales, o le acarrea consecuencias importantes </w:t>
      </w:r>
      <w:r w:rsidR="005E0C2B">
        <w:rPr>
          <w:rFonts w:ascii="Verdana" w:hAnsi="Verdana"/>
          <w:sz w:val="20"/>
          <w:szCs w:val="20"/>
        </w:rPr>
        <w:t>[...]</w:t>
      </w:r>
      <w:r w:rsidRPr="00D86945">
        <w:rPr>
          <w:rFonts w:ascii="Verdana" w:hAnsi="Verdana"/>
          <w:sz w:val="20"/>
          <w:szCs w:val="20"/>
        </w:rPr>
        <w:t xml:space="preserve">. Para la Corte la forma en que un funcionario público de alta jerarquía, como lo es el Procurador General de la Nación, realiza las funciones que le han sido atribuidas por ley, en este caso la interceptación de comunicaciones telefónicas, y si las efectúa de acuerdo a lo establecido en el ordenamiento jurídico nacional, reviste el carácter de interés público. Dentro de la serie de cuestionamientos públicos que se estaban haciendo al ex Procurador por parte de varias autoridades del Estado, como el Defensor del Pueblo y el Presidente de la Corte Suprema, fue que la víctima, en conferencia de prensa, afirmó que dicho funcionario público había grabado una conversación telefónica y que la había puesto en conocimiento de la Junta Directiva del Colegio Nacional de Abogados </w:t>
      </w:r>
      <w:r w:rsidR="005E0C2B">
        <w:rPr>
          <w:rFonts w:ascii="Verdana" w:hAnsi="Verdana"/>
          <w:sz w:val="20"/>
          <w:szCs w:val="20"/>
        </w:rPr>
        <w:t>[...]</w:t>
      </w:r>
      <w:r w:rsidRPr="00D86945">
        <w:rPr>
          <w:rFonts w:ascii="Verdana" w:hAnsi="Verdana"/>
          <w:sz w:val="20"/>
          <w:szCs w:val="20"/>
        </w:rPr>
        <w:t xml:space="preserve">. La Corte considera que el señor Tristán Donoso realizó manifestaciones sobre hechos que revestían el mayor interés público en el marco de un intenso debate público sobre las atribuciones del Procurador General de la Nación para interceptar y grabar conversaciones telefónicas, debate en el que estaban inmersas, entre otras, autoridades judiciales. </w:t>
      </w:r>
    </w:p>
    <w:p w14:paraId="5B271474" w14:textId="0C7A571D"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122.</w:t>
      </w:r>
      <w:r w:rsidRPr="00D86945">
        <w:rPr>
          <w:rFonts w:ascii="Verdana" w:hAnsi="Verdana"/>
          <w:sz w:val="20"/>
          <w:szCs w:val="20"/>
        </w:rPr>
        <w:tab/>
        <w:t xml:space="preserve">Como ya se ha indicado, el derecho internacional establece que el umbral de protección al honor de un funcionario público debe permitir el más amplio control ciudadano sobre el ejercicio de sus funciones </w:t>
      </w:r>
      <w:r w:rsidR="005E0C2B">
        <w:rPr>
          <w:rFonts w:ascii="Verdana" w:hAnsi="Verdana"/>
          <w:sz w:val="20"/>
          <w:szCs w:val="20"/>
        </w:rPr>
        <w:t>[...]</w:t>
      </w:r>
      <w:r w:rsidRPr="00D86945">
        <w:rPr>
          <w:rFonts w:ascii="Verdana" w:hAnsi="Verdana"/>
          <w:sz w:val="20"/>
          <w:szCs w:val="20"/>
        </w:rPr>
        <w:t>. Esta protección al honor de manera diferenciada se explica porque el funcionario público se expone voluntariamente al escrutinio de la sociedad, lo que lo lleva a un mayor riesgo de sufrir afectaciones a su honor, así como también por la posibilidad, asociada a su condición, de tener una mayor influencia social y facilidad de acceso a los medios de comunicación para dar explicaciones o responder sobre hechos que los involucren. En el presente caso se trataba de una persona que ostentaba uno de los más altos cargos públicos en su país, Procurador General de la Nación.</w:t>
      </w:r>
      <w:r w:rsidR="00D35646" w:rsidRPr="00D86945">
        <w:rPr>
          <w:rFonts w:ascii="Verdana" w:hAnsi="Verdana"/>
          <w:sz w:val="20"/>
          <w:szCs w:val="20"/>
        </w:rPr>
        <w:t xml:space="preserve"> </w:t>
      </w:r>
    </w:p>
    <w:p w14:paraId="0CC0CA8C" w14:textId="11EF6918" w:rsidR="00987FF9" w:rsidRPr="00D86945" w:rsidRDefault="00987FF9" w:rsidP="004F4FE7">
      <w:pPr>
        <w:spacing w:line="240" w:lineRule="auto"/>
        <w:ind w:right="49"/>
        <w:jc w:val="both"/>
        <w:rPr>
          <w:rFonts w:ascii="Verdana" w:hAnsi="Verdana"/>
          <w:b/>
          <w:bCs/>
          <w:sz w:val="20"/>
          <w:szCs w:val="20"/>
          <w:lang w:val="es-CL"/>
        </w:rPr>
      </w:pPr>
      <w:r w:rsidRPr="00D86945">
        <w:rPr>
          <w:rFonts w:ascii="Verdana" w:hAnsi="Verdana"/>
          <w:b/>
          <w:bCs/>
          <w:sz w:val="20"/>
          <w:szCs w:val="20"/>
        </w:rPr>
        <w:t xml:space="preserve">Corte IDH. Caso </w:t>
      </w:r>
      <w:proofErr w:type="spellStart"/>
      <w:r w:rsidRPr="00D86945">
        <w:rPr>
          <w:rFonts w:ascii="Verdana" w:hAnsi="Verdana"/>
          <w:b/>
          <w:bCs/>
          <w:sz w:val="20"/>
          <w:szCs w:val="20"/>
        </w:rPr>
        <w:t>Fontevecchia</w:t>
      </w:r>
      <w:proofErr w:type="spellEnd"/>
      <w:r w:rsidRPr="00D86945">
        <w:rPr>
          <w:rFonts w:ascii="Verdana" w:hAnsi="Verdana"/>
          <w:b/>
          <w:bCs/>
          <w:sz w:val="20"/>
          <w:szCs w:val="20"/>
        </w:rPr>
        <w:t xml:space="preserve"> y </w:t>
      </w:r>
      <w:proofErr w:type="spellStart"/>
      <w:r w:rsidRPr="00D86945">
        <w:rPr>
          <w:rFonts w:ascii="Verdana" w:hAnsi="Verdana"/>
          <w:b/>
          <w:bCs/>
          <w:sz w:val="20"/>
          <w:szCs w:val="20"/>
        </w:rPr>
        <w:t>D`Amico</w:t>
      </w:r>
      <w:proofErr w:type="spellEnd"/>
      <w:r w:rsidRPr="00D86945">
        <w:rPr>
          <w:rFonts w:ascii="Verdana" w:hAnsi="Verdana"/>
          <w:b/>
          <w:bCs/>
          <w:sz w:val="20"/>
          <w:szCs w:val="20"/>
        </w:rPr>
        <w:t xml:space="preserve"> Vs. Argentina. Fondo, Reparaciones y Costas. Sentencia de 29 de noviembre de 2011. Serie C No. 238.</w:t>
      </w:r>
    </w:p>
    <w:p w14:paraId="4BC3AE9C" w14:textId="289F7DC9"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59.</w:t>
      </w:r>
      <w:r w:rsidRPr="00D86945">
        <w:rPr>
          <w:rFonts w:ascii="Verdana" w:hAnsi="Verdana"/>
          <w:sz w:val="20"/>
          <w:szCs w:val="20"/>
        </w:rPr>
        <w:tab/>
        <w:t xml:space="preserve">El Tribunal considera que los estándares que ha utilizado respecto a la protección de la libertad de expresión en los casos de los derechos a la honra y a la reputación son aplicables, en lo pertinente, a casos como el presente. Ambos derechos están protegidos en el mismo artículo bajo una fórmula común e involucran principios similares vinculados con el funcionamiento de una sociedad democrática. </w:t>
      </w:r>
      <w:r w:rsidRPr="00D86945">
        <w:rPr>
          <w:rFonts w:ascii="Verdana" w:hAnsi="Verdana"/>
          <w:sz w:val="20"/>
          <w:szCs w:val="20"/>
        </w:rPr>
        <w:lastRenderedPageBreak/>
        <w:t>De tal modo, dos criterios relevantes, tratándose de la difusión de información sobre eventuales aspectos de la vida privada, son: a) el diferente umbral de protección de los funcionarios públicos, más aún de aquellos que son elegidos popularmente, respecto de las figuras públicas y de los particulares, y b) el interés público de las acciones que aquellos realizan.</w:t>
      </w:r>
      <w:r w:rsidR="00D35646" w:rsidRPr="00D86945">
        <w:rPr>
          <w:rFonts w:ascii="Verdana" w:hAnsi="Verdana"/>
          <w:sz w:val="20"/>
          <w:szCs w:val="20"/>
        </w:rPr>
        <w:t xml:space="preserve"> </w:t>
      </w:r>
    </w:p>
    <w:p w14:paraId="56A61C9C" w14:textId="09A9471D"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60.</w:t>
      </w:r>
      <w:r w:rsidRPr="00D86945">
        <w:rPr>
          <w:rFonts w:ascii="Verdana" w:hAnsi="Verdana"/>
          <w:sz w:val="20"/>
          <w:szCs w:val="20"/>
        </w:rPr>
        <w:tab/>
        <w:t>El diferente umbral de protección del funcionario público se explica porque se expone voluntariamente al escrutinio de la sociedad, lo cual lo puede llevar a un mayor riesgo de sufrir afectaciones a su derecho a la vida privada. En el presente caso se trataba del funcionario público que ostentaba el más alto cargo electivo de su país, Presidente de la Nación y, por ello, estaba sujeto al mayor escrutinio social, no solo sobre sus actividades oficiales o el ejercicio de sus funciones sino también sobre aspectos que, en principio, podrían estar vinculados a su vida privada pero que revelan asuntos de interés público.</w:t>
      </w:r>
    </w:p>
    <w:p w14:paraId="2ED0CCE6" w14:textId="7F3BD0AA"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61.</w:t>
      </w:r>
      <w:r w:rsidRPr="00D86945">
        <w:rPr>
          <w:rFonts w:ascii="Verdana" w:hAnsi="Verdana"/>
          <w:sz w:val="20"/>
          <w:szCs w:val="20"/>
        </w:rPr>
        <w:tab/>
        <w:t xml:space="preserve">En cuanto al carácter de interés público, en su jurisprudencia la Corte ha reafirmado la protección a la libertad de expresión respecto de las opiniones o informaciones sobre asuntos en los cuales la sociedad tiene un legítimo interés de mantenerse informada, de conocer lo que incide sobre el funcionamiento del Estado, o afecta derechos o intereses generales o le acarrea consecuencias importantes. En el presente caso, tanto la Comisión como los representantes señalaron que, por diversos motivos, la información era de interés público y ello justificaba su difusión </w:t>
      </w:r>
      <w:r w:rsidR="005E0C2B">
        <w:rPr>
          <w:rFonts w:ascii="Verdana" w:hAnsi="Verdana"/>
          <w:sz w:val="20"/>
          <w:szCs w:val="20"/>
        </w:rPr>
        <w:t>[...]</w:t>
      </w:r>
      <w:r w:rsidRPr="00D86945">
        <w:rPr>
          <w:rFonts w:ascii="Verdana" w:hAnsi="Verdana"/>
          <w:sz w:val="20"/>
          <w:szCs w:val="20"/>
        </w:rPr>
        <w:t xml:space="preserve">. </w:t>
      </w:r>
    </w:p>
    <w:p w14:paraId="4EB9CEF3" w14:textId="000423A5"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62.</w:t>
      </w:r>
      <w:r w:rsidRPr="00D86945">
        <w:rPr>
          <w:rFonts w:ascii="Verdana" w:hAnsi="Verdana"/>
          <w:sz w:val="20"/>
          <w:szCs w:val="20"/>
        </w:rPr>
        <w:tab/>
        <w:t xml:space="preserve">La información relativa a la existencia del hijo no reconocido por el señor Menem, así como la relación de este último con el niño y con su madre constituían la causa principal y un elemento central e inseparable de los hechos publicados por la revista Noticias que informaban sobre: a) la disposición de cuantiosas sumas de dinero hacia esas personas por parte del entonces Presidente de la Nación; b) la entrega a dichas personas de regalos costosos, y c) la presunta existencia de gestiones y favores económicos y políticos al entonces esposo de la señora Meza. Dicha información se relaciona con la integridad de los funcionarios y, aún sin necesidad de determinar si se hizo uso de fondos públicos para fines personales, la disposición de sumas cuantiosas y regalos costosos por parte de un Presidente de la Nación, así como con la eventual existencia de gestiones o interferencias en una investigación judicial, son cuestiones sobre las cuales existe un legítimo interés social en conocerlas. Por ello, para este Tribunal la información difundida por la revista Noticias posee el carácter de interés público y su publicación resultó en un llamado para ejercer el control público y, en su caso, judicial respecto de aquellos hechos. </w:t>
      </w:r>
    </w:p>
    <w:p w14:paraId="4945135F" w14:textId="6B29A563"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68.</w:t>
      </w:r>
      <w:r w:rsidRPr="00D86945">
        <w:rPr>
          <w:rFonts w:ascii="Verdana" w:hAnsi="Verdana"/>
          <w:sz w:val="20"/>
          <w:szCs w:val="20"/>
        </w:rPr>
        <w:tab/>
        <w:t xml:space="preserve">El Tribunal ha concluido que el tema sobre el cual informaban los artículos que acompañaban las fotografías se referían a la máxima autoridad electiva del país y eran de interés público </w:t>
      </w:r>
      <w:r w:rsidR="005E0C2B">
        <w:rPr>
          <w:rFonts w:ascii="Verdana" w:hAnsi="Verdana"/>
          <w:sz w:val="20"/>
          <w:szCs w:val="20"/>
        </w:rPr>
        <w:t>[...]</w:t>
      </w:r>
      <w:r w:rsidRPr="00D86945">
        <w:rPr>
          <w:rFonts w:ascii="Verdana" w:hAnsi="Verdana"/>
          <w:sz w:val="20"/>
          <w:szCs w:val="20"/>
        </w:rPr>
        <w:t xml:space="preserve">. La Corte considera que las imágenes estaban fundamentalmente dirigidas a respaldar la existencia de la relación entre el señor Menem, la señora Meza y Carlos </w:t>
      </w:r>
      <w:proofErr w:type="spellStart"/>
      <w:r w:rsidRPr="00D86945">
        <w:rPr>
          <w:rFonts w:ascii="Verdana" w:hAnsi="Verdana"/>
          <w:sz w:val="20"/>
          <w:szCs w:val="20"/>
        </w:rPr>
        <w:t>Nair</w:t>
      </w:r>
      <w:proofErr w:type="spellEnd"/>
      <w:r w:rsidRPr="00D86945">
        <w:rPr>
          <w:rFonts w:ascii="Verdana" w:hAnsi="Verdana"/>
          <w:sz w:val="20"/>
          <w:szCs w:val="20"/>
        </w:rPr>
        <w:t xml:space="preserve"> Meza, apoyando la credibilidad de la nota escrita y, de tal modo, llamar la atención sobre la disposición de sumas cuantiosas y regalos costosos así como la eventual existencia de otros favores y gestiones, por parte del entonces presidente en beneficio de quienes aparecen retratados en las imágenes publicadas. De esta forma, las imágenes representan una contribución al debate de interés general y no están simplemente dirigidas a satisfacer la curiosidad del público respecto de la vida privada del presidente Menem.</w:t>
      </w:r>
    </w:p>
    <w:p w14:paraId="2A435CA1" w14:textId="52177328" w:rsidR="00987FF9" w:rsidRPr="00D86945" w:rsidRDefault="00987FF9" w:rsidP="004F4FE7">
      <w:pPr>
        <w:spacing w:line="240" w:lineRule="auto"/>
        <w:ind w:right="49"/>
        <w:jc w:val="both"/>
        <w:rPr>
          <w:rFonts w:ascii="Verdana" w:hAnsi="Verdana"/>
          <w:b/>
          <w:sz w:val="20"/>
          <w:szCs w:val="20"/>
          <w:lang w:val="es-MX"/>
        </w:rPr>
      </w:pPr>
      <w:r w:rsidRPr="00D86945">
        <w:rPr>
          <w:rFonts w:ascii="Verdana" w:hAnsi="Verdana"/>
          <w:b/>
          <w:sz w:val="20"/>
          <w:szCs w:val="20"/>
          <w:lang w:val="es-MX"/>
        </w:rPr>
        <w:t>Corte IDH. Caso Mémoli Vs. Argentina. Excepciones Preliminares, Fondo, Reparaciones y Costas. Sentencia de 22 de agosto de 2013. Serie C No. 265</w:t>
      </w:r>
      <w:r w:rsidR="00CB5D84">
        <w:rPr>
          <w:rFonts w:ascii="Verdana" w:hAnsi="Verdana"/>
          <w:b/>
          <w:sz w:val="20"/>
          <w:szCs w:val="20"/>
          <w:lang w:val="es-MX"/>
        </w:rPr>
        <w:t>.</w:t>
      </w:r>
    </w:p>
    <w:p w14:paraId="65E71A47" w14:textId="1163C65F"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145.</w:t>
      </w:r>
      <w:r w:rsidRPr="00D86945">
        <w:rPr>
          <w:rFonts w:ascii="Verdana" w:hAnsi="Verdana"/>
          <w:sz w:val="20"/>
          <w:szCs w:val="20"/>
        </w:rPr>
        <w:tab/>
        <w:t xml:space="preserve">Por otra parte, la Corte nota que un aspecto central de la controversia entre las partes lo constituye el alegado carácter de interés público o no de la información contenida en las expresiones por las cuales fueron condenados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w:t>
      </w:r>
      <w:r w:rsidRPr="00D86945">
        <w:rPr>
          <w:rFonts w:ascii="Verdana" w:hAnsi="Verdana"/>
          <w:sz w:val="20"/>
          <w:szCs w:val="20"/>
        </w:rPr>
        <w:lastRenderedPageBreak/>
        <w:t xml:space="preserve">Al respecto, la Corte estima pertinente </w:t>
      </w:r>
      <w:proofErr w:type="gramStart"/>
      <w:r w:rsidRPr="00D86945">
        <w:rPr>
          <w:rFonts w:ascii="Verdana" w:hAnsi="Verdana"/>
          <w:sz w:val="20"/>
          <w:szCs w:val="20"/>
        </w:rPr>
        <w:t>aclarar</w:t>
      </w:r>
      <w:proofErr w:type="gramEnd"/>
      <w:r w:rsidRPr="00D86945">
        <w:rPr>
          <w:rFonts w:ascii="Verdana" w:hAnsi="Verdana"/>
          <w:sz w:val="20"/>
          <w:szCs w:val="20"/>
        </w:rPr>
        <w:t xml:space="preserve"> que el artículo 13 de la Convención protege expresiones, ideas o información “de toda índole”, sean o no de interés público. No obstante, cuando dichas expresiones versan sobre temas de interés público, el juzgador debe evaluar con especial cautela la necesidad de limitar la libertad de expresión </w:t>
      </w:r>
      <w:r w:rsidR="005E0C2B">
        <w:rPr>
          <w:rFonts w:ascii="Verdana" w:hAnsi="Verdana"/>
          <w:sz w:val="20"/>
          <w:szCs w:val="20"/>
        </w:rPr>
        <w:t>[...]</w:t>
      </w:r>
      <w:r w:rsidRPr="00D86945">
        <w:rPr>
          <w:rFonts w:ascii="Verdana" w:hAnsi="Verdana"/>
          <w:sz w:val="20"/>
          <w:szCs w:val="20"/>
        </w:rPr>
        <w:t xml:space="preserve">. </w:t>
      </w:r>
    </w:p>
    <w:p w14:paraId="10BE0C35" w14:textId="251F40DD"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146.</w:t>
      </w:r>
      <w:r w:rsidRPr="00D86945">
        <w:rPr>
          <w:rFonts w:ascii="Verdana" w:hAnsi="Verdana"/>
          <w:sz w:val="20"/>
          <w:szCs w:val="20"/>
        </w:rPr>
        <w:tab/>
        <w:t>A efectos de la protección de la libertad de expresión, la Corte ha considerado de interés público aquellas opiniones o informaciones sobre asuntos en los cuales la sociedad tiene un legítimo interés de mantenerse informada, de conocer lo que incide sobre el funcionamiento del Estado, o afecta derechos o intereses generales o le acarrea consecuencias importantes</w:t>
      </w:r>
      <w:r w:rsidR="00215583">
        <w:rPr>
          <w:rFonts w:ascii="Verdana" w:hAnsi="Verdana"/>
          <w:sz w:val="20"/>
          <w:szCs w:val="20"/>
        </w:rPr>
        <w:t>.</w:t>
      </w:r>
      <w:r w:rsidRPr="00D86945">
        <w:rPr>
          <w:rFonts w:ascii="Verdana" w:hAnsi="Verdana"/>
          <w:sz w:val="20"/>
          <w:szCs w:val="20"/>
        </w:rPr>
        <w:t xml:space="preserve"> A diferencia de otros casos resueltos por esta Corte, en el presente caso las expresiones por las cuales fueron condenados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no involucraban a funcionarios o figuras públicas</w:t>
      </w:r>
      <w:r w:rsidR="00D35646" w:rsidRPr="00D86945">
        <w:rPr>
          <w:rFonts w:ascii="Verdana" w:hAnsi="Verdana"/>
          <w:sz w:val="20"/>
          <w:szCs w:val="20"/>
        </w:rPr>
        <w:t xml:space="preserve"> </w:t>
      </w:r>
      <w:r w:rsidRPr="00D86945">
        <w:rPr>
          <w:rFonts w:ascii="Verdana" w:hAnsi="Verdana"/>
          <w:sz w:val="20"/>
          <w:szCs w:val="20"/>
        </w:rPr>
        <w:t>ni versaban sobre el funcionamiento de las instituciones del Estado</w:t>
      </w:r>
      <w:r w:rsidR="00215583">
        <w:rPr>
          <w:rFonts w:ascii="Verdana" w:hAnsi="Verdana"/>
          <w:sz w:val="20"/>
          <w:szCs w:val="20"/>
        </w:rPr>
        <w:t>.</w:t>
      </w:r>
      <w:r w:rsidRPr="00D86945">
        <w:rPr>
          <w:rFonts w:ascii="Verdana" w:hAnsi="Verdana"/>
          <w:sz w:val="20"/>
          <w:szCs w:val="20"/>
        </w:rPr>
        <w:t xml:space="preserve"> Por el contrario, este Tribunal nota que las denuncias y expresiones por las cuales fueron condenados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se habrían producido en el contexto de un conflicto entre personas particulares sobre asuntos que, eventualmente, solo afectarían a los miembros de una Asociación Mutual de carácter privado, sin que conste que el contenido de dicha información tuviera una relevancia o impacto tal como para trascender a la sola Asociación y ser de notorio interés para el resto de la población de San Andrés de Giles. Por el contrario, consta en autos que la denuncia por estafa presentada por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por el “caso de los nichos” fue examinada por la justicia y que el 6 de junio de 1990 el Juez encargado de la denuncia sobreseyó la causa entendiendo, entre otras razones, que los acusados habían obrado de buena fe, sin que, para ese momento, se hubiera constatado un daño patrimonial </w:t>
      </w:r>
      <w:r w:rsidR="005E0C2B">
        <w:rPr>
          <w:rFonts w:ascii="Verdana" w:hAnsi="Verdana"/>
          <w:sz w:val="20"/>
          <w:szCs w:val="20"/>
        </w:rPr>
        <w:t>[...]</w:t>
      </w:r>
      <w:r w:rsidRPr="00D86945">
        <w:rPr>
          <w:rFonts w:ascii="Verdana" w:hAnsi="Verdana"/>
          <w:sz w:val="20"/>
          <w:szCs w:val="20"/>
        </w:rPr>
        <w:t xml:space="preserve">. Paralelamente a esa denuncia penal,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presentaron una denuncia ante el Instituto Nacional de Acción Mutual (INAM) para que se investigara a la Asociación Italiana y a su Comisión Directiva, entre otros argumentos, por la supuesta estafa cometida respecto al caso de los nichos. En junio de 1991 el Directorio del INAM emitió una resolución en la que se consideró que en el asunto de los nichos no se había cometido un delito, pero que la Asociación debía dictar un reglamento al respecto para que fuera aprobado por el INAM </w:t>
      </w:r>
      <w:r w:rsidR="005E0C2B">
        <w:rPr>
          <w:rFonts w:ascii="Verdana" w:hAnsi="Verdana"/>
          <w:sz w:val="20"/>
          <w:szCs w:val="20"/>
        </w:rPr>
        <w:t>[...]</w:t>
      </w:r>
      <w:r w:rsidRPr="00D86945">
        <w:rPr>
          <w:rFonts w:ascii="Verdana" w:hAnsi="Verdana"/>
          <w:sz w:val="20"/>
          <w:szCs w:val="20"/>
        </w:rPr>
        <w:t>.</w:t>
      </w:r>
    </w:p>
    <w:p w14:paraId="1528B3CA" w14:textId="0DFDD763" w:rsidR="00987FF9" w:rsidRDefault="00987FF9" w:rsidP="004F4FE7">
      <w:pPr>
        <w:spacing w:line="240" w:lineRule="auto"/>
        <w:ind w:right="49"/>
        <w:jc w:val="both"/>
        <w:rPr>
          <w:rFonts w:ascii="Verdana" w:hAnsi="Verdana"/>
          <w:sz w:val="20"/>
          <w:szCs w:val="20"/>
        </w:rPr>
      </w:pPr>
      <w:r w:rsidRPr="00D86945">
        <w:rPr>
          <w:rFonts w:ascii="Verdana" w:hAnsi="Verdana"/>
          <w:sz w:val="20"/>
          <w:szCs w:val="20"/>
        </w:rPr>
        <w:t>147.</w:t>
      </w:r>
      <w:r w:rsidRPr="00D86945">
        <w:rPr>
          <w:rFonts w:ascii="Verdana" w:hAnsi="Verdana"/>
          <w:sz w:val="20"/>
          <w:szCs w:val="20"/>
        </w:rPr>
        <w:tab/>
        <w:t xml:space="preserve">Por tanto, de los hechos del presente caso, no se desprende que la información contenida en las expresiones de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sea de interés público. Si bien es posible que determinada información sobre personas particulares u organizaciones privadas sea calificada como información de interés público, en el presente caso dos instancias judiciales internas analizaron y rechazaron este alegato, no considerándolo una razón suficiente para justificar las expresiones deshonrosas o </w:t>
      </w:r>
      <w:proofErr w:type="spellStart"/>
      <w:r w:rsidRPr="00D86945">
        <w:rPr>
          <w:rFonts w:ascii="Verdana" w:hAnsi="Verdana"/>
          <w:sz w:val="20"/>
          <w:szCs w:val="20"/>
        </w:rPr>
        <w:t>desacreditantes</w:t>
      </w:r>
      <w:proofErr w:type="spellEnd"/>
      <w:r w:rsidRPr="00D86945">
        <w:rPr>
          <w:rFonts w:ascii="Verdana" w:hAnsi="Verdana"/>
          <w:sz w:val="20"/>
          <w:szCs w:val="20"/>
        </w:rPr>
        <w:t xml:space="preserve"> contra la reputación de los querellantes </w:t>
      </w:r>
      <w:r w:rsidR="005E0C2B">
        <w:rPr>
          <w:rFonts w:ascii="Verdana" w:hAnsi="Verdana"/>
          <w:sz w:val="20"/>
          <w:szCs w:val="20"/>
        </w:rPr>
        <w:t>[...]</w:t>
      </w:r>
      <w:r w:rsidRPr="00D86945">
        <w:rPr>
          <w:rFonts w:ascii="Verdana" w:hAnsi="Verdana"/>
          <w:sz w:val="20"/>
          <w:szCs w:val="20"/>
        </w:rPr>
        <w:t xml:space="preserve">. Además, la Corte resalta que en el mismo sentido se pronunció un juez de la Suprema Corte de Justicia de la Provincia de Buenos Aires al descartar la aplicación de la nueva tipificación de injurias a los señores </w:t>
      </w:r>
      <w:proofErr w:type="spellStart"/>
      <w:r w:rsidRPr="00D86945">
        <w:rPr>
          <w:rFonts w:ascii="Verdana" w:hAnsi="Verdana"/>
          <w:sz w:val="20"/>
          <w:szCs w:val="20"/>
        </w:rPr>
        <w:t>Mémoli</w:t>
      </w:r>
      <w:proofErr w:type="spellEnd"/>
      <w:r w:rsidRPr="00D86945">
        <w:rPr>
          <w:rFonts w:ascii="Verdana" w:hAnsi="Verdana"/>
          <w:sz w:val="20"/>
          <w:szCs w:val="20"/>
        </w:rPr>
        <w:t xml:space="preserve"> </w:t>
      </w:r>
      <w:r w:rsidR="005E0C2B">
        <w:rPr>
          <w:rFonts w:ascii="Verdana" w:hAnsi="Verdana"/>
          <w:sz w:val="20"/>
          <w:szCs w:val="20"/>
        </w:rPr>
        <w:t>[...]</w:t>
      </w:r>
      <w:r w:rsidRPr="00D86945">
        <w:rPr>
          <w:rFonts w:ascii="Verdana" w:hAnsi="Verdana"/>
          <w:sz w:val="20"/>
          <w:szCs w:val="20"/>
        </w:rPr>
        <w:t xml:space="preserve">. Retomando las consideraciones expuestas sobre la imposibilidad de actuar como una cuarta instancia </w:t>
      </w:r>
      <w:r w:rsidR="005E0C2B">
        <w:rPr>
          <w:rFonts w:ascii="Verdana" w:hAnsi="Verdana"/>
          <w:sz w:val="20"/>
          <w:szCs w:val="20"/>
        </w:rPr>
        <w:t>[...]</w:t>
      </w:r>
      <w:r w:rsidRPr="00D86945">
        <w:rPr>
          <w:rFonts w:ascii="Verdana" w:hAnsi="Verdana"/>
          <w:sz w:val="20"/>
          <w:szCs w:val="20"/>
        </w:rPr>
        <w:t xml:space="preserve">, la Corte no encuentra justificado en un caso como el presente sustituir o dejar sin efecto la decisión de los tribunales internos en este sentido. Por lo demás, consta en autos que el asunto específico de los nichos, que </w:t>
      </w:r>
      <w:proofErr w:type="spellStart"/>
      <w:r w:rsidRPr="00D86945">
        <w:rPr>
          <w:rFonts w:ascii="Verdana" w:hAnsi="Verdana"/>
          <w:sz w:val="20"/>
          <w:szCs w:val="20"/>
        </w:rPr>
        <w:t>alegadamente</w:t>
      </w:r>
      <w:proofErr w:type="spellEnd"/>
      <w:r w:rsidRPr="00D86945">
        <w:rPr>
          <w:rFonts w:ascii="Verdana" w:hAnsi="Verdana"/>
          <w:sz w:val="20"/>
          <w:szCs w:val="20"/>
        </w:rPr>
        <w:t xml:space="preserve"> sería de “interés público”, fue examinado por la justicia en un proceso independiente, así como por la entidad supervisora de instituciones mutuales como la Sociedad Italiana. </w:t>
      </w:r>
    </w:p>
    <w:p w14:paraId="6B6BA395" w14:textId="446FA79E" w:rsidR="003444FA" w:rsidRPr="00D86945" w:rsidRDefault="003444FA" w:rsidP="003444FA">
      <w:pPr>
        <w:pStyle w:val="Ttulo2"/>
      </w:pPr>
      <w:bookmarkStart w:id="16" w:name="_Toc89691468"/>
      <w:r>
        <w:t>Relación con los derechos laborales</w:t>
      </w:r>
      <w:bookmarkEnd w:id="16"/>
      <w:r>
        <w:t xml:space="preserve"> </w:t>
      </w:r>
    </w:p>
    <w:p w14:paraId="486910EB" w14:textId="2962B457" w:rsidR="003444FA" w:rsidRPr="003444FA" w:rsidRDefault="003444FA" w:rsidP="004F4FE7">
      <w:pPr>
        <w:spacing w:line="240" w:lineRule="auto"/>
        <w:ind w:right="49"/>
        <w:jc w:val="both"/>
        <w:rPr>
          <w:rFonts w:ascii="Verdana" w:hAnsi="Verdana"/>
          <w:b/>
          <w:bCs/>
          <w:sz w:val="20"/>
          <w:szCs w:val="20"/>
          <w:lang w:val="es-ES"/>
        </w:rPr>
      </w:pPr>
      <w:r w:rsidRPr="003444FA">
        <w:rPr>
          <w:rFonts w:ascii="Verdana" w:hAnsi="Verdana"/>
          <w:b/>
          <w:bCs/>
          <w:sz w:val="20"/>
          <w:szCs w:val="20"/>
          <w:lang w:val="es-ES"/>
        </w:rPr>
        <w:t xml:space="preserve">Corte IDH. Derechos a la libertad sindical, negociación colectiva y huelga, y su relación con otros derechos, con perspectiva de género (interpretación y alcance de los artículos 13, 15, 16, 24, 25 y 26, en relación con los artículos 1.1 y 2 de la Convención Americana sobre Derechos Humanos, de los artículos 3, 6, 7 y 8 del Protocolo de San Salvador, de los artículos 2, 3, 4, 5 </w:t>
      </w:r>
      <w:r w:rsidRPr="003444FA">
        <w:rPr>
          <w:rFonts w:ascii="Verdana" w:hAnsi="Verdana"/>
          <w:b/>
          <w:bCs/>
          <w:sz w:val="20"/>
          <w:szCs w:val="20"/>
          <w:lang w:val="es-ES"/>
        </w:rPr>
        <w:lastRenderedPageBreak/>
        <w:t>y 6 de la Convención de Belem do Pará, de los artículos 34, 44 y 45 de la Carta de la Organización de los Estados Americanos, y de los artículos II, IV, XIV, XXI y XXII de la Declaración Americana de los Derechos y Deberes del Hombre). Opinión Consultiva OC-27/21 de 5 de mayo de 2021. Serie A No. 27.</w:t>
      </w:r>
      <w:r w:rsidR="00446489">
        <w:rPr>
          <w:rStyle w:val="Refdenotaalpie"/>
          <w:rFonts w:ascii="Verdana" w:hAnsi="Verdana"/>
          <w:b/>
          <w:bCs/>
          <w:sz w:val="20"/>
          <w:szCs w:val="20"/>
          <w:lang w:val="es-ES"/>
        </w:rPr>
        <w:footnoteReference w:id="28"/>
      </w:r>
      <w:r w:rsidRPr="003444FA">
        <w:rPr>
          <w:rFonts w:ascii="Verdana" w:hAnsi="Verdana"/>
          <w:b/>
          <w:bCs/>
          <w:sz w:val="20"/>
          <w:szCs w:val="20"/>
          <w:lang w:val="es-ES"/>
        </w:rPr>
        <w:t xml:space="preserve"> </w:t>
      </w:r>
    </w:p>
    <w:p w14:paraId="13883526" w14:textId="0EFAD925" w:rsidR="003444FA" w:rsidRDefault="003444FA" w:rsidP="004F4FE7">
      <w:pPr>
        <w:spacing w:line="240" w:lineRule="auto"/>
        <w:ind w:right="49"/>
        <w:jc w:val="both"/>
        <w:rPr>
          <w:rFonts w:ascii="Verdana" w:hAnsi="Verdana"/>
          <w:sz w:val="20"/>
          <w:szCs w:val="20"/>
          <w:lang w:val="es-ES"/>
        </w:rPr>
      </w:pPr>
      <w:r w:rsidRPr="003444FA">
        <w:rPr>
          <w:rFonts w:ascii="Verdana" w:hAnsi="Verdana"/>
          <w:sz w:val="20"/>
          <w:szCs w:val="20"/>
          <w:lang w:val="es-ES"/>
        </w:rPr>
        <w:t xml:space="preserve">132. Por otro lado, este Tribunal destaca la </w:t>
      </w:r>
      <w:proofErr w:type="spellStart"/>
      <w:r w:rsidRPr="003444FA">
        <w:rPr>
          <w:rFonts w:ascii="Verdana" w:hAnsi="Verdana"/>
          <w:sz w:val="20"/>
          <w:szCs w:val="20"/>
          <w:lang w:val="es-ES"/>
        </w:rPr>
        <w:t>relación</w:t>
      </w:r>
      <w:proofErr w:type="spellEnd"/>
      <w:r w:rsidRPr="003444FA">
        <w:rPr>
          <w:rFonts w:ascii="Verdana" w:hAnsi="Verdana"/>
          <w:sz w:val="20"/>
          <w:szCs w:val="20"/>
          <w:lang w:val="es-ES"/>
        </w:rPr>
        <w:t xml:space="preserve"> que existe entre la libertad de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el derecho de </w:t>
      </w:r>
      <w:proofErr w:type="spellStart"/>
      <w:r w:rsidRPr="003444FA">
        <w:rPr>
          <w:rFonts w:ascii="Verdana" w:hAnsi="Verdana"/>
          <w:sz w:val="20"/>
          <w:szCs w:val="20"/>
          <w:lang w:val="es-ES"/>
        </w:rPr>
        <w:t>reunión</w:t>
      </w:r>
      <w:proofErr w:type="spellEnd"/>
      <w:r w:rsidRPr="003444FA">
        <w:rPr>
          <w:rFonts w:ascii="Verdana" w:hAnsi="Verdana"/>
          <w:sz w:val="20"/>
          <w:szCs w:val="20"/>
          <w:lang w:val="es-ES"/>
        </w:rPr>
        <w:t xml:space="preserve"> y los derechos a la libertad sindical, la </w:t>
      </w:r>
      <w:proofErr w:type="spellStart"/>
      <w:r w:rsidRPr="003444FA">
        <w:rPr>
          <w:rFonts w:ascii="Verdana" w:hAnsi="Verdana"/>
          <w:sz w:val="20"/>
          <w:szCs w:val="20"/>
          <w:lang w:val="es-ES"/>
        </w:rPr>
        <w:t>negociación</w:t>
      </w:r>
      <w:proofErr w:type="spellEnd"/>
      <w:r w:rsidRPr="003444FA">
        <w:rPr>
          <w:rFonts w:ascii="Verdana" w:hAnsi="Verdana"/>
          <w:sz w:val="20"/>
          <w:szCs w:val="20"/>
          <w:lang w:val="es-ES"/>
        </w:rPr>
        <w:t xml:space="preserve"> colectiva y la huelga.</w:t>
      </w:r>
    </w:p>
    <w:p w14:paraId="77273A96" w14:textId="24C20D26" w:rsidR="003444FA" w:rsidRPr="003444FA" w:rsidRDefault="003444FA" w:rsidP="003444FA">
      <w:pPr>
        <w:spacing w:line="240" w:lineRule="auto"/>
        <w:ind w:right="49"/>
        <w:jc w:val="both"/>
        <w:rPr>
          <w:rFonts w:ascii="Verdana" w:hAnsi="Verdana"/>
          <w:sz w:val="20"/>
          <w:szCs w:val="20"/>
          <w:lang w:val="es-ES"/>
        </w:rPr>
      </w:pPr>
      <w:r w:rsidRPr="003444FA">
        <w:rPr>
          <w:rFonts w:ascii="Verdana" w:hAnsi="Verdana"/>
          <w:sz w:val="20"/>
          <w:szCs w:val="20"/>
          <w:lang w:val="es-ES"/>
        </w:rPr>
        <w:t xml:space="preserve">133. La jurisprudencia de la Corte ha dado un amplio contenido al derecho a la libertad de pensamiento y de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consagrado en el artículo 13 de la Convención. La Corte ha indicado que dicha norma protege el derecho de buscar, recibir y difundir ideas e informaciones de toda </w:t>
      </w:r>
      <w:proofErr w:type="spellStart"/>
      <w:r w:rsidRPr="003444FA">
        <w:rPr>
          <w:rFonts w:ascii="Verdana" w:hAnsi="Verdana"/>
          <w:sz w:val="20"/>
          <w:szCs w:val="20"/>
          <w:lang w:val="es-ES"/>
        </w:rPr>
        <w:t>índole</w:t>
      </w:r>
      <w:proofErr w:type="spellEnd"/>
      <w:r w:rsidRPr="003444FA">
        <w:rPr>
          <w:rFonts w:ascii="Verdana" w:hAnsi="Verdana"/>
          <w:sz w:val="20"/>
          <w:szCs w:val="20"/>
          <w:lang w:val="es-ES"/>
        </w:rPr>
        <w:t xml:space="preserve">, </w:t>
      </w:r>
      <w:proofErr w:type="spellStart"/>
      <w:r w:rsidRPr="003444FA">
        <w:rPr>
          <w:rFonts w:ascii="Verdana" w:hAnsi="Verdana"/>
          <w:sz w:val="20"/>
          <w:szCs w:val="20"/>
          <w:lang w:val="es-ES"/>
        </w:rPr>
        <w:t>asi</w:t>
      </w:r>
      <w:proofErr w:type="spellEnd"/>
      <w:r w:rsidRPr="003444FA">
        <w:rPr>
          <w:rFonts w:ascii="Verdana" w:hAnsi="Verdana"/>
          <w:sz w:val="20"/>
          <w:szCs w:val="20"/>
          <w:lang w:val="es-ES"/>
        </w:rPr>
        <w:t xml:space="preserve">́ como también el de recibir y conocer las informaciones e ideas difundidas por los </w:t>
      </w:r>
      <w:proofErr w:type="spellStart"/>
      <w:r w:rsidRPr="003444FA">
        <w:rPr>
          <w:rFonts w:ascii="Verdana" w:hAnsi="Verdana"/>
          <w:sz w:val="20"/>
          <w:szCs w:val="20"/>
          <w:lang w:val="es-ES"/>
        </w:rPr>
        <w:t>demás</w:t>
      </w:r>
      <w:proofErr w:type="spellEnd"/>
      <w:r w:rsidRPr="003444FA">
        <w:rPr>
          <w:rFonts w:ascii="Verdana" w:hAnsi="Verdana"/>
          <w:sz w:val="20"/>
          <w:szCs w:val="20"/>
          <w:lang w:val="es-ES"/>
        </w:rPr>
        <w:t xml:space="preserve">. Asimismo, ha </w:t>
      </w:r>
      <w:proofErr w:type="spellStart"/>
      <w:r w:rsidRPr="003444FA">
        <w:rPr>
          <w:rFonts w:ascii="Verdana" w:hAnsi="Verdana"/>
          <w:sz w:val="20"/>
          <w:szCs w:val="20"/>
          <w:lang w:val="es-ES"/>
        </w:rPr>
        <w:t>señalado</w:t>
      </w:r>
      <w:proofErr w:type="spellEnd"/>
      <w:r w:rsidRPr="003444FA">
        <w:rPr>
          <w:rFonts w:ascii="Verdana" w:hAnsi="Verdana"/>
          <w:sz w:val="20"/>
          <w:szCs w:val="20"/>
          <w:lang w:val="es-ES"/>
        </w:rPr>
        <w:t xml:space="preserve"> que la libertad de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tiene una </w:t>
      </w:r>
      <w:proofErr w:type="spellStart"/>
      <w:r w:rsidRPr="003444FA">
        <w:rPr>
          <w:rFonts w:ascii="Verdana" w:hAnsi="Verdana"/>
          <w:sz w:val="20"/>
          <w:szCs w:val="20"/>
          <w:lang w:val="es-ES"/>
        </w:rPr>
        <w:t>dimensión</w:t>
      </w:r>
      <w:proofErr w:type="spellEnd"/>
      <w:r w:rsidRPr="003444FA">
        <w:rPr>
          <w:rFonts w:ascii="Verdana" w:hAnsi="Verdana"/>
          <w:sz w:val="20"/>
          <w:szCs w:val="20"/>
          <w:lang w:val="es-ES"/>
        </w:rPr>
        <w:t xml:space="preserve"> individual y una </w:t>
      </w:r>
      <w:proofErr w:type="spellStart"/>
      <w:r w:rsidRPr="003444FA">
        <w:rPr>
          <w:rFonts w:ascii="Verdana" w:hAnsi="Verdana"/>
          <w:sz w:val="20"/>
          <w:szCs w:val="20"/>
          <w:lang w:val="es-ES"/>
        </w:rPr>
        <w:t>dimensión</w:t>
      </w:r>
      <w:proofErr w:type="spellEnd"/>
      <w:r w:rsidRPr="003444FA">
        <w:rPr>
          <w:rFonts w:ascii="Verdana" w:hAnsi="Verdana"/>
          <w:sz w:val="20"/>
          <w:szCs w:val="20"/>
          <w:lang w:val="es-ES"/>
        </w:rPr>
        <w:t xml:space="preserve"> social, de las cuales ha desprendido una serie de derechos que se encuentran protegidos en dicho artículo. Este Tribunal ha afirmado que ambas dimensiones poseen igual importancia y deben ser garantizadas plenamente en forma </w:t>
      </w:r>
      <w:proofErr w:type="spellStart"/>
      <w:r w:rsidRPr="003444FA">
        <w:rPr>
          <w:rFonts w:ascii="Verdana" w:hAnsi="Verdana"/>
          <w:sz w:val="20"/>
          <w:szCs w:val="20"/>
          <w:lang w:val="es-ES"/>
        </w:rPr>
        <w:t>simultánea</w:t>
      </w:r>
      <w:proofErr w:type="spellEnd"/>
      <w:r w:rsidRPr="003444FA">
        <w:rPr>
          <w:rFonts w:ascii="Verdana" w:hAnsi="Verdana"/>
          <w:sz w:val="20"/>
          <w:szCs w:val="20"/>
          <w:lang w:val="es-ES"/>
        </w:rPr>
        <w:t xml:space="preserve"> para dar efectividad total al derecho a la libertad de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en los </w:t>
      </w:r>
      <w:proofErr w:type="spellStart"/>
      <w:r w:rsidRPr="003444FA">
        <w:rPr>
          <w:rFonts w:ascii="Verdana" w:hAnsi="Verdana"/>
          <w:sz w:val="20"/>
          <w:szCs w:val="20"/>
          <w:lang w:val="es-ES"/>
        </w:rPr>
        <w:t>términos</w:t>
      </w:r>
      <w:proofErr w:type="spellEnd"/>
      <w:r w:rsidRPr="003444FA">
        <w:rPr>
          <w:rFonts w:ascii="Verdana" w:hAnsi="Verdana"/>
          <w:sz w:val="20"/>
          <w:szCs w:val="20"/>
          <w:lang w:val="es-ES"/>
        </w:rPr>
        <w:t xml:space="preserve"> previstos por el artículo 13 de la Convención. Para el ciudadano </w:t>
      </w:r>
      <w:proofErr w:type="spellStart"/>
      <w:r w:rsidRPr="003444FA">
        <w:rPr>
          <w:rFonts w:ascii="Verdana" w:hAnsi="Verdana"/>
          <w:sz w:val="20"/>
          <w:szCs w:val="20"/>
          <w:lang w:val="es-ES"/>
        </w:rPr>
        <w:t>común</w:t>
      </w:r>
      <w:proofErr w:type="spellEnd"/>
      <w:r w:rsidRPr="003444FA">
        <w:rPr>
          <w:rFonts w:ascii="Verdana" w:hAnsi="Verdana"/>
          <w:sz w:val="20"/>
          <w:szCs w:val="20"/>
          <w:lang w:val="es-ES"/>
        </w:rPr>
        <w:t xml:space="preserve"> tiene tanta importancia el conocimiento de la </w:t>
      </w:r>
      <w:proofErr w:type="spellStart"/>
      <w:r w:rsidRPr="003444FA">
        <w:rPr>
          <w:rFonts w:ascii="Verdana" w:hAnsi="Verdana"/>
          <w:sz w:val="20"/>
          <w:szCs w:val="20"/>
          <w:lang w:val="es-ES"/>
        </w:rPr>
        <w:t>opinión</w:t>
      </w:r>
      <w:proofErr w:type="spellEnd"/>
      <w:r w:rsidRPr="003444FA">
        <w:rPr>
          <w:rFonts w:ascii="Verdana" w:hAnsi="Verdana"/>
          <w:sz w:val="20"/>
          <w:szCs w:val="20"/>
          <w:lang w:val="es-ES"/>
        </w:rPr>
        <w:t xml:space="preserve"> ajena o de la </w:t>
      </w:r>
      <w:proofErr w:type="spellStart"/>
      <w:r w:rsidRPr="003444FA">
        <w:rPr>
          <w:rFonts w:ascii="Verdana" w:hAnsi="Verdana"/>
          <w:sz w:val="20"/>
          <w:szCs w:val="20"/>
          <w:lang w:val="es-ES"/>
        </w:rPr>
        <w:t>información</w:t>
      </w:r>
      <w:proofErr w:type="spellEnd"/>
      <w:r w:rsidRPr="003444FA">
        <w:rPr>
          <w:rFonts w:ascii="Verdana" w:hAnsi="Verdana"/>
          <w:sz w:val="20"/>
          <w:szCs w:val="20"/>
          <w:lang w:val="es-ES"/>
        </w:rPr>
        <w:t xml:space="preserve"> de que disponen otros como el derecho a difundir la propia. Es por ello </w:t>
      </w:r>
      <w:proofErr w:type="gramStart"/>
      <w:r w:rsidRPr="003444FA">
        <w:rPr>
          <w:rFonts w:ascii="Verdana" w:hAnsi="Verdana"/>
          <w:sz w:val="20"/>
          <w:szCs w:val="20"/>
          <w:lang w:val="es-ES"/>
        </w:rPr>
        <w:t>que</w:t>
      </w:r>
      <w:proofErr w:type="gramEnd"/>
      <w:r w:rsidRPr="003444FA">
        <w:rPr>
          <w:rFonts w:ascii="Verdana" w:hAnsi="Verdana"/>
          <w:sz w:val="20"/>
          <w:szCs w:val="20"/>
          <w:lang w:val="es-ES"/>
        </w:rPr>
        <w:t xml:space="preserve">, a la luz de ambas dimensiones, la libertad de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requiere, por un lado, que nadie sea arbitrariamente menoscabado o impedido de manifestar su propio pensamiento y representa, por tanto, un derecho de cada individuo; pero implica también, por otro lado, un derecho colectivo a recibir cualquier </w:t>
      </w:r>
      <w:proofErr w:type="spellStart"/>
      <w:r w:rsidRPr="003444FA">
        <w:rPr>
          <w:rFonts w:ascii="Verdana" w:hAnsi="Verdana"/>
          <w:sz w:val="20"/>
          <w:szCs w:val="20"/>
          <w:lang w:val="es-ES"/>
        </w:rPr>
        <w:t>información</w:t>
      </w:r>
      <w:proofErr w:type="spellEnd"/>
      <w:r w:rsidRPr="003444FA">
        <w:rPr>
          <w:rFonts w:ascii="Verdana" w:hAnsi="Verdana"/>
          <w:sz w:val="20"/>
          <w:szCs w:val="20"/>
          <w:lang w:val="es-ES"/>
        </w:rPr>
        <w:t xml:space="preserve"> y a conocer la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del pensamiento ajeno.</w:t>
      </w:r>
    </w:p>
    <w:p w14:paraId="36FF9038" w14:textId="1692416E" w:rsidR="003444FA" w:rsidRPr="003444FA" w:rsidRDefault="003444FA" w:rsidP="003444FA">
      <w:pPr>
        <w:spacing w:line="240" w:lineRule="auto"/>
        <w:ind w:right="49"/>
        <w:jc w:val="both"/>
        <w:rPr>
          <w:rFonts w:ascii="Verdana" w:hAnsi="Verdana"/>
          <w:sz w:val="20"/>
          <w:szCs w:val="20"/>
          <w:lang w:val="es-ES"/>
        </w:rPr>
      </w:pPr>
      <w:r w:rsidRPr="003444FA">
        <w:rPr>
          <w:rFonts w:ascii="Verdana" w:hAnsi="Verdana"/>
          <w:sz w:val="20"/>
          <w:szCs w:val="20"/>
          <w:lang w:val="es-ES"/>
        </w:rPr>
        <w:t xml:space="preserve">134. El Tribunal ha sostenido que la Convención Americana garantiza el derecho a la libertad de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a toda persona, independientemente de cualquier otra </w:t>
      </w:r>
      <w:proofErr w:type="spellStart"/>
      <w:r w:rsidRPr="003444FA">
        <w:rPr>
          <w:rFonts w:ascii="Verdana" w:hAnsi="Verdana"/>
          <w:sz w:val="20"/>
          <w:szCs w:val="20"/>
          <w:lang w:val="es-ES"/>
        </w:rPr>
        <w:t>consideración</w:t>
      </w:r>
      <w:proofErr w:type="spellEnd"/>
      <w:r w:rsidRPr="003444FA">
        <w:rPr>
          <w:rFonts w:ascii="Verdana" w:hAnsi="Verdana"/>
          <w:sz w:val="20"/>
          <w:szCs w:val="20"/>
          <w:lang w:val="es-ES"/>
        </w:rPr>
        <w:t xml:space="preserve">, por lo que no cabe restringirla a una determinada </w:t>
      </w:r>
      <w:proofErr w:type="spellStart"/>
      <w:r w:rsidRPr="003444FA">
        <w:rPr>
          <w:rFonts w:ascii="Verdana" w:hAnsi="Verdana"/>
          <w:sz w:val="20"/>
          <w:szCs w:val="20"/>
          <w:lang w:val="es-ES"/>
        </w:rPr>
        <w:t>profesión</w:t>
      </w:r>
      <w:proofErr w:type="spellEnd"/>
      <w:r w:rsidRPr="003444FA">
        <w:rPr>
          <w:rFonts w:ascii="Verdana" w:hAnsi="Verdana"/>
          <w:sz w:val="20"/>
          <w:szCs w:val="20"/>
          <w:lang w:val="es-ES"/>
        </w:rPr>
        <w:t xml:space="preserve"> o grupo de personas</w:t>
      </w:r>
      <w:r>
        <w:rPr>
          <w:rFonts w:ascii="Verdana" w:hAnsi="Verdana"/>
          <w:sz w:val="20"/>
          <w:szCs w:val="20"/>
          <w:lang w:val="es-ES"/>
        </w:rPr>
        <w:t>.</w:t>
      </w:r>
      <w:r w:rsidRPr="003444FA">
        <w:rPr>
          <w:rFonts w:ascii="Verdana" w:hAnsi="Verdana"/>
          <w:sz w:val="20"/>
          <w:szCs w:val="20"/>
          <w:lang w:val="es-ES"/>
        </w:rPr>
        <w:t xml:space="preserve"> En este sentido, la libertad de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es indispensable para la </w:t>
      </w:r>
      <w:proofErr w:type="spellStart"/>
      <w:r w:rsidRPr="003444FA">
        <w:rPr>
          <w:rFonts w:ascii="Verdana" w:hAnsi="Verdana"/>
          <w:sz w:val="20"/>
          <w:szCs w:val="20"/>
          <w:lang w:val="es-ES"/>
        </w:rPr>
        <w:t>formación</w:t>
      </w:r>
      <w:proofErr w:type="spellEnd"/>
      <w:r w:rsidRPr="003444FA">
        <w:rPr>
          <w:rFonts w:ascii="Verdana" w:hAnsi="Verdana"/>
          <w:sz w:val="20"/>
          <w:szCs w:val="20"/>
          <w:lang w:val="es-ES"/>
        </w:rPr>
        <w:t xml:space="preserve"> de la </w:t>
      </w:r>
      <w:proofErr w:type="spellStart"/>
      <w:r w:rsidRPr="003444FA">
        <w:rPr>
          <w:rFonts w:ascii="Verdana" w:hAnsi="Verdana"/>
          <w:sz w:val="20"/>
          <w:szCs w:val="20"/>
          <w:lang w:val="es-ES"/>
        </w:rPr>
        <w:t>opinión</w:t>
      </w:r>
      <w:proofErr w:type="spellEnd"/>
      <w:r w:rsidRPr="003444FA">
        <w:rPr>
          <w:rFonts w:ascii="Verdana" w:hAnsi="Verdana"/>
          <w:sz w:val="20"/>
          <w:szCs w:val="20"/>
          <w:lang w:val="es-ES"/>
        </w:rPr>
        <w:t xml:space="preserve"> </w:t>
      </w:r>
      <w:proofErr w:type="spellStart"/>
      <w:r w:rsidRPr="003444FA">
        <w:rPr>
          <w:rFonts w:ascii="Verdana" w:hAnsi="Verdana"/>
          <w:sz w:val="20"/>
          <w:szCs w:val="20"/>
          <w:lang w:val="es-ES"/>
        </w:rPr>
        <w:t>pública</w:t>
      </w:r>
      <w:proofErr w:type="spellEnd"/>
      <w:r w:rsidRPr="003444FA">
        <w:rPr>
          <w:rFonts w:ascii="Verdana" w:hAnsi="Verdana"/>
          <w:sz w:val="20"/>
          <w:szCs w:val="20"/>
          <w:lang w:val="es-ES"/>
        </w:rPr>
        <w:t xml:space="preserve"> en una sociedad </w:t>
      </w:r>
      <w:proofErr w:type="spellStart"/>
      <w:r w:rsidRPr="003444FA">
        <w:rPr>
          <w:rFonts w:ascii="Verdana" w:hAnsi="Verdana"/>
          <w:sz w:val="20"/>
          <w:szCs w:val="20"/>
          <w:lang w:val="es-ES"/>
        </w:rPr>
        <w:t>democrática</w:t>
      </w:r>
      <w:proofErr w:type="spellEnd"/>
      <w:r w:rsidRPr="003444FA">
        <w:rPr>
          <w:rFonts w:ascii="Verdana" w:hAnsi="Verdana"/>
          <w:sz w:val="20"/>
          <w:szCs w:val="20"/>
          <w:lang w:val="es-ES"/>
        </w:rPr>
        <w:t xml:space="preserve">. En el </w:t>
      </w:r>
      <w:proofErr w:type="spellStart"/>
      <w:r w:rsidRPr="003444FA">
        <w:rPr>
          <w:rFonts w:ascii="Verdana" w:hAnsi="Verdana"/>
          <w:sz w:val="20"/>
          <w:szCs w:val="20"/>
          <w:lang w:val="es-ES"/>
        </w:rPr>
        <w:t>ámbito</w:t>
      </w:r>
      <w:proofErr w:type="spellEnd"/>
      <w:r w:rsidRPr="003444FA">
        <w:rPr>
          <w:rFonts w:ascii="Verdana" w:hAnsi="Verdana"/>
          <w:sz w:val="20"/>
          <w:szCs w:val="20"/>
          <w:lang w:val="es-ES"/>
        </w:rPr>
        <w:t xml:space="preserve"> laboral, la Corte ha </w:t>
      </w:r>
      <w:proofErr w:type="spellStart"/>
      <w:r w:rsidRPr="003444FA">
        <w:rPr>
          <w:rFonts w:ascii="Verdana" w:hAnsi="Verdana"/>
          <w:sz w:val="20"/>
          <w:szCs w:val="20"/>
          <w:lang w:val="es-ES"/>
        </w:rPr>
        <w:t>señalado</w:t>
      </w:r>
      <w:proofErr w:type="spellEnd"/>
      <w:r w:rsidRPr="003444FA">
        <w:rPr>
          <w:rFonts w:ascii="Verdana" w:hAnsi="Verdana"/>
          <w:sz w:val="20"/>
          <w:szCs w:val="20"/>
          <w:lang w:val="es-ES"/>
        </w:rPr>
        <w:t xml:space="preserve"> que es </w:t>
      </w:r>
      <w:proofErr w:type="spellStart"/>
      <w:r w:rsidRPr="003444FA">
        <w:rPr>
          <w:rFonts w:ascii="Verdana" w:hAnsi="Verdana"/>
          <w:sz w:val="20"/>
          <w:szCs w:val="20"/>
          <w:lang w:val="es-ES"/>
        </w:rPr>
        <w:t>conditio</w:t>
      </w:r>
      <w:proofErr w:type="spellEnd"/>
      <w:r w:rsidRPr="003444FA">
        <w:rPr>
          <w:rFonts w:ascii="Verdana" w:hAnsi="Verdana"/>
          <w:sz w:val="20"/>
          <w:szCs w:val="20"/>
          <w:lang w:val="es-ES"/>
        </w:rPr>
        <w:t xml:space="preserve"> sine qua non para que los sindicatos y en general, quienes deseen influir sobre la colectividad puedan desarrollarse plenamente. En esta </w:t>
      </w:r>
      <w:proofErr w:type="spellStart"/>
      <w:r w:rsidRPr="003444FA">
        <w:rPr>
          <w:rFonts w:ascii="Verdana" w:hAnsi="Verdana"/>
          <w:sz w:val="20"/>
          <w:szCs w:val="20"/>
          <w:lang w:val="es-ES"/>
        </w:rPr>
        <w:t>lógica</w:t>
      </w:r>
      <w:proofErr w:type="spellEnd"/>
      <w:r w:rsidRPr="003444FA">
        <w:rPr>
          <w:rFonts w:ascii="Verdana" w:hAnsi="Verdana"/>
          <w:sz w:val="20"/>
          <w:szCs w:val="20"/>
          <w:lang w:val="es-ES"/>
        </w:rPr>
        <w:t xml:space="preserve">, la libertad de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resulta una condición necesaria para el ejercicio de organizaciones de trabajadores y trabajadoras, incluidos los sindicatos, a fin de proteger sus derechos laborales y mejorar sus condiciones e intereses </w:t>
      </w:r>
      <w:proofErr w:type="spellStart"/>
      <w:r w:rsidRPr="003444FA">
        <w:rPr>
          <w:rFonts w:ascii="Verdana" w:hAnsi="Verdana"/>
          <w:sz w:val="20"/>
          <w:szCs w:val="20"/>
          <w:lang w:val="es-ES"/>
        </w:rPr>
        <w:t>legítimos</w:t>
      </w:r>
      <w:proofErr w:type="spellEnd"/>
      <w:r w:rsidRPr="003444FA">
        <w:rPr>
          <w:rFonts w:ascii="Verdana" w:hAnsi="Verdana"/>
          <w:sz w:val="20"/>
          <w:szCs w:val="20"/>
          <w:lang w:val="es-ES"/>
        </w:rPr>
        <w:t xml:space="preserve">, puesto que sin este derecho dichas organizaciones </w:t>
      </w:r>
      <w:proofErr w:type="spellStart"/>
      <w:r w:rsidRPr="003444FA">
        <w:rPr>
          <w:rFonts w:ascii="Verdana" w:hAnsi="Verdana"/>
          <w:sz w:val="20"/>
          <w:szCs w:val="20"/>
          <w:lang w:val="es-ES"/>
        </w:rPr>
        <w:t>carecerían</w:t>
      </w:r>
      <w:proofErr w:type="spellEnd"/>
      <w:r w:rsidRPr="003444FA">
        <w:rPr>
          <w:rFonts w:ascii="Verdana" w:hAnsi="Verdana"/>
          <w:sz w:val="20"/>
          <w:szCs w:val="20"/>
          <w:lang w:val="es-ES"/>
        </w:rPr>
        <w:t xml:space="preserve"> de </w:t>
      </w:r>
      <w:r w:rsidRPr="003444FA">
        <w:rPr>
          <w:rFonts w:ascii="Verdana" w:hAnsi="Verdana"/>
          <w:sz w:val="20"/>
          <w:szCs w:val="20"/>
          <w:lang w:val="es-ES"/>
        </w:rPr>
        <w:lastRenderedPageBreak/>
        <w:t xml:space="preserve">eficacia y </w:t>
      </w:r>
      <w:proofErr w:type="spellStart"/>
      <w:r w:rsidRPr="003444FA">
        <w:rPr>
          <w:rFonts w:ascii="Verdana" w:hAnsi="Verdana"/>
          <w:sz w:val="20"/>
          <w:szCs w:val="20"/>
          <w:lang w:val="es-ES"/>
        </w:rPr>
        <w:t>razón</w:t>
      </w:r>
      <w:proofErr w:type="spellEnd"/>
      <w:r w:rsidRPr="003444FA">
        <w:rPr>
          <w:rFonts w:ascii="Verdana" w:hAnsi="Verdana"/>
          <w:sz w:val="20"/>
          <w:szCs w:val="20"/>
          <w:lang w:val="es-ES"/>
        </w:rPr>
        <w:t xml:space="preserve"> de ser. Asimismo, la Corte ha establecido que la obligación de garantizar los derechos de la Convención, presupone obligaciones positivas para el Estado, a fin de proteger los derechos inclusive en la esfera privada.</w:t>
      </w:r>
    </w:p>
    <w:p w14:paraId="1389383F" w14:textId="3DD10655" w:rsidR="003444FA" w:rsidRPr="003444FA" w:rsidRDefault="003444FA" w:rsidP="003444FA">
      <w:pPr>
        <w:spacing w:line="240" w:lineRule="auto"/>
        <w:ind w:right="49"/>
        <w:jc w:val="both"/>
        <w:rPr>
          <w:rFonts w:ascii="Verdana" w:hAnsi="Verdana"/>
          <w:sz w:val="20"/>
          <w:szCs w:val="20"/>
          <w:lang w:val="es-ES"/>
        </w:rPr>
      </w:pPr>
      <w:r w:rsidRPr="003444FA">
        <w:rPr>
          <w:rFonts w:ascii="Verdana" w:hAnsi="Verdana"/>
          <w:sz w:val="20"/>
          <w:szCs w:val="20"/>
          <w:lang w:val="es-ES"/>
        </w:rPr>
        <w:t xml:space="preserve">135. En ese sentido, la Corte ha puesto de manifiesto que la </w:t>
      </w:r>
      <w:proofErr w:type="spellStart"/>
      <w:r w:rsidRPr="003444FA">
        <w:rPr>
          <w:rFonts w:ascii="Verdana" w:hAnsi="Verdana"/>
          <w:sz w:val="20"/>
          <w:szCs w:val="20"/>
          <w:lang w:val="es-ES"/>
        </w:rPr>
        <w:t>emisión</w:t>
      </w:r>
      <w:proofErr w:type="spellEnd"/>
      <w:r w:rsidRPr="003444FA">
        <w:rPr>
          <w:rFonts w:ascii="Verdana" w:hAnsi="Verdana"/>
          <w:sz w:val="20"/>
          <w:szCs w:val="20"/>
          <w:lang w:val="es-ES"/>
        </w:rPr>
        <w:t xml:space="preserve"> de </w:t>
      </w:r>
      <w:proofErr w:type="spellStart"/>
      <w:r w:rsidRPr="003444FA">
        <w:rPr>
          <w:rFonts w:ascii="Verdana" w:hAnsi="Verdana"/>
          <w:sz w:val="20"/>
          <w:szCs w:val="20"/>
          <w:lang w:val="es-ES"/>
        </w:rPr>
        <w:t>información</w:t>
      </w:r>
      <w:proofErr w:type="spellEnd"/>
      <w:r w:rsidRPr="003444FA">
        <w:rPr>
          <w:rFonts w:ascii="Verdana" w:hAnsi="Verdana"/>
          <w:sz w:val="20"/>
          <w:szCs w:val="20"/>
          <w:lang w:val="es-ES"/>
        </w:rPr>
        <w:t xml:space="preserve"> concerniente al </w:t>
      </w:r>
      <w:proofErr w:type="spellStart"/>
      <w:r w:rsidRPr="003444FA">
        <w:rPr>
          <w:rFonts w:ascii="Verdana" w:hAnsi="Verdana"/>
          <w:sz w:val="20"/>
          <w:szCs w:val="20"/>
          <w:lang w:val="es-ES"/>
        </w:rPr>
        <w:t>ámbito</w:t>
      </w:r>
      <w:proofErr w:type="spellEnd"/>
      <w:r w:rsidRPr="003444FA">
        <w:rPr>
          <w:rFonts w:ascii="Verdana" w:hAnsi="Verdana"/>
          <w:sz w:val="20"/>
          <w:szCs w:val="20"/>
          <w:lang w:val="es-ES"/>
        </w:rPr>
        <w:t xml:space="preserve"> laboral, por lo general, posee un </w:t>
      </w:r>
      <w:proofErr w:type="spellStart"/>
      <w:r w:rsidRPr="003444FA">
        <w:rPr>
          <w:rFonts w:ascii="Verdana" w:hAnsi="Verdana"/>
          <w:sz w:val="20"/>
          <w:szCs w:val="20"/>
          <w:lang w:val="es-ES"/>
        </w:rPr>
        <w:t>interés</w:t>
      </w:r>
      <w:proofErr w:type="spellEnd"/>
      <w:r w:rsidRPr="003444FA">
        <w:rPr>
          <w:rFonts w:ascii="Verdana" w:hAnsi="Verdana"/>
          <w:sz w:val="20"/>
          <w:szCs w:val="20"/>
          <w:lang w:val="es-ES"/>
        </w:rPr>
        <w:t xml:space="preserve"> </w:t>
      </w:r>
      <w:proofErr w:type="spellStart"/>
      <w:r w:rsidRPr="003444FA">
        <w:rPr>
          <w:rFonts w:ascii="Verdana" w:hAnsi="Verdana"/>
          <w:sz w:val="20"/>
          <w:szCs w:val="20"/>
          <w:lang w:val="es-ES"/>
        </w:rPr>
        <w:t>público</w:t>
      </w:r>
      <w:proofErr w:type="spellEnd"/>
      <w:r w:rsidRPr="003444FA">
        <w:rPr>
          <w:rFonts w:ascii="Verdana" w:hAnsi="Verdana"/>
          <w:sz w:val="20"/>
          <w:szCs w:val="20"/>
          <w:lang w:val="es-ES"/>
        </w:rPr>
        <w:t xml:space="preserve"> y por lo tanto se encuentra protegida por la libertad de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Son de </w:t>
      </w:r>
      <w:proofErr w:type="spellStart"/>
      <w:r w:rsidRPr="003444FA">
        <w:rPr>
          <w:rFonts w:ascii="Verdana" w:hAnsi="Verdana"/>
          <w:sz w:val="20"/>
          <w:szCs w:val="20"/>
          <w:lang w:val="es-ES"/>
        </w:rPr>
        <w:t>interés</w:t>
      </w:r>
      <w:proofErr w:type="spellEnd"/>
      <w:r w:rsidRPr="003444FA">
        <w:rPr>
          <w:rFonts w:ascii="Verdana" w:hAnsi="Verdana"/>
          <w:sz w:val="20"/>
          <w:szCs w:val="20"/>
          <w:lang w:val="es-ES"/>
        </w:rPr>
        <w:t xml:space="preserve"> </w:t>
      </w:r>
      <w:proofErr w:type="spellStart"/>
      <w:r w:rsidRPr="003444FA">
        <w:rPr>
          <w:rFonts w:ascii="Verdana" w:hAnsi="Verdana"/>
          <w:sz w:val="20"/>
          <w:szCs w:val="20"/>
          <w:lang w:val="es-ES"/>
        </w:rPr>
        <w:t>público</w:t>
      </w:r>
      <w:proofErr w:type="spellEnd"/>
      <w:r w:rsidRPr="003444FA">
        <w:rPr>
          <w:rFonts w:ascii="Verdana" w:hAnsi="Verdana"/>
          <w:sz w:val="20"/>
          <w:szCs w:val="20"/>
          <w:lang w:val="es-ES"/>
        </w:rPr>
        <w:t xml:space="preserve"> aquellas opiniones o informaciones sobre asuntos en los cuales la sociedad tiene un </w:t>
      </w:r>
      <w:proofErr w:type="spellStart"/>
      <w:r w:rsidRPr="003444FA">
        <w:rPr>
          <w:rFonts w:ascii="Verdana" w:hAnsi="Verdana"/>
          <w:sz w:val="20"/>
          <w:szCs w:val="20"/>
          <w:lang w:val="es-ES"/>
        </w:rPr>
        <w:t>legítimo</w:t>
      </w:r>
      <w:proofErr w:type="spellEnd"/>
      <w:r w:rsidRPr="003444FA">
        <w:rPr>
          <w:rFonts w:ascii="Verdana" w:hAnsi="Verdana"/>
          <w:sz w:val="20"/>
          <w:szCs w:val="20"/>
          <w:lang w:val="es-ES"/>
        </w:rPr>
        <w:t xml:space="preserve"> </w:t>
      </w:r>
      <w:proofErr w:type="spellStart"/>
      <w:r w:rsidRPr="003444FA">
        <w:rPr>
          <w:rFonts w:ascii="Verdana" w:hAnsi="Verdana"/>
          <w:sz w:val="20"/>
          <w:szCs w:val="20"/>
          <w:lang w:val="es-ES"/>
        </w:rPr>
        <w:t>interés</w:t>
      </w:r>
      <w:proofErr w:type="spellEnd"/>
      <w:r w:rsidRPr="003444FA">
        <w:rPr>
          <w:rFonts w:ascii="Verdana" w:hAnsi="Verdana"/>
          <w:sz w:val="20"/>
          <w:szCs w:val="20"/>
          <w:lang w:val="es-ES"/>
        </w:rPr>
        <w:t xml:space="preserve"> de mantenerse informada, de conocer lo que incide sobre el funcionamiento del Estado, o afecta derechos o intereses generales o le acarrea</w:t>
      </w:r>
      <w:r>
        <w:rPr>
          <w:rFonts w:ascii="Verdana" w:hAnsi="Verdana"/>
          <w:sz w:val="20"/>
          <w:szCs w:val="20"/>
          <w:lang w:val="es-ES"/>
        </w:rPr>
        <w:t xml:space="preserve"> </w:t>
      </w:r>
      <w:r w:rsidRPr="003444FA">
        <w:rPr>
          <w:rFonts w:ascii="Verdana" w:hAnsi="Verdana"/>
          <w:sz w:val="20"/>
          <w:szCs w:val="20"/>
          <w:lang w:val="es-ES"/>
        </w:rPr>
        <w:t xml:space="preserve">consecuencias importantes. Por esta </w:t>
      </w:r>
      <w:proofErr w:type="spellStart"/>
      <w:r w:rsidRPr="003444FA">
        <w:rPr>
          <w:rFonts w:ascii="Verdana" w:hAnsi="Verdana"/>
          <w:sz w:val="20"/>
          <w:szCs w:val="20"/>
          <w:lang w:val="es-ES"/>
        </w:rPr>
        <w:t>razón</w:t>
      </w:r>
      <w:proofErr w:type="spellEnd"/>
      <w:r w:rsidRPr="003444FA">
        <w:rPr>
          <w:rFonts w:ascii="Verdana" w:hAnsi="Verdana"/>
          <w:sz w:val="20"/>
          <w:szCs w:val="20"/>
          <w:lang w:val="es-ES"/>
        </w:rPr>
        <w:t xml:space="preserve">, el </w:t>
      </w:r>
      <w:proofErr w:type="spellStart"/>
      <w:r w:rsidRPr="003444FA">
        <w:rPr>
          <w:rFonts w:ascii="Verdana" w:hAnsi="Verdana"/>
          <w:sz w:val="20"/>
          <w:szCs w:val="20"/>
          <w:lang w:val="es-ES"/>
        </w:rPr>
        <w:t>ámbito</w:t>
      </w:r>
      <w:proofErr w:type="spellEnd"/>
      <w:r w:rsidRPr="003444FA">
        <w:rPr>
          <w:rFonts w:ascii="Verdana" w:hAnsi="Verdana"/>
          <w:sz w:val="20"/>
          <w:szCs w:val="20"/>
          <w:lang w:val="es-ES"/>
        </w:rPr>
        <w:t xml:space="preserve"> de protección del derecho a la libertad de pensamiento y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resulta particularmente aplicable en contextos laborales, respecto del cual el Estado debe no </w:t>
      </w:r>
      <w:proofErr w:type="spellStart"/>
      <w:r w:rsidRPr="003444FA">
        <w:rPr>
          <w:rFonts w:ascii="Verdana" w:hAnsi="Verdana"/>
          <w:sz w:val="20"/>
          <w:szCs w:val="20"/>
          <w:lang w:val="es-ES"/>
        </w:rPr>
        <w:t>sólo</w:t>
      </w:r>
      <w:proofErr w:type="spellEnd"/>
      <w:r w:rsidRPr="003444FA">
        <w:rPr>
          <w:rFonts w:ascii="Verdana" w:hAnsi="Verdana"/>
          <w:sz w:val="20"/>
          <w:szCs w:val="20"/>
          <w:lang w:val="es-ES"/>
        </w:rPr>
        <w:t xml:space="preserve"> respetar dicho derecho sino también garantizarlo, a fin de que los trabajadores y las trabajadoras o sus representantes puedan también ejercerlo. Es por ello </w:t>
      </w:r>
      <w:proofErr w:type="gramStart"/>
      <w:r w:rsidRPr="003444FA">
        <w:rPr>
          <w:rFonts w:ascii="Verdana" w:hAnsi="Verdana"/>
          <w:sz w:val="20"/>
          <w:szCs w:val="20"/>
          <w:lang w:val="es-ES"/>
        </w:rPr>
        <w:t>que</w:t>
      </w:r>
      <w:proofErr w:type="gramEnd"/>
      <w:r w:rsidRPr="003444FA">
        <w:rPr>
          <w:rFonts w:ascii="Verdana" w:hAnsi="Verdana"/>
          <w:sz w:val="20"/>
          <w:szCs w:val="20"/>
          <w:lang w:val="es-ES"/>
        </w:rPr>
        <w:t xml:space="preserve">, en caso en que exista un </w:t>
      </w:r>
      <w:proofErr w:type="spellStart"/>
      <w:r w:rsidRPr="003444FA">
        <w:rPr>
          <w:rFonts w:ascii="Verdana" w:hAnsi="Verdana"/>
          <w:sz w:val="20"/>
          <w:szCs w:val="20"/>
          <w:lang w:val="es-ES"/>
        </w:rPr>
        <w:t>interés</w:t>
      </w:r>
      <w:proofErr w:type="spellEnd"/>
      <w:r w:rsidRPr="003444FA">
        <w:rPr>
          <w:rFonts w:ascii="Verdana" w:hAnsi="Verdana"/>
          <w:sz w:val="20"/>
          <w:szCs w:val="20"/>
          <w:lang w:val="es-ES"/>
        </w:rPr>
        <w:t xml:space="preserve"> general o </w:t>
      </w:r>
      <w:proofErr w:type="spellStart"/>
      <w:r w:rsidRPr="003444FA">
        <w:rPr>
          <w:rFonts w:ascii="Verdana" w:hAnsi="Verdana"/>
          <w:sz w:val="20"/>
          <w:szCs w:val="20"/>
          <w:lang w:val="es-ES"/>
        </w:rPr>
        <w:t>público</w:t>
      </w:r>
      <w:proofErr w:type="spellEnd"/>
      <w:r w:rsidRPr="003444FA">
        <w:rPr>
          <w:rFonts w:ascii="Verdana" w:hAnsi="Verdana"/>
          <w:sz w:val="20"/>
          <w:szCs w:val="20"/>
          <w:lang w:val="es-ES"/>
        </w:rPr>
        <w:t xml:space="preserve">, se requiere de un nivel reforzado de protección de la libertad de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y especialmente respecto de quienes ejercen un cargo de </w:t>
      </w:r>
      <w:proofErr w:type="spellStart"/>
      <w:r w:rsidRPr="003444FA">
        <w:rPr>
          <w:rFonts w:ascii="Verdana" w:hAnsi="Verdana"/>
          <w:sz w:val="20"/>
          <w:szCs w:val="20"/>
          <w:lang w:val="es-ES"/>
        </w:rPr>
        <w:t>representación</w:t>
      </w:r>
      <w:proofErr w:type="spellEnd"/>
      <w:r w:rsidRPr="003444FA">
        <w:rPr>
          <w:rFonts w:ascii="Verdana" w:hAnsi="Verdana"/>
          <w:sz w:val="20"/>
          <w:szCs w:val="20"/>
          <w:lang w:val="es-ES"/>
        </w:rPr>
        <w:t xml:space="preserve"> de los trabajadores y las trabajadoras.</w:t>
      </w:r>
    </w:p>
    <w:p w14:paraId="123F9564" w14:textId="7FCC2C70" w:rsidR="003444FA" w:rsidRPr="003444FA" w:rsidRDefault="003444FA" w:rsidP="003444FA">
      <w:pPr>
        <w:spacing w:line="240" w:lineRule="auto"/>
        <w:ind w:right="49"/>
        <w:jc w:val="both"/>
        <w:rPr>
          <w:rFonts w:ascii="Verdana" w:hAnsi="Verdana"/>
          <w:sz w:val="20"/>
          <w:szCs w:val="20"/>
          <w:lang w:val="es-ES"/>
        </w:rPr>
      </w:pPr>
      <w:r w:rsidRPr="003444FA">
        <w:rPr>
          <w:rFonts w:ascii="Verdana" w:hAnsi="Verdana"/>
          <w:sz w:val="20"/>
          <w:szCs w:val="20"/>
          <w:lang w:val="es-ES"/>
        </w:rPr>
        <w:t xml:space="preserve">136. Por otra parte, la Corte recuerda que, conforme al artículo 13 de la Convención, el derecho a la libertad de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protege el derecho de las personas de acceso a la </w:t>
      </w:r>
      <w:proofErr w:type="spellStart"/>
      <w:r w:rsidRPr="003444FA">
        <w:rPr>
          <w:rFonts w:ascii="Verdana" w:hAnsi="Verdana"/>
          <w:sz w:val="20"/>
          <w:szCs w:val="20"/>
          <w:lang w:val="es-ES"/>
        </w:rPr>
        <w:t>información</w:t>
      </w:r>
      <w:proofErr w:type="spellEnd"/>
      <w:r w:rsidRPr="003444FA">
        <w:rPr>
          <w:rFonts w:ascii="Verdana" w:hAnsi="Verdana"/>
          <w:sz w:val="20"/>
          <w:szCs w:val="20"/>
          <w:lang w:val="es-ES"/>
        </w:rPr>
        <w:t xml:space="preserve">. El derecho de las personas a obtener </w:t>
      </w:r>
      <w:proofErr w:type="spellStart"/>
      <w:r w:rsidRPr="003444FA">
        <w:rPr>
          <w:rFonts w:ascii="Verdana" w:hAnsi="Verdana"/>
          <w:sz w:val="20"/>
          <w:szCs w:val="20"/>
          <w:lang w:val="es-ES"/>
        </w:rPr>
        <w:t>información</w:t>
      </w:r>
      <w:proofErr w:type="spellEnd"/>
      <w:r w:rsidRPr="003444FA">
        <w:rPr>
          <w:rFonts w:ascii="Verdana" w:hAnsi="Verdana"/>
          <w:sz w:val="20"/>
          <w:szCs w:val="20"/>
          <w:lang w:val="es-ES"/>
        </w:rPr>
        <w:t xml:space="preserve"> se ve complementado con una correlativa obligación positiva del Estado de suministrarla, de forma tal que la persona pueda tener acceso a conocerla y valorarla. En ese sentido, el Tribunal advierte que los trabajadores y las trabajadoras deben tener acceso a toda aquella </w:t>
      </w:r>
      <w:proofErr w:type="spellStart"/>
      <w:r w:rsidRPr="003444FA">
        <w:rPr>
          <w:rFonts w:ascii="Verdana" w:hAnsi="Verdana"/>
          <w:sz w:val="20"/>
          <w:szCs w:val="20"/>
          <w:lang w:val="es-ES"/>
        </w:rPr>
        <w:t>información</w:t>
      </w:r>
      <w:proofErr w:type="spellEnd"/>
      <w:r w:rsidRPr="003444FA">
        <w:rPr>
          <w:rFonts w:ascii="Verdana" w:hAnsi="Verdana"/>
          <w:sz w:val="20"/>
          <w:szCs w:val="20"/>
          <w:lang w:val="es-ES"/>
        </w:rPr>
        <w:t xml:space="preserve"> </w:t>
      </w:r>
      <w:proofErr w:type="spellStart"/>
      <w:r w:rsidRPr="003444FA">
        <w:rPr>
          <w:rFonts w:ascii="Verdana" w:hAnsi="Verdana"/>
          <w:sz w:val="20"/>
          <w:szCs w:val="20"/>
          <w:lang w:val="es-ES"/>
        </w:rPr>
        <w:t>pública</w:t>
      </w:r>
      <w:proofErr w:type="spellEnd"/>
      <w:r w:rsidRPr="003444FA">
        <w:rPr>
          <w:rFonts w:ascii="Verdana" w:hAnsi="Verdana"/>
          <w:sz w:val="20"/>
          <w:szCs w:val="20"/>
          <w:lang w:val="es-ES"/>
        </w:rPr>
        <w:t xml:space="preserve"> necesaria para el ejercicio de los derechos sindicales, entre ellos el derecho a la </w:t>
      </w:r>
      <w:proofErr w:type="spellStart"/>
      <w:r w:rsidRPr="003444FA">
        <w:rPr>
          <w:rFonts w:ascii="Verdana" w:hAnsi="Verdana"/>
          <w:sz w:val="20"/>
          <w:szCs w:val="20"/>
          <w:lang w:val="es-ES"/>
        </w:rPr>
        <w:t>negociación</w:t>
      </w:r>
      <w:proofErr w:type="spellEnd"/>
      <w:r w:rsidRPr="003444FA">
        <w:rPr>
          <w:rFonts w:ascii="Verdana" w:hAnsi="Verdana"/>
          <w:sz w:val="20"/>
          <w:szCs w:val="20"/>
          <w:lang w:val="es-ES"/>
        </w:rPr>
        <w:t xml:space="preserve"> colectiva. Por consiguiente, el derecho al acceso a la </w:t>
      </w:r>
      <w:proofErr w:type="spellStart"/>
      <w:r w:rsidRPr="003444FA">
        <w:rPr>
          <w:rFonts w:ascii="Verdana" w:hAnsi="Verdana"/>
          <w:sz w:val="20"/>
          <w:szCs w:val="20"/>
          <w:lang w:val="es-ES"/>
        </w:rPr>
        <w:t>información</w:t>
      </w:r>
      <w:proofErr w:type="spellEnd"/>
      <w:r w:rsidRPr="003444FA">
        <w:rPr>
          <w:rFonts w:ascii="Verdana" w:hAnsi="Verdana"/>
          <w:sz w:val="20"/>
          <w:szCs w:val="20"/>
          <w:lang w:val="es-ES"/>
        </w:rPr>
        <w:t xml:space="preserve"> adquiere un </w:t>
      </w:r>
      <w:proofErr w:type="spellStart"/>
      <w:r w:rsidRPr="003444FA">
        <w:rPr>
          <w:rFonts w:ascii="Verdana" w:hAnsi="Verdana"/>
          <w:sz w:val="20"/>
          <w:szCs w:val="20"/>
          <w:lang w:val="es-ES"/>
        </w:rPr>
        <w:t>carácter</w:t>
      </w:r>
      <w:proofErr w:type="spellEnd"/>
      <w:r w:rsidRPr="003444FA">
        <w:rPr>
          <w:rFonts w:ascii="Verdana" w:hAnsi="Verdana"/>
          <w:sz w:val="20"/>
          <w:szCs w:val="20"/>
          <w:lang w:val="es-ES"/>
        </w:rPr>
        <w:t xml:space="preserve"> instrumental para lograr la </w:t>
      </w:r>
      <w:proofErr w:type="spellStart"/>
      <w:r w:rsidRPr="003444FA">
        <w:rPr>
          <w:rFonts w:ascii="Verdana" w:hAnsi="Verdana"/>
          <w:sz w:val="20"/>
          <w:szCs w:val="20"/>
          <w:lang w:val="es-ES"/>
        </w:rPr>
        <w:t>satisfacción</w:t>
      </w:r>
      <w:proofErr w:type="spellEnd"/>
      <w:r w:rsidRPr="003444FA">
        <w:rPr>
          <w:rFonts w:ascii="Verdana" w:hAnsi="Verdana"/>
          <w:sz w:val="20"/>
          <w:szCs w:val="20"/>
          <w:lang w:val="es-ES"/>
        </w:rPr>
        <w:t xml:space="preserve"> de otros derechos humanos, a los efectos de la presente </w:t>
      </w:r>
      <w:proofErr w:type="spellStart"/>
      <w:r w:rsidRPr="003444FA">
        <w:rPr>
          <w:rFonts w:ascii="Verdana" w:hAnsi="Verdana"/>
          <w:sz w:val="20"/>
          <w:szCs w:val="20"/>
          <w:lang w:val="es-ES"/>
        </w:rPr>
        <w:t>opinión</w:t>
      </w:r>
      <w:proofErr w:type="spellEnd"/>
      <w:r w:rsidRPr="003444FA">
        <w:rPr>
          <w:rFonts w:ascii="Verdana" w:hAnsi="Verdana"/>
          <w:sz w:val="20"/>
          <w:szCs w:val="20"/>
          <w:lang w:val="es-ES"/>
        </w:rPr>
        <w:t xml:space="preserve"> consultiva, el derecho a la </w:t>
      </w:r>
      <w:proofErr w:type="spellStart"/>
      <w:r w:rsidRPr="003444FA">
        <w:rPr>
          <w:rFonts w:ascii="Verdana" w:hAnsi="Verdana"/>
          <w:sz w:val="20"/>
          <w:szCs w:val="20"/>
          <w:lang w:val="es-ES"/>
        </w:rPr>
        <w:t>negociación</w:t>
      </w:r>
      <w:proofErr w:type="spellEnd"/>
      <w:r w:rsidRPr="003444FA">
        <w:rPr>
          <w:rFonts w:ascii="Verdana" w:hAnsi="Verdana"/>
          <w:sz w:val="20"/>
          <w:szCs w:val="20"/>
          <w:lang w:val="es-ES"/>
        </w:rPr>
        <w:t xml:space="preserve"> colectiva. Asimismo, el Tribunal coincide con el </w:t>
      </w:r>
      <w:proofErr w:type="spellStart"/>
      <w:r w:rsidRPr="003444FA">
        <w:rPr>
          <w:rFonts w:ascii="Verdana" w:hAnsi="Verdana"/>
          <w:sz w:val="20"/>
          <w:szCs w:val="20"/>
          <w:lang w:val="es-ES"/>
        </w:rPr>
        <w:t>Comite</w:t>
      </w:r>
      <w:proofErr w:type="spellEnd"/>
      <w:r w:rsidRPr="003444FA">
        <w:rPr>
          <w:rFonts w:ascii="Verdana" w:hAnsi="Verdana"/>
          <w:sz w:val="20"/>
          <w:szCs w:val="20"/>
          <w:lang w:val="es-ES"/>
        </w:rPr>
        <w:t xml:space="preserve">́ de Libertad Sindical en que la libertad de </w:t>
      </w:r>
      <w:proofErr w:type="spellStart"/>
      <w:r w:rsidRPr="003444FA">
        <w:rPr>
          <w:rFonts w:ascii="Verdana" w:hAnsi="Verdana"/>
          <w:sz w:val="20"/>
          <w:szCs w:val="20"/>
          <w:lang w:val="es-ES"/>
        </w:rPr>
        <w:t>opinión</w:t>
      </w:r>
      <w:proofErr w:type="spellEnd"/>
      <w:r w:rsidRPr="003444FA">
        <w:rPr>
          <w:rFonts w:ascii="Verdana" w:hAnsi="Verdana"/>
          <w:sz w:val="20"/>
          <w:szCs w:val="20"/>
          <w:lang w:val="es-ES"/>
        </w:rPr>
        <w:t xml:space="preserve"> y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constituye una de las libertades esenciales para la normal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de los derechos sindicales. Las libertades de </w:t>
      </w:r>
      <w:proofErr w:type="spellStart"/>
      <w:r w:rsidRPr="003444FA">
        <w:rPr>
          <w:rFonts w:ascii="Verdana" w:hAnsi="Verdana"/>
          <w:sz w:val="20"/>
          <w:szCs w:val="20"/>
          <w:lang w:val="es-ES"/>
        </w:rPr>
        <w:t>opinión</w:t>
      </w:r>
      <w:proofErr w:type="spellEnd"/>
      <w:r w:rsidRPr="003444FA">
        <w:rPr>
          <w:rFonts w:ascii="Verdana" w:hAnsi="Verdana"/>
          <w:sz w:val="20"/>
          <w:szCs w:val="20"/>
          <w:lang w:val="es-ES"/>
        </w:rPr>
        <w:t xml:space="preserve"> y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–tiene dicho el </w:t>
      </w:r>
      <w:proofErr w:type="spellStart"/>
      <w:r w:rsidRPr="003444FA">
        <w:rPr>
          <w:rFonts w:ascii="Verdana" w:hAnsi="Verdana"/>
          <w:sz w:val="20"/>
          <w:szCs w:val="20"/>
          <w:lang w:val="es-ES"/>
        </w:rPr>
        <w:t>Comite</w:t>
      </w:r>
      <w:proofErr w:type="spellEnd"/>
      <w:r w:rsidRPr="003444FA">
        <w:rPr>
          <w:rFonts w:ascii="Verdana" w:hAnsi="Verdana"/>
          <w:sz w:val="20"/>
          <w:szCs w:val="20"/>
          <w:lang w:val="es-ES"/>
        </w:rPr>
        <w:t xml:space="preserve">́ de Derechos Humanos– “constituyen la base para el pleno goce de una amplia gama de otros derechos humanos. Por ejemplo, la libertad de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es fundamental para el disfrute de los derechos a la libertad de </w:t>
      </w:r>
      <w:proofErr w:type="spellStart"/>
      <w:r w:rsidRPr="003444FA">
        <w:rPr>
          <w:rFonts w:ascii="Verdana" w:hAnsi="Verdana"/>
          <w:sz w:val="20"/>
          <w:szCs w:val="20"/>
          <w:lang w:val="es-ES"/>
        </w:rPr>
        <w:t>reunión</w:t>
      </w:r>
      <w:proofErr w:type="spellEnd"/>
      <w:r w:rsidRPr="003444FA">
        <w:rPr>
          <w:rFonts w:ascii="Verdana" w:hAnsi="Verdana"/>
          <w:sz w:val="20"/>
          <w:szCs w:val="20"/>
          <w:lang w:val="es-ES"/>
        </w:rPr>
        <w:t xml:space="preserve"> y de </w:t>
      </w:r>
      <w:proofErr w:type="spellStart"/>
      <w:r w:rsidRPr="003444FA">
        <w:rPr>
          <w:rFonts w:ascii="Verdana" w:hAnsi="Verdana"/>
          <w:sz w:val="20"/>
          <w:szCs w:val="20"/>
          <w:lang w:val="es-ES"/>
        </w:rPr>
        <w:t>asociación</w:t>
      </w:r>
      <w:proofErr w:type="spellEnd"/>
      <w:r w:rsidRPr="003444FA">
        <w:rPr>
          <w:rFonts w:ascii="Verdana" w:hAnsi="Verdana"/>
          <w:sz w:val="20"/>
          <w:szCs w:val="20"/>
          <w:lang w:val="es-ES"/>
        </w:rPr>
        <w:t xml:space="preserve"> [...]”.</w:t>
      </w:r>
    </w:p>
    <w:p w14:paraId="77078513" w14:textId="5621EB09" w:rsidR="003444FA" w:rsidRDefault="003444FA" w:rsidP="003444FA">
      <w:pPr>
        <w:spacing w:line="240" w:lineRule="auto"/>
        <w:ind w:right="49"/>
        <w:jc w:val="both"/>
        <w:rPr>
          <w:rFonts w:ascii="Verdana" w:hAnsi="Verdana"/>
          <w:sz w:val="20"/>
          <w:szCs w:val="20"/>
          <w:lang w:val="es-ES"/>
        </w:rPr>
      </w:pPr>
      <w:r w:rsidRPr="003444FA">
        <w:rPr>
          <w:rFonts w:ascii="Verdana" w:hAnsi="Verdana"/>
          <w:sz w:val="20"/>
          <w:szCs w:val="20"/>
          <w:lang w:val="es-ES"/>
        </w:rPr>
        <w:t xml:space="preserve">137. Para este Tribunal la existencia de una corriente libre de </w:t>
      </w:r>
      <w:proofErr w:type="spellStart"/>
      <w:r w:rsidRPr="003444FA">
        <w:rPr>
          <w:rFonts w:ascii="Verdana" w:hAnsi="Verdana"/>
          <w:sz w:val="20"/>
          <w:szCs w:val="20"/>
          <w:lang w:val="es-ES"/>
        </w:rPr>
        <w:t>información</w:t>
      </w:r>
      <w:proofErr w:type="spellEnd"/>
      <w:r w:rsidRPr="003444FA">
        <w:rPr>
          <w:rFonts w:ascii="Verdana" w:hAnsi="Verdana"/>
          <w:sz w:val="20"/>
          <w:szCs w:val="20"/>
          <w:lang w:val="es-ES"/>
        </w:rPr>
        <w:t xml:space="preserve">, ideas y opiniones es fundamental para el ejercicio de los derechos sindicales y de la </w:t>
      </w:r>
      <w:proofErr w:type="spellStart"/>
      <w:r w:rsidRPr="003444FA">
        <w:rPr>
          <w:rFonts w:ascii="Verdana" w:hAnsi="Verdana"/>
          <w:sz w:val="20"/>
          <w:szCs w:val="20"/>
          <w:lang w:val="es-ES"/>
        </w:rPr>
        <w:t>negociación</w:t>
      </w:r>
      <w:proofErr w:type="spellEnd"/>
      <w:r w:rsidRPr="003444FA">
        <w:rPr>
          <w:rFonts w:ascii="Verdana" w:hAnsi="Verdana"/>
          <w:sz w:val="20"/>
          <w:szCs w:val="20"/>
          <w:lang w:val="es-ES"/>
        </w:rPr>
        <w:t xml:space="preserve"> colectiva, por lo que la amenaza de iniciar acciones penales por parte de las autoridades en respuesta a opiniones </w:t>
      </w:r>
      <w:proofErr w:type="spellStart"/>
      <w:r w:rsidRPr="003444FA">
        <w:rPr>
          <w:rFonts w:ascii="Verdana" w:hAnsi="Verdana"/>
          <w:sz w:val="20"/>
          <w:szCs w:val="20"/>
          <w:lang w:val="es-ES"/>
        </w:rPr>
        <w:t>legítimas</w:t>
      </w:r>
      <w:proofErr w:type="spellEnd"/>
      <w:r w:rsidRPr="003444FA">
        <w:rPr>
          <w:rFonts w:ascii="Verdana" w:hAnsi="Verdana"/>
          <w:sz w:val="20"/>
          <w:szCs w:val="20"/>
          <w:lang w:val="es-ES"/>
        </w:rPr>
        <w:t xml:space="preserve"> de los representantes de una </w:t>
      </w:r>
      <w:proofErr w:type="spellStart"/>
      <w:r w:rsidRPr="003444FA">
        <w:rPr>
          <w:rFonts w:ascii="Verdana" w:hAnsi="Verdana"/>
          <w:sz w:val="20"/>
          <w:szCs w:val="20"/>
          <w:lang w:val="es-ES"/>
        </w:rPr>
        <w:t>organización</w:t>
      </w:r>
      <w:proofErr w:type="spellEnd"/>
      <w:r w:rsidRPr="003444FA">
        <w:rPr>
          <w:rFonts w:ascii="Verdana" w:hAnsi="Verdana"/>
          <w:sz w:val="20"/>
          <w:szCs w:val="20"/>
          <w:lang w:val="es-ES"/>
        </w:rPr>
        <w:t xml:space="preserve"> sindical puede tener efectos intimidatorios y perjudiciales en perjuicio de los trabajadores y las trabajadoras o los empleadores y las empleadoras. Por esta </w:t>
      </w:r>
      <w:proofErr w:type="spellStart"/>
      <w:r w:rsidRPr="003444FA">
        <w:rPr>
          <w:rFonts w:ascii="Verdana" w:hAnsi="Verdana"/>
          <w:sz w:val="20"/>
          <w:szCs w:val="20"/>
          <w:lang w:val="es-ES"/>
        </w:rPr>
        <w:t>razón</w:t>
      </w:r>
      <w:proofErr w:type="spellEnd"/>
      <w:r w:rsidRPr="003444FA">
        <w:rPr>
          <w:rFonts w:ascii="Verdana" w:hAnsi="Verdana"/>
          <w:sz w:val="20"/>
          <w:szCs w:val="20"/>
          <w:lang w:val="es-ES"/>
        </w:rPr>
        <w:t xml:space="preserve">, es arbitraria la </w:t>
      </w:r>
      <w:proofErr w:type="spellStart"/>
      <w:r w:rsidRPr="003444FA">
        <w:rPr>
          <w:rFonts w:ascii="Verdana" w:hAnsi="Verdana"/>
          <w:sz w:val="20"/>
          <w:szCs w:val="20"/>
          <w:lang w:val="es-ES"/>
        </w:rPr>
        <w:t>detención</w:t>
      </w:r>
      <w:proofErr w:type="spellEnd"/>
      <w:r w:rsidRPr="003444FA">
        <w:rPr>
          <w:rFonts w:ascii="Verdana" w:hAnsi="Verdana"/>
          <w:sz w:val="20"/>
          <w:szCs w:val="20"/>
          <w:lang w:val="es-ES"/>
        </w:rPr>
        <w:t xml:space="preserve"> o la </w:t>
      </w:r>
      <w:proofErr w:type="spellStart"/>
      <w:r w:rsidRPr="003444FA">
        <w:rPr>
          <w:rFonts w:ascii="Verdana" w:hAnsi="Verdana"/>
          <w:sz w:val="20"/>
          <w:szCs w:val="20"/>
          <w:lang w:val="es-ES"/>
        </w:rPr>
        <w:t>reclusión</w:t>
      </w:r>
      <w:proofErr w:type="spellEnd"/>
      <w:r w:rsidRPr="003444FA">
        <w:rPr>
          <w:rFonts w:ascii="Verdana" w:hAnsi="Verdana"/>
          <w:sz w:val="20"/>
          <w:szCs w:val="20"/>
          <w:lang w:val="es-ES"/>
        </w:rPr>
        <w:t xml:space="preserve"> como castigo por el ejercicio </w:t>
      </w:r>
      <w:proofErr w:type="spellStart"/>
      <w:r w:rsidRPr="003444FA">
        <w:rPr>
          <w:rFonts w:ascii="Verdana" w:hAnsi="Verdana"/>
          <w:sz w:val="20"/>
          <w:szCs w:val="20"/>
          <w:lang w:val="es-ES"/>
        </w:rPr>
        <w:t>legítimo</w:t>
      </w:r>
      <w:proofErr w:type="spellEnd"/>
      <w:r w:rsidRPr="003444FA">
        <w:rPr>
          <w:rFonts w:ascii="Verdana" w:hAnsi="Verdana"/>
          <w:sz w:val="20"/>
          <w:szCs w:val="20"/>
          <w:lang w:val="es-ES"/>
        </w:rPr>
        <w:t xml:space="preserve"> de los derechos a la libertad de </w:t>
      </w:r>
      <w:proofErr w:type="spellStart"/>
      <w:r w:rsidRPr="003444FA">
        <w:rPr>
          <w:rFonts w:ascii="Verdana" w:hAnsi="Verdana"/>
          <w:sz w:val="20"/>
          <w:szCs w:val="20"/>
          <w:lang w:val="es-ES"/>
        </w:rPr>
        <w:t>opinión</w:t>
      </w:r>
      <w:proofErr w:type="spellEnd"/>
      <w:r w:rsidRPr="003444FA">
        <w:rPr>
          <w:rFonts w:ascii="Verdana" w:hAnsi="Verdana"/>
          <w:sz w:val="20"/>
          <w:szCs w:val="20"/>
          <w:lang w:val="es-ES"/>
        </w:rPr>
        <w:t xml:space="preserve"> y de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la libertad de </w:t>
      </w:r>
      <w:proofErr w:type="spellStart"/>
      <w:r w:rsidRPr="003444FA">
        <w:rPr>
          <w:rFonts w:ascii="Verdana" w:hAnsi="Verdana"/>
          <w:sz w:val="20"/>
          <w:szCs w:val="20"/>
          <w:lang w:val="es-ES"/>
        </w:rPr>
        <w:t>reunión</w:t>
      </w:r>
      <w:proofErr w:type="spellEnd"/>
      <w:r w:rsidRPr="003444FA">
        <w:rPr>
          <w:rFonts w:ascii="Verdana" w:hAnsi="Verdana"/>
          <w:sz w:val="20"/>
          <w:szCs w:val="20"/>
          <w:lang w:val="es-ES"/>
        </w:rPr>
        <w:t xml:space="preserve"> y la libertad de </w:t>
      </w:r>
      <w:proofErr w:type="spellStart"/>
      <w:r w:rsidRPr="003444FA">
        <w:rPr>
          <w:rFonts w:ascii="Verdana" w:hAnsi="Verdana"/>
          <w:sz w:val="20"/>
          <w:szCs w:val="20"/>
          <w:lang w:val="es-ES"/>
        </w:rPr>
        <w:t>asociación</w:t>
      </w:r>
      <w:proofErr w:type="spellEnd"/>
      <w:r w:rsidRPr="003444FA">
        <w:rPr>
          <w:rFonts w:ascii="Verdana" w:hAnsi="Verdana"/>
          <w:sz w:val="20"/>
          <w:szCs w:val="20"/>
          <w:lang w:val="es-ES"/>
        </w:rPr>
        <w:t xml:space="preserve">. Asimismo, el Tribunal considera que en el marco de esta </w:t>
      </w:r>
      <w:proofErr w:type="spellStart"/>
      <w:r w:rsidRPr="003444FA">
        <w:rPr>
          <w:rFonts w:ascii="Verdana" w:hAnsi="Verdana"/>
          <w:sz w:val="20"/>
          <w:szCs w:val="20"/>
          <w:lang w:val="es-ES"/>
        </w:rPr>
        <w:t>relación</w:t>
      </w:r>
      <w:proofErr w:type="spellEnd"/>
      <w:r w:rsidRPr="003444FA">
        <w:rPr>
          <w:rFonts w:ascii="Verdana" w:hAnsi="Verdana"/>
          <w:sz w:val="20"/>
          <w:szCs w:val="20"/>
          <w:lang w:val="es-ES"/>
        </w:rPr>
        <w:t xml:space="preserve"> entre derechos, las organizaciones sindicales deben gozar del derecho de elegir aquellos elementos que los identifiquen (como son la </w:t>
      </w:r>
      <w:proofErr w:type="spellStart"/>
      <w:r w:rsidRPr="003444FA">
        <w:rPr>
          <w:rFonts w:ascii="Verdana" w:hAnsi="Verdana"/>
          <w:sz w:val="20"/>
          <w:szCs w:val="20"/>
          <w:lang w:val="es-ES"/>
        </w:rPr>
        <w:t>elección</w:t>
      </w:r>
      <w:proofErr w:type="spellEnd"/>
      <w:r w:rsidRPr="003444FA">
        <w:rPr>
          <w:rFonts w:ascii="Verdana" w:hAnsi="Verdana"/>
          <w:sz w:val="20"/>
          <w:szCs w:val="20"/>
          <w:lang w:val="es-ES"/>
        </w:rPr>
        <w:t xml:space="preserve"> de una insignia, banderas, tableros de anuncios, o folletos), </w:t>
      </w:r>
      <w:proofErr w:type="spellStart"/>
      <w:r w:rsidRPr="003444FA">
        <w:rPr>
          <w:rFonts w:ascii="Verdana" w:hAnsi="Verdana"/>
          <w:sz w:val="20"/>
          <w:szCs w:val="20"/>
          <w:lang w:val="es-ES"/>
        </w:rPr>
        <w:t>asi</w:t>
      </w:r>
      <w:proofErr w:type="spellEnd"/>
      <w:r w:rsidRPr="003444FA">
        <w:rPr>
          <w:rFonts w:ascii="Verdana" w:hAnsi="Verdana"/>
          <w:sz w:val="20"/>
          <w:szCs w:val="20"/>
          <w:lang w:val="es-ES"/>
        </w:rPr>
        <w:t>́ como los medios a través de los cuales estos sean mostrados y distribuidos</w:t>
      </w:r>
      <w:r>
        <w:rPr>
          <w:rFonts w:ascii="Verdana" w:hAnsi="Verdana"/>
          <w:sz w:val="20"/>
          <w:szCs w:val="20"/>
          <w:lang w:val="es-ES"/>
        </w:rPr>
        <w:t>.</w:t>
      </w:r>
      <w:r w:rsidRPr="003444FA">
        <w:rPr>
          <w:rFonts w:ascii="Verdana" w:hAnsi="Verdana"/>
          <w:sz w:val="20"/>
          <w:szCs w:val="20"/>
          <w:lang w:val="es-ES"/>
        </w:rPr>
        <w:t xml:space="preserve"> De esta forma, la </w:t>
      </w:r>
      <w:proofErr w:type="spellStart"/>
      <w:r w:rsidRPr="003444FA">
        <w:rPr>
          <w:rFonts w:ascii="Verdana" w:hAnsi="Verdana"/>
          <w:sz w:val="20"/>
          <w:szCs w:val="20"/>
          <w:lang w:val="es-ES"/>
        </w:rPr>
        <w:t>publicación</w:t>
      </w:r>
      <w:proofErr w:type="spellEnd"/>
      <w:r w:rsidRPr="003444FA">
        <w:rPr>
          <w:rFonts w:ascii="Verdana" w:hAnsi="Verdana"/>
          <w:sz w:val="20"/>
          <w:szCs w:val="20"/>
          <w:lang w:val="es-ES"/>
        </w:rPr>
        <w:t xml:space="preserve"> y </w:t>
      </w:r>
      <w:proofErr w:type="spellStart"/>
      <w:r w:rsidRPr="003444FA">
        <w:rPr>
          <w:rFonts w:ascii="Verdana" w:hAnsi="Verdana"/>
          <w:sz w:val="20"/>
          <w:szCs w:val="20"/>
          <w:lang w:val="es-ES"/>
        </w:rPr>
        <w:t>difusión</w:t>
      </w:r>
      <w:proofErr w:type="spellEnd"/>
      <w:r w:rsidRPr="003444FA">
        <w:rPr>
          <w:rFonts w:ascii="Verdana" w:hAnsi="Verdana"/>
          <w:sz w:val="20"/>
          <w:szCs w:val="20"/>
          <w:lang w:val="es-ES"/>
        </w:rPr>
        <w:t xml:space="preserve"> de ideas e informaciones de </w:t>
      </w:r>
      <w:proofErr w:type="spellStart"/>
      <w:r w:rsidRPr="003444FA">
        <w:rPr>
          <w:rFonts w:ascii="Verdana" w:hAnsi="Verdana"/>
          <w:sz w:val="20"/>
          <w:szCs w:val="20"/>
          <w:lang w:val="es-ES"/>
        </w:rPr>
        <w:t>interés</w:t>
      </w:r>
      <w:proofErr w:type="spellEnd"/>
      <w:r w:rsidRPr="003444FA">
        <w:rPr>
          <w:rFonts w:ascii="Verdana" w:hAnsi="Verdana"/>
          <w:sz w:val="20"/>
          <w:szCs w:val="20"/>
          <w:lang w:val="es-ES"/>
        </w:rPr>
        <w:t xml:space="preserve"> sindical se encuentran cubiertas por el derecho a la libertad de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por lo que la </w:t>
      </w:r>
      <w:proofErr w:type="spellStart"/>
      <w:r w:rsidRPr="003444FA">
        <w:rPr>
          <w:rFonts w:ascii="Verdana" w:hAnsi="Verdana"/>
          <w:sz w:val="20"/>
          <w:szCs w:val="20"/>
          <w:lang w:val="es-ES"/>
        </w:rPr>
        <w:t>aplicación</w:t>
      </w:r>
      <w:proofErr w:type="spellEnd"/>
      <w:r w:rsidRPr="003444FA">
        <w:rPr>
          <w:rFonts w:ascii="Verdana" w:hAnsi="Verdana"/>
          <w:sz w:val="20"/>
          <w:szCs w:val="20"/>
          <w:lang w:val="es-ES"/>
        </w:rPr>
        <w:t xml:space="preserve"> de medidas de control de las publicaciones y de los medios de </w:t>
      </w:r>
      <w:proofErr w:type="spellStart"/>
      <w:r w:rsidRPr="003444FA">
        <w:rPr>
          <w:rFonts w:ascii="Verdana" w:hAnsi="Verdana"/>
          <w:sz w:val="20"/>
          <w:szCs w:val="20"/>
          <w:lang w:val="es-ES"/>
        </w:rPr>
        <w:t>información</w:t>
      </w:r>
      <w:proofErr w:type="spellEnd"/>
      <w:r w:rsidRPr="003444FA">
        <w:rPr>
          <w:rFonts w:ascii="Verdana" w:hAnsi="Verdana"/>
          <w:sz w:val="20"/>
          <w:szCs w:val="20"/>
          <w:lang w:val="es-ES"/>
        </w:rPr>
        <w:t xml:space="preserve"> de los sindicatos puede significar una injerencia grave de las autoridades administrativas.</w:t>
      </w:r>
    </w:p>
    <w:p w14:paraId="74CAF523" w14:textId="2189FAA5" w:rsidR="003444FA" w:rsidRDefault="003444FA" w:rsidP="003444FA">
      <w:pPr>
        <w:spacing w:line="240" w:lineRule="auto"/>
        <w:ind w:right="49"/>
        <w:jc w:val="both"/>
        <w:rPr>
          <w:rFonts w:ascii="Verdana" w:hAnsi="Verdana"/>
          <w:sz w:val="20"/>
          <w:szCs w:val="20"/>
          <w:lang w:val="es-ES"/>
        </w:rPr>
      </w:pPr>
      <w:r w:rsidRPr="003444FA">
        <w:rPr>
          <w:rFonts w:ascii="Verdana" w:hAnsi="Verdana"/>
          <w:sz w:val="20"/>
          <w:szCs w:val="20"/>
          <w:lang w:val="es-ES"/>
        </w:rPr>
        <w:t xml:space="preserve">138. En un sentido similar, el Tribunal Europeo ha </w:t>
      </w:r>
      <w:proofErr w:type="spellStart"/>
      <w:r w:rsidRPr="003444FA">
        <w:rPr>
          <w:rFonts w:ascii="Verdana" w:hAnsi="Verdana"/>
          <w:sz w:val="20"/>
          <w:szCs w:val="20"/>
          <w:lang w:val="es-ES"/>
        </w:rPr>
        <w:t>señalado</w:t>
      </w:r>
      <w:proofErr w:type="spellEnd"/>
      <w:r w:rsidRPr="003444FA">
        <w:rPr>
          <w:rFonts w:ascii="Verdana" w:hAnsi="Verdana"/>
          <w:sz w:val="20"/>
          <w:szCs w:val="20"/>
          <w:lang w:val="es-ES"/>
        </w:rPr>
        <w:t xml:space="preserve"> que “los miembros de un sindicato deben poder expresar ante el empresario sus reivindicaciones para mejorar la situación de los trabajadores de la empresa”, de forma que “[u]n sindicato </w:t>
      </w:r>
      <w:r w:rsidRPr="003444FA">
        <w:rPr>
          <w:rFonts w:ascii="Verdana" w:hAnsi="Verdana"/>
          <w:sz w:val="20"/>
          <w:szCs w:val="20"/>
          <w:lang w:val="es-ES"/>
        </w:rPr>
        <w:lastRenderedPageBreak/>
        <w:t xml:space="preserve">que no tiene la posibilidad de expresar libremente sus ideas en tal </w:t>
      </w:r>
      <w:proofErr w:type="spellStart"/>
      <w:r w:rsidRPr="003444FA">
        <w:rPr>
          <w:rFonts w:ascii="Verdana" w:hAnsi="Verdana"/>
          <w:sz w:val="20"/>
          <w:szCs w:val="20"/>
          <w:lang w:val="es-ES"/>
        </w:rPr>
        <w:t>ámbito</w:t>
      </w:r>
      <w:proofErr w:type="spellEnd"/>
      <w:r w:rsidRPr="003444FA">
        <w:rPr>
          <w:rFonts w:ascii="Verdana" w:hAnsi="Verdana"/>
          <w:sz w:val="20"/>
          <w:szCs w:val="20"/>
          <w:lang w:val="es-ES"/>
        </w:rPr>
        <w:t xml:space="preserve"> se </w:t>
      </w:r>
      <w:proofErr w:type="spellStart"/>
      <w:r w:rsidRPr="003444FA">
        <w:rPr>
          <w:rFonts w:ascii="Verdana" w:hAnsi="Verdana"/>
          <w:sz w:val="20"/>
          <w:szCs w:val="20"/>
          <w:lang w:val="es-ES"/>
        </w:rPr>
        <w:t>vería</w:t>
      </w:r>
      <w:proofErr w:type="spellEnd"/>
      <w:r w:rsidRPr="003444FA">
        <w:rPr>
          <w:rFonts w:ascii="Verdana" w:hAnsi="Verdana"/>
          <w:sz w:val="20"/>
          <w:szCs w:val="20"/>
          <w:lang w:val="es-ES"/>
        </w:rPr>
        <w:t xml:space="preserve">, en efecto, privado de un medio de acción esencial”. La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sindical, </w:t>
      </w:r>
      <w:proofErr w:type="spellStart"/>
      <w:r w:rsidRPr="003444FA">
        <w:rPr>
          <w:rFonts w:ascii="Verdana" w:hAnsi="Verdana"/>
          <w:sz w:val="20"/>
          <w:szCs w:val="20"/>
          <w:lang w:val="es-ES"/>
        </w:rPr>
        <w:t>añadio</w:t>
      </w:r>
      <w:proofErr w:type="spellEnd"/>
      <w:r w:rsidRPr="003444FA">
        <w:rPr>
          <w:rFonts w:ascii="Verdana" w:hAnsi="Verdana"/>
          <w:sz w:val="20"/>
          <w:szCs w:val="20"/>
          <w:lang w:val="es-ES"/>
        </w:rPr>
        <w:t xml:space="preserve">́ con base en la </w:t>
      </w:r>
      <w:proofErr w:type="spellStart"/>
      <w:r w:rsidRPr="003444FA">
        <w:rPr>
          <w:rFonts w:ascii="Verdana" w:hAnsi="Verdana"/>
          <w:sz w:val="20"/>
          <w:szCs w:val="20"/>
          <w:lang w:val="es-ES"/>
        </w:rPr>
        <w:t>Recomendación</w:t>
      </w:r>
      <w:proofErr w:type="spellEnd"/>
      <w:r w:rsidRPr="003444FA">
        <w:rPr>
          <w:rFonts w:ascii="Verdana" w:hAnsi="Verdana"/>
          <w:sz w:val="20"/>
          <w:szCs w:val="20"/>
          <w:lang w:val="es-ES"/>
        </w:rPr>
        <w:t xml:space="preserve"> N° 143 sobre los representantes de los trabajadores (OIT, 1971), puede manifestarse “en forma de boletines informativos, folletos, publicaciones y otros documentos del sindicato, cuya </w:t>
      </w:r>
      <w:proofErr w:type="spellStart"/>
      <w:r w:rsidRPr="003444FA">
        <w:rPr>
          <w:rFonts w:ascii="Verdana" w:hAnsi="Verdana"/>
          <w:sz w:val="20"/>
          <w:szCs w:val="20"/>
          <w:lang w:val="es-ES"/>
        </w:rPr>
        <w:t>distribución</w:t>
      </w:r>
      <w:proofErr w:type="spellEnd"/>
      <w:r w:rsidRPr="003444FA">
        <w:rPr>
          <w:rFonts w:ascii="Verdana" w:hAnsi="Verdana"/>
          <w:sz w:val="20"/>
          <w:szCs w:val="20"/>
          <w:lang w:val="es-ES"/>
        </w:rPr>
        <w:t xml:space="preserve"> por los representantes de los trabajadores que </w:t>
      </w:r>
      <w:proofErr w:type="spellStart"/>
      <w:r w:rsidRPr="003444FA">
        <w:rPr>
          <w:rFonts w:ascii="Verdana" w:hAnsi="Verdana"/>
          <w:sz w:val="20"/>
          <w:szCs w:val="20"/>
          <w:lang w:val="es-ES"/>
        </w:rPr>
        <w:t>actúan</w:t>
      </w:r>
      <w:proofErr w:type="spellEnd"/>
      <w:r w:rsidRPr="003444FA">
        <w:rPr>
          <w:rFonts w:ascii="Verdana" w:hAnsi="Verdana"/>
          <w:sz w:val="20"/>
          <w:szCs w:val="20"/>
          <w:lang w:val="es-ES"/>
        </w:rPr>
        <w:t xml:space="preserve"> en nombre de un sindicato debe ser autorizado por la </w:t>
      </w:r>
      <w:proofErr w:type="spellStart"/>
      <w:r w:rsidRPr="003444FA">
        <w:rPr>
          <w:rFonts w:ascii="Verdana" w:hAnsi="Verdana"/>
          <w:sz w:val="20"/>
          <w:szCs w:val="20"/>
          <w:lang w:val="es-ES"/>
        </w:rPr>
        <w:t>dirección</w:t>
      </w:r>
      <w:proofErr w:type="spellEnd"/>
      <w:r w:rsidRPr="003444FA">
        <w:rPr>
          <w:rFonts w:ascii="Verdana" w:hAnsi="Verdana"/>
          <w:sz w:val="20"/>
          <w:szCs w:val="20"/>
          <w:lang w:val="es-ES"/>
        </w:rPr>
        <w:t xml:space="preserve">” de la empresa. De esta forma, como lo ha </w:t>
      </w:r>
      <w:proofErr w:type="spellStart"/>
      <w:r w:rsidRPr="003444FA">
        <w:rPr>
          <w:rFonts w:ascii="Verdana" w:hAnsi="Verdana"/>
          <w:sz w:val="20"/>
          <w:szCs w:val="20"/>
          <w:lang w:val="es-ES"/>
        </w:rPr>
        <w:t>señalado</w:t>
      </w:r>
      <w:proofErr w:type="spellEnd"/>
      <w:r w:rsidRPr="003444FA">
        <w:rPr>
          <w:rFonts w:ascii="Verdana" w:hAnsi="Verdana"/>
          <w:sz w:val="20"/>
          <w:szCs w:val="20"/>
          <w:lang w:val="es-ES"/>
        </w:rPr>
        <w:t xml:space="preserve"> esta Corte, el </w:t>
      </w:r>
      <w:proofErr w:type="spellStart"/>
      <w:r w:rsidRPr="003444FA">
        <w:rPr>
          <w:rFonts w:ascii="Verdana" w:hAnsi="Verdana"/>
          <w:sz w:val="20"/>
          <w:szCs w:val="20"/>
          <w:lang w:val="es-ES"/>
        </w:rPr>
        <w:t>ámbito</w:t>
      </w:r>
      <w:proofErr w:type="spellEnd"/>
      <w:r w:rsidRPr="003444FA">
        <w:rPr>
          <w:rFonts w:ascii="Verdana" w:hAnsi="Verdana"/>
          <w:sz w:val="20"/>
          <w:szCs w:val="20"/>
          <w:lang w:val="es-ES"/>
        </w:rPr>
        <w:t xml:space="preserve"> de protección del derecho a la libertad de pensamiento y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resulta particularmente aplicable en contextos laborales, por lo que se requiere un nivel reforzado de protección a la libertad de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de los representantes de los trabajadores.</w:t>
      </w:r>
    </w:p>
    <w:p w14:paraId="456161A9" w14:textId="073DAF4F" w:rsidR="003444FA" w:rsidRDefault="003444FA" w:rsidP="003444FA">
      <w:pPr>
        <w:spacing w:line="240" w:lineRule="auto"/>
        <w:ind w:right="49"/>
        <w:jc w:val="both"/>
        <w:rPr>
          <w:rFonts w:ascii="Verdana" w:hAnsi="Verdana"/>
          <w:sz w:val="20"/>
          <w:szCs w:val="20"/>
          <w:lang w:val="es-ES"/>
        </w:rPr>
      </w:pPr>
      <w:r>
        <w:rPr>
          <w:rFonts w:ascii="Verdana" w:hAnsi="Verdana"/>
          <w:sz w:val="20"/>
          <w:szCs w:val="20"/>
          <w:lang w:val="es-ES"/>
        </w:rPr>
        <w:t>[...]</w:t>
      </w:r>
    </w:p>
    <w:p w14:paraId="3D639354" w14:textId="1CBF2854" w:rsidR="003444FA" w:rsidRDefault="003444FA" w:rsidP="003444FA">
      <w:pPr>
        <w:spacing w:line="240" w:lineRule="auto"/>
        <w:ind w:right="49"/>
        <w:jc w:val="both"/>
        <w:rPr>
          <w:rFonts w:ascii="Verdana" w:hAnsi="Verdana"/>
          <w:sz w:val="20"/>
          <w:szCs w:val="20"/>
          <w:lang w:val="es-ES"/>
        </w:rPr>
      </w:pPr>
      <w:r w:rsidRPr="003444FA">
        <w:rPr>
          <w:rFonts w:ascii="Verdana" w:hAnsi="Verdana"/>
          <w:sz w:val="20"/>
          <w:szCs w:val="20"/>
          <w:lang w:val="es-ES"/>
        </w:rPr>
        <w:t xml:space="preserve">141. Este Tribunal advierte que los derechos a la libertad de </w:t>
      </w:r>
      <w:proofErr w:type="spellStart"/>
      <w:r w:rsidRPr="003444FA">
        <w:rPr>
          <w:rFonts w:ascii="Verdana" w:hAnsi="Verdana"/>
          <w:sz w:val="20"/>
          <w:szCs w:val="20"/>
          <w:lang w:val="es-ES"/>
        </w:rPr>
        <w:t>expresión</w:t>
      </w:r>
      <w:proofErr w:type="spellEnd"/>
      <w:r w:rsidRPr="003444FA">
        <w:rPr>
          <w:rFonts w:ascii="Verdana" w:hAnsi="Verdana"/>
          <w:sz w:val="20"/>
          <w:szCs w:val="20"/>
          <w:lang w:val="es-ES"/>
        </w:rPr>
        <w:t xml:space="preserve">, de </w:t>
      </w:r>
      <w:proofErr w:type="spellStart"/>
      <w:r w:rsidRPr="003444FA">
        <w:rPr>
          <w:rFonts w:ascii="Verdana" w:hAnsi="Verdana"/>
          <w:sz w:val="20"/>
          <w:szCs w:val="20"/>
          <w:lang w:val="es-ES"/>
        </w:rPr>
        <w:t>reunión</w:t>
      </w:r>
      <w:proofErr w:type="spellEnd"/>
      <w:r w:rsidRPr="003444FA">
        <w:rPr>
          <w:rFonts w:ascii="Verdana" w:hAnsi="Verdana"/>
          <w:sz w:val="20"/>
          <w:szCs w:val="20"/>
          <w:lang w:val="es-ES"/>
        </w:rPr>
        <w:t xml:space="preserve"> y de </w:t>
      </w:r>
      <w:proofErr w:type="spellStart"/>
      <w:r w:rsidRPr="003444FA">
        <w:rPr>
          <w:rFonts w:ascii="Verdana" w:hAnsi="Verdana"/>
          <w:sz w:val="20"/>
          <w:szCs w:val="20"/>
          <w:lang w:val="es-ES"/>
        </w:rPr>
        <w:t>asociación</w:t>
      </w:r>
      <w:proofErr w:type="spellEnd"/>
      <w:r w:rsidRPr="003444FA">
        <w:rPr>
          <w:rFonts w:ascii="Verdana" w:hAnsi="Verdana"/>
          <w:sz w:val="20"/>
          <w:szCs w:val="20"/>
          <w:lang w:val="es-ES"/>
        </w:rPr>
        <w:t xml:space="preserve">, en su </w:t>
      </w:r>
      <w:proofErr w:type="spellStart"/>
      <w:r w:rsidRPr="003444FA">
        <w:rPr>
          <w:rFonts w:ascii="Verdana" w:hAnsi="Verdana"/>
          <w:sz w:val="20"/>
          <w:szCs w:val="20"/>
          <w:lang w:val="es-ES"/>
        </w:rPr>
        <w:t>relación</w:t>
      </w:r>
      <w:proofErr w:type="spellEnd"/>
      <w:r w:rsidRPr="003444FA">
        <w:rPr>
          <w:rFonts w:ascii="Verdana" w:hAnsi="Verdana"/>
          <w:sz w:val="20"/>
          <w:szCs w:val="20"/>
          <w:lang w:val="es-ES"/>
        </w:rPr>
        <w:t xml:space="preserve"> con la libertad sindical, la </w:t>
      </w:r>
      <w:proofErr w:type="spellStart"/>
      <w:r w:rsidRPr="003444FA">
        <w:rPr>
          <w:rFonts w:ascii="Verdana" w:hAnsi="Verdana"/>
          <w:sz w:val="20"/>
          <w:szCs w:val="20"/>
          <w:lang w:val="es-ES"/>
        </w:rPr>
        <w:t>negociación</w:t>
      </w:r>
      <w:proofErr w:type="spellEnd"/>
      <w:r w:rsidRPr="003444FA">
        <w:rPr>
          <w:rFonts w:ascii="Verdana" w:hAnsi="Verdana"/>
          <w:sz w:val="20"/>
          <w:szCs w:val="20"/>
          <w:lang w:val="es-ES"/>
        </w:rPr>
        <w:t xml:space="preserve"> colectiva y la huelga, constituyen derechos fundamentales para que los trabajadores y las trabajadoras, y sus representantes, se organicen y expresen las reivindicaciones </w:t>
      </w:r>
      <w:proofErr w:type="spellStart"/>
      <w:r w:rsidRPr="003444FA">
        <w:rPr>
          <w:rFonts w:ascii="Verdana" w:hAnsi="Verdana"/>
          <w:sz w:val="20"/>
          <w:szCs w:val="20"/>
          <w:lang w:val="es-ES"/>
        </w:rPr>
        <w:t>específicas</w:t>
      </w:r>
      <w:proofErr w:type="spellEnd"/>
      <w:r w:rsidRPr="003444FA">
        <w:rPr>
          <w:rFonts w:ascii="Verdana" w:hAnsi="Verdana"/>
          <w:sz w:val="20"/>
          <w:szCs w:val="20"/>
          <w:lang w:val="es-ES"/>
        </w:rPr>
        <w:t xml:space="preserve"> acerca de sus condiciones laborales, para poder </w:t>
      </w:r>
      <w:proofErr w:type="spellStart"/>
      <w:r w:rsidRPr="003444FA">
        <w:rPr>
          <w:rFonts w:ascii="Verdana" w:hAnsi="Verdana"/>
          <w:sz w:val="20"/>
          <w:szCs w:val="20"/>
          <w:lang w:val="es-ES"/>
        </w:rPr>
        <w:t>asi</w:t>
      </w:r>
      <w:proofErr w:type="spellEnd"/>
      <w:r w:rsidRPr="003444FA">
        <w:rPr>
          <w:rFonts w:ascii="Verdana" w:hAnsi="Verdana"/>
          <w:sz w:val="20"/>
          <w:szCs w:val="20"/>
          <w:lang w:val="es-ES"/>
        </w:rPr>
        <w:t xml:space="preserve">́ representar efectivamente sus intereses ante el empleador, e incluso participar en cuestiones de </w:t>
      </w:r>
      <w:proofErr w:type="spellStart"/>
      <w:r w:rsidRPr="003444FA">
        <w:rPr>
          <w:rFonts w:ascii="Verdana" w:hAnsi="Verdana"/>
          <w:sz w:val="20"/>
          <w:szCs w:val="20"/>
          <w:lang w:val="es-ES"/>
        </w:rPr>
        <w:t>interés</w:t>
      </w:r>
      <w:proofErr w:type="spellEnd"/>
      <w:r w:rsidRPr="003444FA">
        <w:rPr>
          <w:rFonts w:ascii="Verdana" w:hAnsi="Verdana"/>
          <w:sz w:val="20"/>
          <w:szCs w:val="20"/>
          <w:lang w:val="es-ES"/>
        </w:rPr>
        <w:t xml:space="preserve"> </w:t>
      </w:r>
      <w:proofErr w:type="spellStart"/>
      <w:r w:rsidRPr="003444FA">
        <w:rPr>
          <w:rFonts w:ascii="Verdana" w:hAnsi="Verdana"/>
          <w:sz w:val="20"/>
          <w:szCs w:val="20"/>
          <w:lang w:val="es-ES"/>
        </w:rPr>
        <w:t>público</w:t>
      </w:r>
      <w:proofErr w:type="spellEnd"/>
      <w:r w:rsidRPr="003444FA">
        <w:rPr>
          <w:rFonts w:ascii="Verdana" w:hAnsi="Verdana"/>
          <w:sz w:val="20"/>
          <w:szCs w:val="20"/>
          <w:lang w:val="es-ES"/>
        </w:rPr>
        <w:t xml:space="preserve"> con una voz colectiva. Los Estados tienen el deber de respetar y garantizar estos derechos, los cuales permiten nivelar la </w:t>
      </w:r>
      <w:proofErr w:type="spellStart"/>
      <w:r w:rsidRPr="003444FA">
        <w:rPr>
          <w:rFonts w:ascii="Verdana" w:hAnsi="Verdana"/>
          <w:sz w:val="20"/>
          <w:szCs w:val="20"/>
          <w:lang w:val="es-ES"/>
        </w:rPr>
        <w:t>relación</w:t>
      </w:r>
      <w:proofErr w:type="spellEnd"/>
      <w:r w:rsidRPr="003444FA">
        <w:rPr>
          <w:rFonts w:ascii="Verdana" w:hAnsi="Verdana"/>
          <w:sz w:val="20"/>
          <w:szCs w:val="20"/>
          <w:lang w:val="es-ES"/>
        </w:rPr>
        <w:t xml:space="preserve"> desigual que existe entre trabajadores y trabajadoras, y empleadores y empleadoras, y el acceso a salarios justos, y condiciones de trabajo seguras. En este sentido, la Corte recuerda que los derechos humanos son interdependientes e indivisibles, de forma que la efectividad del ejercicio de los derechos depende de la efectividad del ejercicio de otros derechos. De esta forma, los derechos civiles y </w:t>
      </w:r>
      <w:proofErr w:type="spellStart"/>
      <w:r w:rsidRPr="003444FA">
        <w:rPr>
          <w:rFonts w:ascii="Verdana" w:hAnsi="Verdana"/>
          <w:sz w:val="20"/>
          <w:szCs w:val="20"/>
          <w:lang w:val="es-ES"/>
        </w:rPr>
        <w:t>políticos</w:t>
      </w:r>
      <w:proofErr w:type="spellEnd"/>
      <w:r w:rsidRPr="003444FA">
        <w:rPr>
          <w:rFonts w:ascii="Verdana" w:hAnsi="Verdana"/>
          <w:sz w:val="20"/>
          <w:szCs w:val="20"/>
          <w:lang w:val="es-ES"/>
        </w:rPr>
        <w:t xml:space="preserve">, y los derechos </w:t>
      </w:r>
      <w:proofErr w:type="spellStart"/>
      <w:r w:rsidRPr="003444FA">
        <w:rPr>
          <w:rFonts w:ascii="Verdana" w:hAnsi="Verdana"/>
          <w:sz w:val="20"/>
          <w:szCs w:val="20"/>
          <w:lang w:val="es-ES"/>
        </w:rPr>
        <w:t>económicos</w:t>
      </w:r>
      <w:proofErr w:type="spellEnd"/>
      <w:r w:rsidRPr="003444FA">
        <w:rPr>
          <w:rFonts w:ascii="Verdana" w:hAnsi="Verdana"/>
          <w:sz w:val="20"/>
          <w:szCs w:val="20"/>
          <w:lang w:val="es-ES"/>
        </w:rPr>
        <w:t xml:space="preserve"> sociales, culturales y ambientales deben ser entendidos integralmente como derechos humanos, sin </w:t>
      </w:r>
      <w:proofErr w:type="spellStart"/>
      <w:r w:rsidRPr="003444FA">
        <w:rPr>
          <w:rFonts w:ascii="Verdana" w:hAnsi="Verdana"/>
          <w:sz w:val="20"/>
          <w:szCs w:val="20"/>
          <w:lang w:val="es-ES"/>
        </w:rPr>
        <w:t>jerarquía</w:t>
      </w:r>
      <w:proofErr w:type="spellEnd"/>
      <w:r w:rsidRPr="003444FA">
        <w:rPr>
          <w:rFonts w:ascii="Verdana" w:hAnsi="Verdana"/>
          <w:sz w:val="20"/>
          <w:szCs w:val="20"/>
          <w:lang w:val="es-ES"/>
        </w:rPr>
        <w:t xml:space="preserve"> entre sí y exigibles en todos los casos ante aquellas autoridades que resulten competentes.</w:t>
      </w:r>
      <w:r>
        <w:rPr>
          <w:rFonts w:ascii="Verdana" w:hAnsi="Verdana"/>
          <w:sz w:val="20"/>
          <w:szCs w:val="20"/>
          <w:lang w:val="es-ES"/>
        </w:rPr>
        <w:t xml:space="preserve"> </w:t>
      </w:r>
    </w:p>
    <w:p w14:paraId="64E0B0AB" w14:textId="77777777" w:rsidR="003444FA" w:rsidRPr="003444FA" w:rsidRDefault="003444FA" w:rsidP="003444FA">
      <w:pPr>
        <w:spacing w:line="240" w:lineRule="auto"/>
        <w:ind w:right="49"/>
        <w:jc w:val="both"/>
        <w:rPr>
          <w:rFonts w:ascii="Verdana" w:hAnsi="Verdana"/>
          <w:sz w:val="20"/>
          <w:szCs w:val="20"/>
          <w:lang w:val="es-ES"/>
        </w:rPr>
      </w:pPr>
    </w:p>
    <w:p w14:paraId="72099059" w14:textId="77777777" w:rsidR="003444FA" w:rsidRDefault="003444FA">
      <w:pPr>
        <w:rPr>
          <w:rFonts w:ascii="Verdana" w:hAnsi="Verdana" w:cs="Times New Roman (Títulos en alf"/>
          <w:b/>
          <w:bCs/>
          <w:caps/>
          <w:spacing w:val="20"/>
          <w:sz w:val="24"/>
          <w:szCs w:val="24"/>
          <w:lang w:val="es-ES"/>
        </w:rPr>
      </w:pPr>
      <w:r>
        <w:br w:type="page"/>
      </w:r>
    </w:p>
    <w:p w14:paraId="2776ACD7" w14:textId="4A8DF652" w:rsidR="00987FF9" w:rsidRPr="00CB5D84" w:rsidRDefault="005E0C2B" w:rsidP="004F4FE7">
      <w:pPr>
        <w:pStyle w:val="Ttulo1"/>
        <w:rPr>
          <w:u w:val="none"/>
        </w:rPr>
      </w:pPr>
      <w:bookmarkStart w:id="17" w:name="_Toc89691469"/>
      <w:r>
        <w:rPr>
          <w:u w:val="none"/>
        </w:rPr>
        <w:lastRenderedPageBreak/>
        <w:t>3</w:t>
      </w:r>
      <w:r w:rsidR="00987FF9" w:rsidRPr="00CB5D84">
        <w:rPr>
          <w:u w:val="none"/>
        </w:rPr>
        <w:t>.</w:t>
      </w:r>
      <w:r w:rsidR="00987FF9" w:rsidRPr="00CB5D84">
        <w:rPr>
          <w:u w:val="none"/>
        </w:rPr>
        <w:tab/>
        <w:t>Artículo 13.3 Restricciones Indirectas</w:t>
      </w:r>
      <w:bookmarkEnd w:id="17"/>
    </w:p>
    <w:p w14:paraId="0D95E339" w14:textId="61954026" w:rsidR="00987FF9" w:rsidRPr="00D86945" w:rsidRDefault="00987FF9" w:rsidP="004F4FE7">
      <w:pPr>
        <w:pStyle w:val="Prrafodelista"/>
        <w:spacing w:line="240" w:lineRule="auto"/>
        <w:ind w:left="0" w:right="51"/>
        <w:jc w:val="both"/>
        <w:rPr>
          <w:rFonts w:ascii="Verdana" w:hAnsi="Verdana" w:cs="Times New Roman"/>
          <w:sz w:val="20"/>
          <w:szCs w:val="20"/>
          <w:lang w:val="es-ES"/>
        </w:rPr>
      </w:pPr>
      <w:r w:rsidRPr="00D86945">
        <w:rPr>
          <w:rFonts w:ascii="Verdana" w:hAnsi="Verdana" w:cs="Times New Roman"/>
          <w:sz w:val="20"/>
          <w:szCs w:val="20"/>
          <w:lang w:val="es-ES"/>
        </w:rPr>
        <w:t>En este primer apartado se revisan algunas cuestiones tratadas por la jurisprudencia de la Corte respecto de las restricciones indirectas a la libertad de expresión. Particularmente, se reseña lo que ha señalado la Corte sobre la prohibición de controles oficiales o particulares y el uso de medios indirectos para controlar la libertad de expresión.</w:t>
      </w:r>
    </w:p>
    <w:p w14:paraId="7FA9843E" w14:textId="35208E1E" w:rsidR="00987FF9" w:rsidRPr="00D86945" w:rsidRDefault="00987FF9" w:rsidP="00BF3BF6">
      <w:pPr>
        <w:pStyle w:val="Ttulo2"/>
      </w:pPr>
      <w:bookmarkStart w:id="18" w:name="_Toc89691470"/>
      <w:r w:rsidRPr="00D86945">
        <w:t>Aspectos generales</w:t>
      </w:r>
      <w:bookmarkEnd w:id="18"/>
    </w:p>
    <w:p w14:paraId="37A7F9D4" w14:textId="566A84FC"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t>Corte IDH. Caso Ríos y otros Vs. Venezuela. Excepciones Preliminares, Fondo, Reparaciones y Costas. Sentencia de 28 de enero de 2009. Serie C No. 194.</w:t>
      </w:r>
      <w:r w:rsidRPr="00D86945">
        <w:rPr>
          <w:rStyle w:val="Refdenotaalpie"/>
          <w:rFonts w:ascii="Verdana" w:hAnsi="Verdana"/>
          <w:b/>
          <w:sz w:val="20"/>
          <w:szCs w:val="20"/>
        </w:rPr>
        <w:footnoteReference w:id="29"/>
      </w:r>
    </w:p>
    <w:p w14:paraId="6C347337" w14:textId="4B8C03D6" w:rsidR="00987FF9" w:rsidRPr="004F4FE7" w:rsidRDefault="00987FF9" w:rsidP="004F4FE7">
      <w:pPr>
        <w:spacing w:line="240" w:lineRule="auto"/>
        <w:ind w:right="49"/>
        <w:jc w:val="both"/>
        <w:rPr>
          <w:rFonts w:ascii="Verdana" w:hAnsi="Verdana"/>
          <w:b/>
          <w:sz w:val="18"/>
          <w:szCs w:val="18"/>
          <w:lang w:val="es-CR"/>
        </w:rPr>
      </w:pPr>
      <w:r w:rsidRPr="00D86945">
        <w:rPr>
          <w:rFonts w:ascii="Verdana" w:hAnsi="Verdana"/>
          <w:sz w:val="20"/>
          <w:szCs w:val="20"/>
          <w:lang w:val="es-CR"/>
        </w:rPr>
        <w:t>340.</w:t>
      </w:r>
      <w:r w:rsidRPr="00D86945">
        <w:rPr>
          <w:rFonts w:ascii="Verdana" w:hAnsi="Verdana"/>
          <w:sz w:val="20"/>
          <w:szCs w:val="20"/>
          <w:lang w:val="es-CR"/>
        </w:rPr>
        <w:tab/>
        <w:t xml:space="preserve">El artículo 13.3 de la Convención Americana dispone que “no se puede restringir el derecho de expresión por vías o medios indirectos, tales como el abuso de controles oficiales o particulares de papel para periódicos, de frecuencias radioeléctricas, o de enseres y aparatos usados en la difusión de información o por cualesquiera otros medios encaminados a impedir la comunicación y la circulación de ideas y opiniones”. Una interpretación literal de esta norma permite considerar que protege en forma específica la comunicación, difusión y circulación de ideas y opiniones, de modo que queda prohibido el empleo de “vías o medios indirectos” para restringirlas. La enunciación de medios restrictivos que hace el artículo 13.3 no es taxativa ni impide considerar “cualesquiera otros medios” o vías indirectas derivados de nuevas tecnologías. Además, el artículo 13.3 de la Convención impone al Estado obligaciones de garantía, aún en el ámbito de las relaciones entre particulares, pues no sólo abarca restricciones gubernamentales indirectas, sino también “controles... particulares” que produzcan el mismo resultado. Para que se configure una violación al artículo 13.3 de la Convención es necesario que la vía o el medio restrinjan efectivamente, aunque sea en forma indirecta, la comunicación y la circulación de ideas y opiniones. </w:t>
      </w:r>
      <w:r w:rsidR="00CB5D84">
        <w:rPr>
          <w:rFonts w:ascii="Verdana" w:hAnsi="Verdana"/>
          <w:b/>
          <w:bCs/>
          <w:sz w:val="20"/>
          <w:szCs w:val="20"/>
        </w:rPr>
        <w:t>[</w:t>
      </w:r>
      <w:r w:rsidR="002A5747">
        <w:rPr>
          <w:rFonts w:ascii="Verdana" w:hAnsi="Verdana"/>
          <w:b/>
          <w:sz w:val="18"/>
          <w:szCs w:val="18"/>
        </w:rPr>
        <w:t>En similar sentido, ver entre otros:</w:t>
      </w:r>
      <w:r w:rsidRPr="004F4FE7">
        <w:rPr>
          <w:rFonts w:ascii="Verdana" w:hAnsi="Verdana"/>
          <w:b/>
          <w:sz w:val="18"/>
          <w:szCs w:val="18"/>
          <w:lang w:val="es-CR"/>
        </w:rPr>
        <w:t xml:space="preserve"> Caso Perozo y otros Vs. Venezuela. Excepciones Preliminares, Fondo, Reparaciones y Costas. Sentencia de 28 de enero de 2009. Serie C No. 195, párr.367</w:t>
      </w:r>
      <w:r w:rsidR="00CB5D84">
        <w:rPr>
          <w:rFonts w:ascii="Verdana" w:hAnsi="Verdana"/>
          <w:b/>
          <w:sz w:val="18"/>
          <w:szCs w:val="18"/>
          <w:lang w:val="es-CR"/>
        </w:rPr>
        <w:t>]</w:t>
      </w:r>
      <w:r w:rsidRPr="004F4FE7">
        <w:rPr>
          <w:rFonts w:ascii="Verdana" w:hAnsi="Verdana"/>
          <w:b/>
          <w:sz w:val="18"/>
          <w:szCs w:val="18"/>
          <w:lang w:val="es-CR"/>
        </w:rPr>
        <w:t>.</w:t>
      </w:r>
    </w:p>
    <w:p w14:paraId="61C60AD3" w14:textId="0D7FC035" w:rsidR="00987FF9" w:rsidRPr="00D86945" w:rsidRDefault="00987FF9" w:rsidP="00BF3BF6">
      <w:pPr>
        <w:pStyle w:val="Ttulo2"/>
      </w:pPr>
      <w:bookmarkStart w:id="19" w:name="_Toc89691471"/>
      <w:r w:rsidRPr="00D86945">
        <w:t>Prohibición de controles oficiales o particulares</w:t>
      </w:r>
      <w:bookmarkEnd w:id="19"/>
    </w:p>
    <w:p w14:paraId="73E84367" w14:textId="3F3BF65E"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b/>
          <w:bCs/>
          <w:sz w:val="20"/>
          <w:szCs w:val="20"/>
        </w:rPr>
        <w:t>Corte IDH. La colegiación obligatoria de periodistas (Arts. 13 y 29 Convención Americana sobre Derechos Humanos). Opinión Consultiva OC-5/85 de 13 de noviembre de 1985. Serie A No. 5</w:t>
      </w:r>
      <w:r w:rsidR="00A87244">
        <w:rPr>
          <w:rFonts w:ascii="Verdana" w:hAnsi="Verdana" w:cs="Times New Roman"/>
          <w:b/>
          <w:bCs/>
          <w:sz w:val="20"/>
          <w:szCs w:val="20"/>
        </w:rPr>
        <w:t>.</w:t>
      </w:r>
      <w:r w:rsidRPr="00D86945">
        <w:rPr>
          <w:rFonts w:ascii="Verdana" w:hAnsi="Verdana" w:cs="Times New Roman"/>
          <w:sz w:val="20"/>
          <w:szCs w:val="20"/>
          <w:lang w:val="es-ES"/>
        </w:rPr>
        <w:t xml:space="preserve"> </w:t>
      </w:r>
    </w:p>
    <w:p w14:paraId="2004CB60" w14:textId="48F3656C" w:rsidR="00987FF9" w:rsidRPr="00D86945" w:rsidRDefault="00987FF9" w:rsidP="00A87244">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48. </w:t>
      </w:r>
      <w:r w:rsidRPr="00D86945">
        <w:rPr>
          <w:rFonts w:ascii="Verdana" w:hAnsi="Verdana" w:cs="Times New Roman"/>
          <w:sz w:val="20"/>
          <w:szCs w:val="20"/>
          <w:lang w:val="es-ES"/>
        </w:rPr>
        <w:tab/>
        <w:t>El artículo 13.3 no sólo trata de las restricciones gubernamentales indirectas, sino que también prohíbe expresamente "controles... particulares" que produzcan el mismo resultado. Esta disposición debe leerse junto con el artículo 1.1 de la Convención, donde los Estados Partes "se comprometen a respetar los derechos y libertades reconocidos (en la Convención)</w:t>
      </w:r>
      <w:r w:rsidR="00215583">
        <w:rPr>
          <w:rFonts w:ascii="Verdana" w:hAnsi="Verdana" w:cs="Times New Roman"/>
          <w:sz w:val="20"/>
          <w:szCs w:val="20"/>
          <w:lang w:val="es-ES"/>
        </w:rPr>
        <w:t>.</w:t>
      </w:r>
      <w:r w:rsidRPr="00D86945">
        <w:rPr>
          <w:rFonts w:ascii="Verdana" w:hAnsi="Verdana" w:cs="Times New Roman"/>
          <w:sz w:val="20"/>
          <w:szCs w:val="20"/>
          <w:lang w:val="es-ES"/>
        </w:rPr>
        <w:t xml:space="preserve">.. y a garantizar su libre y pleno ejercicio a toda persona que esté sujeta a su jurisdicción..." Por ello, la violación de la Convención en este ámbito puede ser producto no sólo de que el Estado imponga por sí mismo restricciones encaminadas a impedir indirectamente "la comunicación </w:t>
      </w:r>
      <w:r w:rsidRPr="00D86945">
        <w:rPr>
          <w:rFonts w:ascii="Verdana" w:hAnsi="Verdana" w:cs="Times New Roman"/>
          <w:sz w:val="20"/>
          <w:szCs w:val="20"/>
          <w:lang w:val="es-ES"/>
        </w:rPr>
        <w:lastRenderedPageBreak/>
        <w:t xml:space="preserve">y la circulación de ideas y opiniones", sino también de que no se haya asegurado </w:t>
      </w:r>
      <w:proofErr w:type="gramStart"/>
      <w:r w:rsidRPr="00D86945">
        <w:rPr>
          <w:rFonts w:ascii="Verdana" w:hAnsi="Verdana" w:cs="Times New Roman"/>
          <w:sz w:val="20"/>
          <w:szCs w:val="20"/>
          <w:lang w:val="es-ES"/>
        </w:rPr>
        <w:t>que</w:t>
      </w:r>
      <w:proofErr w:type="gramEnd"/>
      <w:r w:rsidRPr="00D86945">
        <w:rPr>
          <w:rFonts w:ascii="Verdana" w:hAnsi="Verdana" w:cs="Times New Roman"/>
          <w:sz w:val="20"/>
          <w:szCs w:val="20"/>
          <w:lang w:val="es-ES"/>
        </w:rPr>
        <w:t xml:space="preserve"> la violación no resulte de los "controles... particulares" mencionados en el párrafo 3 del artículo 13. </w:t>
      </w:r>
    </w:p>
    <w:p w14:paraId="72FAF052" w14:textId="1B2A8B41" w:rsidR="00987FF9" w:rsidRPr="00D86945" w:rsidRDefault="00987FF9" w:rsidP="00BF3BF6">
      <w:pPr>
        <w:pStyle w:val="Ttulo2"/>
      </w:pPr>
      <w:bookmarkStart w:id="20" w:name="_Toc89691472"/>
      <w:r w:rsidRPr="00D86945">
        <w:t>Medios indirectos de control</w:t>
      </w:r>
      <w:bookmarkEnd w:id="20"/>
    </w:p>
    <w:p w14:paraId="335EC1FD" w14:textId="7AA92E8E"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b/>
          <w:sz w:val="20"/>
          <w:szCs w:val="20"/>
        </w:rPr>
        <w:t xml:space="preserve">Corte IDH. Caso </w:t>
      </w:r>
      <w:proofErr w:type="spellStart"/>
      <w:r w:rsidRPr="00D86945">
        <w:rPr>
          <w:rFonts w:ascii="Verdana" w:hAnsi="Verdana" w:cs="Times New Roman"/>
          <w:b/>
          <w:sz w:val="20"/>
          <w:szCs w:val="20"/>
        </w:rPr>
        <w:t>Ivcher</w:t>
      </w:r>
      <w:proofErr w:type="spellEnd"/>
      <w:r w:rsidRPr="00D86945">
        <w:rPr>
          <w:rFonts w:ascii="Verdana" w:hAnsi="Verdana" w:cs="Times New Roman"/>
          <w:b/>
          <w:sz w:val="20"/>
          <w:szCs w:val="20"/>
        </w:rPr>
        <w:t xml:space="preserve"> </w:t>
      </w:r>
      <w:proofErr w:type="spellStart"/>
      <w:r w:rsidRPr="00D86945">
        <w:rPr>
          <w:rFonts w:ascii="Verdana" w:hAnsi="Verdana" w:cs="Times New Roman"/>
          <w:b/>
          <w:sz w:val="20"/>
          <w:szCs w:val="20"/>
        </w:rPr>
        <w:t>Bronstein</w:t>
      </w:r>
      <w:proofErr w:type="spellEnd"/>
      <w:r w:rsidRPr="00D86945">
        <w:rPr>
          <w:rFonts w:ascii="Verdana" w:hAnsi="Verdana" w:cs="Times New Roman"/>
          <w:b/>
          <w:sz w:val="20"/>
          <w:szCs w:val="20"/>
        </w:rPr>
        <w:t xml:space="preserve"> Vs. Perú. Fondo, Reparaciones y Costas. Sentencia de 6 de febrero de 2001. Serie C No. 74</w:t>
      </w:r>
      <w:r w:rsidRPr="00D86945">
        <w:rPr>
          <w:rFonts w:ascii="Verdana" w:hAnsi="Verdana" w:cs="Times New Roman"/>
          <w:sz w:val="20"/>
          <w:szCs w:val="20"/>
        </w:rPr>
        <w:t>.</w:t>
      </w:r>
    </w:p>
    <w:p w14:paraId="7223CF5F" w14:textId="476C049B"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156.</w:t>
      </w:r>
      <w:r w:rsidRPr="00D86945">
        <w:rPr>
          <w:rFonts w:ascii="Verdana" w:hAnsi="Verdana" w:cs="Times New Roman"/>
          <w:sz w:val="20"/>
          <w:szCs w:val="20"/>
        </w:rPr>
        <w:tab/>
        <w:t xml:space="preserve">En el caso que nos ocupa, se ha establecido que en el año 1997 el señor </w:t>
      </w:r>
      <w:proofErr w:type="spellStart"/>
      <w:r w:rsidRPr="00D86945">
        <w:rPr>
          <w:rFonts w:ascii="Verdana" w:hAnsi="Verdana" w:cs="Times New Roman"/>
          <w:sz w:val="20"/>
          <w:szCs w:val="20"/>
        </w:rPr>
        <w:t>Ivcher</w:t>
      </w:r>
      <w:proofErr w:type="spellEnd"/>
      <w:r w:rsidRPr="00D86945">
        <w:rPr>
          <w:rFonts w:ascii="Verdana" w:hAnsi="Verdana" w:cs="Times New Roman"/>
          <w:sz w:val="20"/>
          <w:szCs w:val="20"/>
        </w:rPr>
        <w:t xml:space="preserve"> era el accionista mayoritario de la Compañía, empresa operadora del Canal 2 de la televisión peruana; asimismo, era Director y Presidente del Directorio de dicha Compañía y se encontraba facultado para tomar decisiones editoriales respecto de la programación.</w:t>
      </w:r>
      <w:r w:rsidR="00D35646" w:rsidRPr="00D86945">
        <w:rPr>
          <w:rFonts w:ascii="Verdana" w:hAnsi="Verdana" w:cs="Times New Roman"/>
          <w:sz w:val="20"/>
          <w:szCs w:val="20"/>
        </w:rPr>
        <w:t xml:space="preserve"> </w:t>
      </w:r>
      <w:r w:rsidRPr="00D86945">
        <w:rPr>
          <w:rFonts w:ascii="Verdana" w:hAnsi="Verdana" w:cs="Times New Roman"/>
          <w:sz w:val="20"/>
          <w:szCs w:val="20"/>
        </w:rPr>
        <w:t xml:space="preserve">En abril de 1997, el Canal 2 difundió, en su programa Contrapunto, reportajes de interés nacional, como las denuncias sobre las posibles torturas cometidas por miembros del Servicio de Inteligencia del Ejército en contra de la agente Leonor La Rosa, el supuesto asesinato de la agente Mariela Barreto </w:t>
      </w:r>
      <w:proofErr w:type="spellStart"/>
      <w:r w:rsidRPr="00D86945">
        <w:rPr>
          <w:rFonts w:ascii="Verdana" w:hAnsi="Verdana" w:cs="Times New Roman"/>
          <w:sz w:val="20"/>
          <w:szCs w:val="20"/>
        </w:rPr>
        <w:t>Riofano</w:t>
      </w:r>
      <w:proofErr w:type="spellEnd"/>
      <w:r w:rsidRPr="00D86945">
        <w:rPr>
          <w:rFonts w:ascii="Verdana" w:hAnsi="Verdana" w:cs="Times New Roman"/>
          <w:sz w:val="20"/>
          <w:szCs w:val="20"/>
        </w:rPr>
        <w:t xml:space="preserve"> y los supuestos ingresos millonarios percibidos por el señor Vladimiro Montesinos Torres, asesor del Servicio de Inteligencia del Perú.</w:t>
      </w:r>
    </w:p>
    <w:p w14:paraId="62D75B2F" w14:textId="011B8AE1"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158.</w:t>
      </w:r>
      <w:r w:rsidRPr="00D86945">
        <w:rPr>
          <w:rFonts w:ascii="Verdana" w:hAnsi="Verdana" w:cs="Times New Roman"/>
          <w:sz w:val="20"/>
          <w:szCs w:val="20"/>
        </w:rPr>
        <w:tab/>
        <w:t xml:space="preserve">De igual manera se ha demostrado que, como consecuencia de la línea editorial asumida por el Canal 2, el señor </w:t>
      </w:r>
      <w:proofErr w:type="spellStart"/>
      <w:r w:rsidRPr="00D86945">
        <w:rPr>
          <w:rFonts w:ascii="Verdana" w:hAnsi="Verdana" w:cs="Times New Roman"/>
          <w:sz w:val="20"/>
          <w:szCs w:val="20"/>
        </w:rPr>
        <w:t>Ivcher</w:t>
      </w:r>
      <w:proofErr w:type="spellEnd"/>
      <w:r w:rsidRPr="00D86945">
        <w:rPr>
          <w:rFonts w:ascii="Verdana" w:hAnsi="Verdana" w:cs="Times New Roman"/>
          <w:sz w:val="20"/>
          <w:szCs w:val="20"/>
        </w:rPr>
        <w:t xml:space="preserve"> fue objeto de acciones intimidatorias de diverso tipo.</w:t>
      </w:r>
      <w:r w:rsidR="00D35646" w:rsidRPr="00D86945">
        <w:rPr>
          <w:rFonts w:ascii="Verdana" w:hAnsi="Verdana" w:cs="Times New Roman"/>
          <w:sz w:val="20"/>
          <w:szCs w:val="20"/>
        </w:rPr>
        <w:t xml:space="preserve"> </w:t>
      </w:r>
      <w:r w:rsidRPr="00D86945">
        <w:rPr>
          <w:rFonts w:ascii="Verdana" w:hAnsi="Verdana" w:cs="Times New Roman"/>
          <w:sz w:val="20"/>
          <w:szCs w:val="20"/>
        </w:rPr>
        <w:t xml:space="preserve">Por ejemplo, luego de la emisión de uno de los reportajes mencionados en el párrafo anterior, el Comando Conjunto de las Fuerzas Armadas emitió un comunicado oficial en el que denunciaba al señor </w:t>
      </w:r>
      <w:proofErr w:type="spellStart"/>
      <w:r w:rsidRPr="00D86945">
        <w:rPr>
          <w:rFonts w:ascii="Verdana" w:hAnsi="Verdana" w:cs="Times New Roman"/>
          <w:sz w:val="20"/>
          <w:szCs w:val="20"/>
        </w:rPr>
        <w:t>Ivcher</w:t>
      </w:r>
      <w:proofErr w:type="spellEnd"/>
      <w:r w:rsidRPr="00D86945">
        <w:rPr>
          <w:rFonts w:ascii="Verdana" w:hAnsi="Verdana" w:cs="Times New Roman"/>
          <w:sz w:val="20"/>
          <w:szCs w:val="20"/>
        </w:rPr>
        <w:t xml:space="preserve"> por llevar a cabo una campaña difamatoria tendiente a desprestigiar a las Fuerzas Armadas </w:t>
      </w:r>
      <w:r w:rsidR="005E0C2B">
        <w:rPr>
          <w:rFonts w:ascii="Verdana" w:hAnsi="Verdana" w:cs="Times New Roman"/>
          <w:sz w:val="20"/>
          <w:szCs w:val="20"/>
        </w:rPr>
        <w:t>[...]</w:t>
      </w:r>
      <w:r w:rsidRPr="00D86945">
        <w:rPr>
          <w:rFonts w:ascii="Verdana" w:hAnsi="Verdana" w:cs="Times New Roman"/>
          <w:sz w:val="20"/>
          <w:szCs w:val="20"/>
        </w:rPr>
        <w:t>.</w:t>
      </w:r>
      <w:r w:rsidR="00D35646" w:rsidRPr="00D86945">
        <w:rPr>
          <w:rFonts w:ascii="Verdana" w:hAnsi="Verdana" w:cs="Times New Roman"/>
          <w:sz w:val="20"/>
          <w:szCs w:val="20"/>
        </w:rPr>
        <w:t xml:space="preserve"> </w:t>
      </w:r>
      <w:r w:rsidRPr="00D86945">
        <w:rPr>
          <w:rFonts w:ascii="Verdana" w:hAnsi="Verdana" w:cs="Times New Roman"/>
          <w:sz w:val="20"/>
          <w:szCs w:val="20"/>
        </w:rPr>
        <w:t xml:space="preserve">Además, el mismo día en que el Ejército emitió dicho comunicado, el Poder Ejecutivo del Perú expidió un decreto supremo que reglamentó la Ley de Nacionalidad, estableciendo la posibilidad de cancelar ésta a los peruanos naturalizados </w:t>
      </w:r>
      <w:r w:rsidR="005E0C2B">
        <w:rPr>
          <w:rFonts w:ascii="Verdana" w:hAnsi="Verdana" w:cs="Times New Roman"/>
          <w:sz w:val="20"/>
          <w:szCs w:val="20"/>
        </w:rPr>
        <w:t>[...]</w:t>
      </w:r>
      <w:r w:rsidRPr="00D86945">
        <w:rPr>
          <w:rFonts w:ascii="Verdana" w:hAnsi="Verdana" w:cs="Times New Roman"/>
          <w:sz w:val="20"/>
          <w:szCs w:val="20"/>
        </w:rPr>
        <w:t>.</w:t>
      </w:r>
    </w:p>
    <w:p w14:paraId="7AD1F4A9" w14:textId="22C05645"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159.</w:t>
      </w:r>
      <w:r w:rsidRPr="00D86945">
        <w:rPr>
          <w:rFonts w:ascii="Verdana" w:hAnsi="Verdana" w:cs="Times New Roman"/>
          <w:sz w:val="20"/>
          <w:szCs w:val="20"/>
        </w:rPr>
        <w:tab/>
        <w:t xml:space="preserve">Ha sido probado también que días después de que el Canal 2 anunciara la presentación de un reportaje sobre grabaciones ilegales de conversaciones telefónicas sostenidas por candidatos de la oposición, el Director General de la Policía Nacional informó que no se había localizado el expediente en el que se tramitó el título de nacionalidad del señor </w:t>
      </w:r>
      <w:proofErr w:type="spellStart"/>
      <w:r w:rsidRPr="00D86945">
        <w:rPr>
          <w:rFonts w:ascii="Verdana" w:hAnsi="Verdana" w:cs="Times New Roman"/>
          <w:sz w:val="20"/>
          <w:szCs w:val="20"/>
        </w:rPr>
        <w:t>Ivcher</w:t>
      </w:r>
      <w:proofErr w:type="spellEnd"/>
      <w:r w:rsidRPr="00D86945">
        <w:rPr>
          <w:rFonts w:ascii="Verdana" w:hAnsi="Verdana" w:cs="Times New Roman"/>
          <w:sz w:val="20"/>
          <w:szCs w:val="20"/>
        </w:rPr>
        <w:t>, y que no se había acreditado que éste hubiera renunciado a su nacionalidad israelí, razón por la cual, mediante una “resolución directoral”, se dispuso dejar sin efecto el mencionado título de nacionalidad.</w:t>
      </w:r>
    </w:p>
    <w:p w14:paraId="63A3E862" w14:textId="47BA56C7"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160.</w:t>
      </w:r>
      <w:r w:rsidRPr="00D86945">
        <w:rPr>
          <w:rFonts w:ascii="Verdana" w:hAnsi="Verdana" w:cs="Times New Roman"/>
          <w:sz w:val="20"/>
          <w:szCs w:val="20"/>
        </w:rPr>
        <w:tab/>
        <w:t xml:space="preserve">Como consecuencia de lo anterior, el 1 de agosto de 1997 el Juez </w:t>
      </w:r>
      <w:proofErr w:type="spellStart"/>
      <w:r w:rsidRPr="00D86945">
        <w:rPr>
          <w:rFonts w:ascii="Verdana" w:hAnsi="Verdana" w:cs="Times New Roman"/>
          <w:sz w:val="20"/>
          <w:szCs w:val="20"/>
        </w:rPr>
        <w:t>Percy</w:t>
      </w:r>
      <w:proofErr w:type="spellEnd"/>
      <w:r w:rsidRPr="00D86945">
        <w:rPr>
          <w:rFonts w:ascii="Verdana" w:hAnsi="Verdana" w:cs="Times New Roman"/>
          <w:sz w:val="20"/>
          <w:szCs w:val="20"/>
        </w:rPr>
        <w:t xml:space="preserve"> Escobar ordenó que se suspendiera el ejercicio de los derechos del señor </w:t>
      </w:r>
      <w:proofErr w:type="spellStart"/>
      <w:r w:rsidRPr="00D86945">
        <w:rPr>
          <w:rFonts w:ascii="Verdana" w:hAnsi="Verdana" w:cs="Times New Roman"/>
          <w:sz w:val="20"/>
          <w:szCs w:val="20"/>
        </w:rPr>
        <w:t>Ivcher</w:t>
      </w:r>
      <w:proofErr w:type="spellEnd"/>
      <w:r w:rsidRPr="00D86945">
        <w:rPr>
          <w:rFonts w:ascii="Verdana" w:hAnsi="Verdana" w:cs="Times New Roman"/>
          <w:sz w:val="20"/>
          <w:szCs w:val="20"/>
        </w:rPr>
        <w:t xml:space="preserve"> como accionista mayoritario y Presidente de la Compañía y se revocara su nombramiento como Director de la misma, se convocara judicialmente a una Junta General Extraordinaria de Accionistas para elegir un nuevo Directorio y se prohibiera la transferencia de las acciones de aquél.</w:t>
      </w:r>
      <w:r w:rsidR="00D35646" w:rsidRPr="00D86945">
        <w:rPr>
          <w:rFonts w:ascii="Verdana" w:hAnsi="Verdana" w:cs="Times New Roman"/>
          <w:sz w:val="20"/>
          <w:szCs w:val="20"/>
        </w:rPr>
        <w:t xml:space="preserve"> </w:t>
      </w:r>
      <w:r w:rsidRPr="00D86945">
        <w:rPr>
          <w:rFonts w:ascii="Verdana" w:hAnsi="Verdana" w:cs="Times New Roman"/>
          <w:sz w:val="20"/>
          <w:szCs w:val="20"/>
        </w:rPr>
        <w:t xml:space="preserve">Además, otorgó la administración provisional de la Empresa a los accionistas minoritarios, hasta que se nombrase un nuevo Directorio, retirando así al señor </w:t>
      </w:r>
      <w:proofErr w:type="spellStart"/>
      <w:r w:rsidRPr="00D86945">
        <w:rPr>
          <w:rFonts w:ascii="Verdana" w:hAnsi="Verdana" w:cs="Times New Roman"/>
          <w:sz w:val="20"/>
          <w:szCs w:val="20"/>
        </w:rPr>
        <w:t>Ivcher</w:t>
      </w:r>
      <w:proofErr w:type="spellEnd"/>
      <w:r w:rsidRPr="00D86945">
        <w:rPr>
          <w:rFonts w:ascii="Verdana" w:hAnsi="Verdana" w:cs="Times New Roman"/>
          <w:sz w:val="20"/>
          <w:szCs w:val="20"/>
        </w:rPr>
        <w:t xml:space="preserve"> </w:t>
      </w:r>
      <w:proofErr w:type="spellStart"/>
      <w:r w:rsidRPr="00D86945">
        <w:rPr>
          <w:rFonts w:ascii="Verdana" w:hAnsi="Verdana" w:cs="Times New Roman"/>
          <w:sz w:val="20"/>
          <w:szCs w:val="20"/>
        </w:rPr>
        <w:t>Bronstein</w:t>
      </w:r>
      <w:proofErr w:type="spellEnd"/>
      <w:r w:rsidRPr="00D86945">
        <w:rPr>
          <w:rFonts w:ascii="Verdana" w:hAnsi="Verdana" w:cs="Times New Roman"/>
          <w:sz w:val="20"/>
          <w:szCs w:val="20"/>
        </w:rPr>
        <w:t xml:space="preserve"> del control del Canal 2.</w:t>
      </w:r>
    </w:p>
    <w:p w14:paraId="1DBAE41D" w14:textId="0ABC6CFB"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161.</w:t>
      </w:r>
      <w:r w:rsidRPr="00D86945">
        <w:rPr>
          <w:rFonts w:ascii="Verdana" w:hAnsi="Verdana" w:cs="Times New Roman"/>
          <w:sz w:val="20"/>
          <w:szCs w:val="20"/>
        </w:rPr>
        <w:tab/>
        <w:t xml:space="preserve">La Corte ha constatado que, después de que los accionistas minoritarios de la Compañía asumieron la administración de ésta, se prohibió el ingreso al Canal 2 de periodistas que laboraban en el programa Contrapunto y se modificó la línea informativa de dicho programa </w:t>
      </w:r>
      <w:r w:rsidR="005E0C2B">
        <w:rPr>
          <w:rFonts w:ascii="Verdana" w:hAnsi="Verdana" w:cs="Times New Roman"/>
          <w:sz w:val="20"/>
          <w:szCs w:val="20"/>
        </w:rPr>
        <w:t>[...]</w:t>
      </w:r>
      <w:r w:rsidRPr="00D86945">
        <w:rPr>
          <w:rFonts w:ascii="Verdana" w:hAnsi="Verdana" w:cs="Times New Roman"/>
          <w:sz w:val="20"/>
          <w:szCs w:val="20"/>
        </w:rPr>
        <w:t>.</w:t>
      </w:r>
    </w:p>
    <w:p w14:paraId="67D250D8" w14:textId="5D9DB83C"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162.</w:t>
      </w:r>
      <w:r w:rsidRPr="00D86945">
        <w:rPr>
          <w:rFonts w:ascii="Verdana" w:hAnsi="Verdana" w:cs="Times New Roman"/>
          <w:sz w:val="20"/>
          <w:szCs w:val="20"/>
        </w:rPr>
        <w:tab/>
        <w:t xml:space="preserve">En el contexto de los hechos señalados, esta Corte observa que la resolución que dejó sin efecto legal el título de nacionalidad del señor </w:t>
      </w:r>
      <w:proofErr w:type="spellStart"/>
      <w:r w:rsidRPr="00D86945">
        <w:rPr>
          <w:rFonts w:ascii="Verdana" w:hAnsi="Verdana" w:cs="Times New Roman"/>
          <w:sz w:val="20"/>
          <w:szCs w:val="20"/>
        </w:rPr>
        <w:t>Ivcher</w:t>
      </w:r>
      <w:proofErr w:type="spellEnd"/>
      <w:r w:rsidRPr="00D86945">
        <w:rPr>
          <w:rFonts w:ascii="Verdana" w:hAnsi="Verdana" w:cs="Times New Roman"/>
          <w:sz w:val="20"/>
          <w:szCs w:val="20"/>
        </w:rPr>
        <w:t xml:space="preserve"> constituyó un medio indirecto para restringir su libertad de expresión, así como la de los periodistas que laboraban e investigaban para el programa Contrapunto del Canal 2 de la televisión peruana.</w:t>
      </w:r>
    </w:p>
    <w:p w14:paraId="2C9632E3" w14:textId="06B1C4D8"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lastRenderedPageBreak/>
        <w:t>163.</w:t>
      </w:r>
      <w:r w:rsidRPr="00D86945">
        <w:rPr>
          <w:rFonts w:ascii="Verdana" w:hAnsi="Verdana" w:cs="Times New Roman"/>
          <w:sz w:val="20"/>
          <w:szCs w:val="20"/>
        </w:rPr>
        <w:tab/>
        <w:t xml:space="preserve">Al separar al señor </w:t>
      </w:r>
      <w:proofErr w:type="spellStart"/>
      <w:r w:rsidRPr="00D86945">
        <w:rPr>
          <w:rFonts w:ascii="Verdana" w:hAnsi="Verdana" w:cs="Times New Roman"/>
          <w:sz w:val="20"/>
          <w:szCs w:val="20"/>
        </w:rPr>
        <w:t>Ivcher</w:t>
      </w:r>
      <w:proofErr w:type="spellEnd"/>
      <w:r w:rsidRPr="00D86945">
        <w:rPr>
          <w:rFonts w:ascii="Verdana" w:hAnsi="Verdana" w:cs="Times New Roman"/>
          <w:sz w:val="20"/>
          <w:szCs w:val="20"/>
        </w:rPr>
        <w:t xml:space="preserve"> del control del Canal 2, y excluir a los periodistas del programa Contrapunto, el Estado no sólo restringió el derecho de éstos a circular noticias, ideas y opiniones, sino que afectó también el derecho de todos los peruanos a recibir información, limitando así su libertad para ejercer opciones políticas y desarrollarse plenamente en una sociedad democrática.</w:t>
      </w:r>
    </w:p>
    <w:p w14:paraId="192AF4FA" w14:textId="77777777"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164.</w:t>
      </w:r>
      <w:r w:rsidRPr="00D86945">
        <w:rPr>
          <w:rFonts w:ascii="Verdana" w:hAnsi="Verdana" w:cs="Times New Roman"/>
          <w:sz w:val="20"/>
          <w:szCs w:val="20"/>
        </w:rPr>
        <w:tab/>
        <w:t xml:space="preserve">Por todo lo expuesto, la Corte concluye que el Estado violó el derecho a la libertad de expresión consagrado en el artículo 13.1 y 13.3 de la Convención, en perjuicio de Baruch </w:t>
      </w:r>
      <w:proofErr w:type="spellStart"/>
      <w:r w:rsidRPr="00D86945">
        <w:rPr>
          <w:rFonts w:ascii="Verdana" w:hAnsi="Verdana" w:cs="Times New Roman"/>
          <w:sz w:val="20"/>
          <w:szCs w:val="20"/>
        </w:rPr>
        <w:t>Ivcher</w:t>
      </w:r>
      <w:proofErr w:type="spellEnd"/>
      <w:r w:rsidRPr="00D86945">
        <w:rPr>
          <w:rFonts w:ascii="Verdana" w:hAnsi="Verdana" w:cs="Times New Roman"/>
          <w:sz w:val="20"/>
          <w:szCs w:val="20"/>
        </w:rPr>
        <w:t xml:space="preserve"> </w:t>
      </w:r>
      <w:proofErr w:type="spellStart"/>
      <w:r w:rsidRPr="00D86945">
        <w:rPr>
          <w:rFonts w:ascii="Verdana" w:hAnsi="Verdana" w:cs="Times New Roman"/>
          <w:sz w:val="20"/>
          <w:szCs w:val="20"/>
        </w:rPr>
        <w:t>Bronstein</w:t>
      </w:r>
      <w:proofErr w:type="spellEnd"/>
      <w:r w:rsidRPr="00D86945">
        <w:rPr>
          <w:rFonts w:ascii="Verdana" w:hAnsi="Verdana" w:cs="Times New Roman"/>
          <w:sz w:val="20"/>
          <w:szCs w:val="20"/>
        </w:rPr>
        <w:t>.</w:t>
      </w:r>
    </w:p>
    <w:p w14:paraId="2F3778C4" w14:textId="64EBD9D3" w:rsidR="00987FF9" w:rsidRPr="00D86945" w:rsidRDefault="00987FF9" w:rsidP="004F4FE7">
      <w:pPr>
        <w:spacing w:line="240" w:lineRule="auto"/>
        <w:ind w:right="49"/>
        <w:jc w:val="both"/>
        <w:rPr>
          <w:rFonts w:ascii="Verdana" w:eastAsia="Times New Roman" w:hAnsi="Verdana" w:cs="Times New Roman"/>
          <w:sz w:val="20"/>
          <w:szCs w:val="20"/>
          <w:lang w:eastAsia="es-ES_tradnl"/>
        </w:rPr>
      </w:pPr>
      <w:r w:rsidRPr="00D86945">
        <w:rPr>
          <w:rFonts w:ascii="Verdana" w:eastAsia="Times New Roman" w:hAnsi="Verdana" w:cs="Times New Roman"/>
          <w:b/>
          <w:bCs/>
          <w:sz w:val="20"/>
          <w:szCs w:val="20"/>
          <w:shd w:val="clear" w:color="auto" w:fill="FFFFFF"/>
          <w:lang w:eastAsia="es-ES_tradnl"/>
        </w:rPr>
        <w:t>Corte IDH. Caso Palamara Iribarne Vs. Chile. Fondo, Reparaciones y Costas. Sentencia de 22 de noviembre de 2005. Serie C No. 135</w:t>
      </w:r>
      <w:r w:rsidR="00A87244">
        <w:rPr>
          <w:rFonts w:ascii="Verdana" w:eastAsia="Times New Roman" w:hAnsi="Verdana" w:cs="Times New Roman"/>
          <w:b/>
          <w:bCs/>
          <w:sz w:val="20"/>
          <w:szCs w:val="20"/>
          <w:shd w:val="clear" w:color="auto" w:fill="FFFFFF"/>
          <w:lang w:eastAsia="es-ES_tradnl"/>
        </w:rPr>
        <w:t>.</w:t>
      </w:r>
    </w:p>
    <w:p w14:paraId="19500E0B" w14:textId="25288FB4" w:rsidR="00987FF9" w:rsidRPr="00D86945" w:rsidRDefault="00987FF9" w:rsidP="004F4FE7">
      <w:pPr>
        <w:tabs>
          <w:tab w:val="left" w:pos="360"/>
        </w:tabs>
        <w:spacing w:line="240" w:lineRule="auto"/>
        <w:ind w:right="49"/>
        <w:jc w:val="both"/>
        <w:rPr>
          <w:rFonts w:ascii="Verdana" w:hAnsi="Verdana" w:cs="Times New Roman"/>
          <w:sz w:val="20"/>
          <w:szCs w:val="20"/>
        </w:rPr>
      </w:pPr>
      <w:r w:rsidRPr="00D86945">
        <w:rPr>
          <w:rFonts w:ascii="Verdana" w:hAnsi="Verdana" w:cs="Times New Roman"/>
          <w:sz w:val="20"/>
          <w:szCs w:val="20"/>
        </w:rPr>
        <w:t>94.</w:t>
      </w:r>
      <w:r w:rsidRPr="00D86945">
        <w:rPr>
          <w:rFonts w:ascii="Verdana" w:hAnsi="Verdana" w:cs="Times New Roman"/>
          <w:sz w:val="20"/>
          <w:szCs w:val="20"/>
        </w:rPr>
        <w:tab/>
      </w:r>
      <w:r w:rsidRPr="00D86945">
        <w:rPr>
          <w:rFonts w:ascii="Verdana" w:hAnsi="Verdana" w:cs="Times New Roman"/>
          <w:sz w:val="20"/>
          <w:szCs w:val="20"/>
        </w:rPr>
        <w:tab/>
        <w:t xml:space="preserve">Asimismo, el Tribunal considera que, en este caso, la investigación sumaria administrativa </w:t>
      </w:r>
      <w:r w:rsidR="005E0C2B">
        <w:rPr>
          <w:rFonts w:ascii="Verdana" w:hAnsi="Verdana" w:cs="Times New Roman"/>
          <w:sz w:val="20"/>
          <w:szCs w:val="20"/>
        </w:rPr>
        <w:t>[...]</w:t>
      </w:r>
      <w:r w:rsidRPr="00D86945">
        <w:rPr>
          <w:rFonts w:ascii="Verdana" w:hAnsi="Verdana" w:cs="Times New Roman"/>
          <w:sz w:val="20"/>
          <w:szCs w:val="20"/>
        </w:rPr>
        <w:t xml:space="preserve">, la decisión de suspender la autorización que tenía el señor Palamara Iribarne para hacer publicaciones en un diario </w:t>
      </w:r>
      <w:r w:rsidR="005E0C2B">
        <w:rPr>
          <w:rFonts w:ascii="Verdana" w:hAnsi="Verdana" w:cs="Times New Roman"/>
          <w:sz w:val="20"/>
          <w:szCs w:val="20"/>
        </w:rPr>
        <w:t>[...]</w:t>
      </w:r>
      <w:r w:rsidRPr="00D86945">
        <w:rPr>
          <w:rFonts w:ascii="Verdana" w:hAnsi="Verdana" w:cs="Times New Roman"/>
          <w:sz w:val="20"/>
          <w:szCs w:val="20"/>
        </w:rPr>
        <w:t xml:space="preserve"> y la decisión de dar “término anticipado del contrato” del señor Palamara Iribarne </w:t>
      </w:r>
      <w:r w:rsidR="005E0C2B">
        <w:rPr>
          <w:rFonts w:ascii="Verdana" w:hAnsi="Verdana" w:cs="Times New Roman"/>
          <w:sz w:val="20"/>
          <w:szCs w:val="20"/>
        </w:rPr>
        <w:t>[...]</w:t>
      </w:r>
      <w:r w:rsidRPr="00D86945">
        <w:rPr>
          <w:rFonts w:ascii="Verdana" w:hAnsi="Verdana" w:cs="Times New Roman"/>
          <w:sz w:val="20"/>
          <w:szCs w:val="20"/>
        </w:rPr>
        <w:t xml:space="preserve"> constituyeron medios indirectos de restricción a la libertad de pensamiento y de expresión del señor Palamara Iribarne. </w:t>
      </w:r>
    </w:p>
    <w:p w14:paraId="5C112941" w14:textId="399F349D"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b/>
          <w:sz w:val="20"/>
          <w:szCs w:val="20"/>
          <w:lang w:val="es-CR"/>
        </w:rPr>
        <w:t xml:space="preserve">Corte IDH. Caso </w:t>
      </w:r>
      <w:proofErr w:type="spellStart"/>
      <w:r w:rsidRPr="00D86945">
        <w:rPr>
          <w:rFonts w:ascii="Verdana" w:hAnsi="Verdana"/>
          <w:b/>
          <w:sz w:val="20"/>
          <w:szCs w:val="20"/>
          <w:lang w:val="es-CR"/>
        </w:rPr>
        <w:t>Granier</w:t>
      </w:r>
      <w:proofErr w:type="spellEnd"/>
      <w:r w:rsidRPr="00D86945">
        <w:rPr>
          <w:rFonts w:ascii="Verdana" w:hAnsi="Verdana"/>
          <w:b/>
          <w:sz w:val="20"/>
          <w:szCs w:val="20"/>
          <w:lang w:val="es-CR"/>
        </w:rPr>
        <w:t xml:space="preserve"> y otros (Radio Caracas Televisión) Vs. Venezuela. Excepciones Preliminares, Fondo, Reparaciones y Costas. Sentencia de 22 de junio de 2015. Serie C No. 293</w:t>
      </w:r>
      <w:r w:rsidRPr="00D86945">
        <w:rPr>
          <w:rFonts w:ascii="Verdana" w:hAnsi="Verdana"/>
          <w:sz w:val="20"/>
          <w:szCs w:val="20"/>
          <w:lang w:val="es-CR"/>
        </w:rPr>
        <w:t>.</w:t>
      </w:r>
    </w:p>
    <w:p w14:paraId="5C6672AD" w14:textId="2BB23A03"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161.</w:t>
      </w:r>
      <w:r w:rsidRPr="00D86945">
        <w:rPr>
          <w:rFonts w:ascii="Verdana" w:hAnsi="Verdana"/>
          <w:sz w:val="20"/>
          <w:szCs w:val="20"/>
          <w:lang w:val="es-CR"/>
        </w:rPr>
        <w:tab/>
        <w:t xml:space="preserve">En el presente caso se ha argumentado que se estaría frente a una posible restricción indirecta al derecho a la libertad de expresión, razón por la cual la Corte resalta que el artículo 13.3 de la Convención hace referencia expresa a tal situación al señalar que “[n]o se puede restringir el derecho de expresión por vías o medios indirectos, tales como el abuso de controles oficiales o particulares de papel para periódicos, de frecuencias radioeléctricas, o de enseres y aparatos usados en la difusión de información o por cualesquiera otros medios encaminados a impedir la comunicación y la circulación de ideas y opiniones”. Este Tribunal considera que el alcance del artículo 13.3 de la Convención debe ser el resultado de una lectura conjunta con el artículo 13.1 de la Convención, en el sentido que una interpretación amplia de esta norma permite considerar que protege en forma específica la comunicación, difusión y circulación de ideas y opiniones, de modo que queda prohibido el empleo de “vías o medios indirectos” para restringirlas. </w:t>
      </w:r>
    </w:p>
    <w:p w14:paraId="7917A0A1" w14:textId="47107128"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162.</w:t>
      </w:r>
      <w:r w:rsidRPr="00D86945">
        <w:rPr>
          <w:rFonts w:ascii="Verdana" w:hAnsi="Verdana"/>
          <w:sz w:val="20"/>
          <w:szCs w:val="20"/>
          <w:lang w:val="es-CR"/>
        </w:rPr>
        <w:tab/>
        <w:t>Al respecto, la Corte señala que lo que busca este inciso es ejemplificar formas más sutiles de restricción al derecho a la libertad de expresión por parte de autoridades estatales o particulares. En efecto, este Tribunal ha tenido la oportunidad de declarar en casos anteriores la restricción indirecta producida, por ejemplo, mediante una decisión que dejó “sin efecto legal el título de nacionalidad” del accionista mayoritario de un canal de televisión</w:t>
      </w:r>
      <w:r w:rsidR="00D35646" w:rsidRPr="00D86945">
        <w:rPr>
          <w:rFonts w:ascii="Verdana" w:hAnsi="Verdana"/>
          <w:sz w:val="20"/>
          <w:szCs w:val="20"/>
          <w:lang w:val="es-CR"/>
        </w:rPr>
        <w:t xml:space="preserve"> </w:t>
      </w:r>
      <w:r w:rsidRPr="00D86945">
        <w:rPr>
          <w:rFonts w:ascii="Verdana" w:hAnsi="Verdana"/>
          <w:sz w:val="20"/>
          <w:szCs w:val="20"/>
          <w:lang w:val="es-CR"/>
        </w:rPr>
        <w:t xml:space="preserve">o por “el proceso penal, la consecuente condena impuesta […] durante más de ocho años y las restricciones para salir del país durante ocho años” en contra de un candidato presidencial. </w:t>
      </w:r>
    </w:p>
    <w:p w14:paraId="5CBD92BE" w14:textId="1A4F1D8A"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163.</w:t>
      </w:r>
      <w:r w:rsidRPr="00D86945">
        <w:rPr>
          <w:rFonts w:ascii="Verdana" w:hAnsi="Verdana"/>
          <w:sz w:val="20"/>
          <w:szCs w:val="20"/>
          <w:lang w:val="es-CR"/>
        </w:rPr>
        <w:tab/>
        <w:t xml:space="preserve">Por otra parte, la enunciación de medios restrictivos que hace el artículo 13.3 no es taxativa ni impide considerar “cualesquiera otros medios” o vías indirectas derivados de nuevas tecnologías. En este sentido, el artículo 13 de la Declaración de Principios sobre la Libertad de Expresión indica otros ejemplos de medios o vías indirectas, al manifestar que “[l]a utilización del poder del Estado y los recursos de la hacienda pública; la concesión de prebendas arancelarias; la asignación arbitraria y discriminatoria de publicidad oficial y créditos oficiales; el otorgamiento de frecuencias de radio y televisión, entre otros, con el objetivo de presionar y castigar o premiar y privilegiar a los comunicadores sociales y a los medios de comunicación en función de sus líneas informativas, atenta contra la libertad de expresión y deben estar expresamente prohibidos por la ley. Los medios de comunicación social tienen </w:t>
      </w:r>
      <w:r w:rsidRPr="00D86945">
        <w:rPr>
          <w:rFonts w:ascii="Verdana" w:hAnsi="Verdana"/>
          <w:sz w:val="20"/>
          <w:szCs w:val="20"/>
          <w:lang w:val="es-CR"/>
        </w:rPr>
        <w:lastRenderedPageBreak/>
        <w:t>derecho a realizar su labor en forma independiente. Presiones directas o indirectas dirigidas a silenciar la labor informativa de los comunicadores sociales son incompatibles con la libertad de expresión”</w:t>
      </w:r>
      <w:r w:rsidR="00215583">
        <w:rPr>
          <w:rFonts w:ascii="Verdana" w:hAnsi="Verdana"/>
          <w:sz w:val="20"/>
          <w:szCs w:val="20"/>
          <w:lang w:val="es-CR"/>
        </w:rPr>
        <w:t>.</w:t>
      </w:r>
      <w:r w:rsidRPr="00D86945">
        <w:rPr>
          <w:rFonts w:ascii="Verdana" w:hAnsi="Verdana"/>
          <w:sz w:val="20"/>
          <w:szCs w:val="20"/>
          <w:lang w:val="es-CR"/>
        </w:rPr>
        <w:t xml:space="preserve"> Igualmente, el perito García Belaunde durante la audiencia pública hizo referencia a otras posibles formas de restricción indirecta relacionadas con: i) “la publicidad, [ya que] los Estados son importantes agentes de publicidad y […] dar mucha publicidad o quitarla puede ser importante y, dado el caso, puede haber una especie de asfixia para los medios que básicamente viven de la publicidad”, o ii) “la tributación [cuando se dan] casos [en] que [las] empresas […] han sido cargadas tributariamente” con el fin de generar molestias o enviar mensajes al medio de comunicación. </w:t>
      </w:r>
    </w:p>
    <w:p w14:paraId="5048ED15" w14:textId="5CDE2693"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164.</w:t>
      </w:r>
      <w:r w:rsidRPr="00D86945">
        <w:rPr>
          <w:rFonts w:ascii="Verdana" w:hAnsi="Verdana"/>
          <w:sz w:val="20"/>
          <w:szCs w:val="20"/>
          <w:lang w:val="es-CR"/>
        </w:rPr>
        <w:tab/>
        <w:t>Asimismo, la Corte recuerda que para que se configure una violación al artículo 13.3 de la Convención es necesario que la vía o el medio restrinjan efectivamente, en forma indirecta, la comunicación y la circulación de ideas y opiniones. Además, la Corte reitera que el artículo 13.3 de la Convención impone al Estado obligaciones de garantía, aún en el ámbito de las relaciones entre particulares, pues no sólo abarca restricciones gubernamentales indirectas, sino también controles particulares que produzcan el mismo resultado. Al respecto, la Corte resalta que la restricción indirecta puede llegar a generar un efecto disuasivo, atemorizador e inhibidor sobre todos los que ejercen el derecho a la libertad de expresión, lo que, a su vez, impide el debate público sobre temas de interés de la sociedad.</w:t>
      </w:r>
    </w:p>
    <w:p w14:paraId="06AC9B1C" w14:textId="517AAD11"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165.</w:t>
      </w:r>
      <w:r w:rsidRPr="00D86945">
        <w:rPr>
          <w:rFonts w:ascii="Verdana" w:hAnsi="Verdana"/>
          <w:sz w:val="20"/>
          <w:szCs w:val="20"/>
          <w:lang w:val="es-CR"/>
        </w:rPr>
        <w:tab/>
        <w:t>Como se mencionó anteriormente, el artículo 13.3 de la Convención hace referencia a que uno de los ejemplos de restricción indirecta sería el “abuso de controles oficiales o particulares […] de frecuencias radioeléctricas”. Al respecto, cabe resaltar que la Corte reconoce la potestad y necesidad que tienen los Estados para regular la actividad de radiodifusión, la cual abarca no sólo la posibilidad de definir la forma en que se realizan las concesiones, renovaciones o revocaciones de las licencias, sino también la de planificar e implementar políticas públicas sobre dicha actividad, siempre y cuando se respeten las pautas que impone el derecho a la libertad de expresión. Lo anterior debido a que la adopción o renovación de una concesión en materia de radiodifusión no puede ser equiparable a la de otros servicios públicos, por cuanto los alcances del derecho a la libertad de expresión deben permear la regulación sobre la materia. En este sentido, el perito Cifuentes Muñoz manifestó durante la audiencia pública del presente caso que:</w:t>
      </w:r>
    </w:p>
    <w:p w14:paraId="430D980C" w14:textId="1F61E6A3" w:rsidR="00987FF9" w:rsidRPr="004F4FE7" w:rsidRDefault="00987FF9" w:rsidP="004F4FE7">
      <w:pPr>
        <w:spacing w:line="240" w:lineRule="auto"/>
        <w:ind w:left="1416" w:right="49"/>
        <w:jc w:val="both"/>
        <w:rPr>
          <w:rFonts w:ascii="Verdana" w:hAnsi="Verdana"/>
          <w:sz w:val="18"/>
          <w:szCs w:val="18"/>
          <w:lang w:val="es-CR"/>
        </w:rPr>
      </w:pPr>
      <w:r w:rsidRPr="004F4FE7">
        <w:rPr>
          <w:rFonts w:ascii="Verdana" w:hAnsi="Verdana"/>
          <w:sz w:val="18"/>
          <w:szCs w:val="18"/>
          <w:lang w:val="es-CR"/>
        </w:rPr>
        <w:t>las reglas de las concesiones […] y las licencias deben estar claramente determinadas en la ley, pero esta ley en la medida en que supone restricción tiene que necesariamente sujetarse a los postulados y a las exigencias de la libertad de expresión, ya he señalado que la libertad de expresión ejerce un efecto irradiador dominante sobre el alcance de estas funciones</w:t>
      </w:r>
      <w:r w:rsidR="00215583">
        <w:rPr>
          <w:rFonts w:ascii="Verdana" w:hAnsi="Verdana"/>
          <w:sz w:val="18"/>
          <w:szCs w:val="18"/>
          <w:lang w:val="es-CR"/>
        </w:rPr>
        <w:t>.</w:t>
      </w:r>
    </w:p>
    <w:p w14:paraId="313FEF99" w14:textId="1A0FED66"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166.</w:t>
      </w:r>
      <w:r w:rsidRPr="00D86945">
        <w:rPr>
          <w:rFonts w:ascii="Verdana" w:hAnsi="Verdana"/>
          <w:sz w:val="20"/>
          <w:szCs w:val="20"/>
          <w:lang w:val="es-CR"/>
        </w:rPr>
        <w:tab/>
        <w:t xml:space="preserve">Sobre este tema, el Tribunal Europeo ha manifestado en su jurisprudencia que a los Estados les es permitido el control de la transmisión en sus territorios a través de un sistema de licencias, particularmente en lo que refiere a los aspectos técnicos. Adicionalmente, desde el </w:t>
      </w:r>
      <w:r w:rsidRPr="00D86945">
        <w:rPr>
          <w:rFonts w:ascii="Verdana" w:hAnsi="Verdana"/>
          <w:i/>
          <w:sz w:val="20"/>
          <w:szCs w:val="20"/>
          <w:lang w:val="es-CR"/>
        </w:rPr>
        <w:t xml:space="preserve">caso </w:t>
      </w:r>
      <w:proofErr w:type="spellStart"/>
      <w:r w:rsidRPr="00D86945">
        <w:rPr>
          <w:rFonts w:ascii="Verdana" w:hAnsi="Verdana"/>
          <w:i/>
          <w:sz w:val="20"/>
          <w:szCs w:val="20"/>
          <w:lang w:val="es-CR"/>
        </w:rPr>
        <w:t>Informationsverein</w:t>
      </w:r>
      <w:proofErr w:type="spellEnd"/>
      <w:r w:rsidRPr="00D86945">
        <w:rPr>
          <w:rFonts w:ascii="Verdana" w:hAnsi="Verdana"/>
          <w:i/>
          <w:sz w:val="20"/>
          <w:szCs w:val="20"/>
          <w:lang w:val="es-CR"/>
        </w:rPr>
        <w:t xml:space="preserve"> </w:t>
      </w:r>
      <w:proofErr w:type="spellStart"/>
      <w:r w:rsidRPr="00D86945">
        <w:rPr>
          <w:rFonts w:ascii="Verdana" w:hAnsi="Verdana"/>
          <w:i/>
          <w:sz w:val="20"/>
          <w:szCs w:val="20"/>
          <w:lang w:val="es-CR"/>
        </w:rPr>
        <w:t>Lentia</w:t>
      </w:r>
      <w:proofErr w:type="spellEnd"/>
      <w:r w:rsidRPr="00D86945">
        <w:rPr>
          <w:rFonts w:ascii="Verdana" w:hAnsi="Verdana"/>
          <w:i/>
          <w:sz w:val="20"/>
          <w:szCs w:val="20"/>
          <w:lang w:val="es-CR"/>
        </w:rPr>
        <w:t xml:space="preserve"> y otros vs. Austria</w:t>
      </w:r>
      <w:r w:rsidRPr="00D86945">
        <w:rPr>
          <w:rFonts w:ascii="Verdana" w:hAnsi="Verdana"/>
          <w:sz w:val="20"/>
          <w:szCs w:val="20"/>
          <w:lang w:val="es-CR"/>
        </w:rPr>
        <w:t>, el Tribunal Europeo ha reiterado que además de la importancia de los aspectos técnicos, el otorgamiento o rechazo de las propuestas de licencias también pueden condicionarse partiendo de consideraciones distintas, tales como la naturaleza y los objetivos de la estación propuesta, la audiencia potencial que tendrá a nivel nacional, regional o local, los derechos y necesidades de audiencias específicas y las obligaciones derivadas d</w:t>
      </w:r>
      <w:r w:rsidR="00936988" w:rsidRPr="00D86945">
        <w:rPr>
          <w:rFonts w:ascii="Verdana" w:hAnsi="Verdana"/>
          <w:sz w:val="20"/>
          <w:szCs w:val="20"/>
          <w:lang w:val="es-CR"/>
        </w:rPr>
        <w:t>e instrumentos internacionales</w:t>
      </w:r>
      <w:r w:rsidR="00936988" w:rsidRPr="00D86945">
        <w:rPr>
          <w:rFonts w:ascii="Verdana" w:hAnsi="Verdana"/>
          <w:bCs/>
          <w:sz w:val="20"/>
          <w:szCs w:val="20"/>
        </w:rPr>
        <w:t>.</w:t>
      </w:r>
    </w:p>
    <w:p w14:paraId="76E16C2E" w14:textId="3EF001EE"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167.</w:t>
      </w:r>
      <w:r w:rsidRPr="00D86945">
        <w:rPr>
          <w:rFonts w:ascii="Verdana" w:hAnsi="Verdana"/>
          <w:sz w:val="20"/>
          <w:szCs w:val="20"/>
          <w:lang w:val="es-CR"/>
        </w:rPr>
        <w:tab/>
        <w:t>Por otra parte, el Comité de Derechos Humanos de Naciones Unidas en su observación general No. 34 hizo referencia a la necesidad de la existencia de salvaguardas o de</w:t>
      </w:r>
      <w:r w:rsidR="00D35646" w:rsidRPr="00D86945">
        <w:rPr>
          <w:rFonts w:ascii="Verdana" w:hAnsi="Verdana"/>
          <w:sz w:val="20"/>
          <w:szCs w:val="20"/>
          <w:lang w:val="es-CR"/>
        </w:rPr>
        <w:t xml:space="preserve"> </w:t>
      </w:r>
      <w:r w:rsidRPr="00D86945">
        <w:rPr>
          <w:rFonts w:ascii="Verdana" w:hAnsi="Verdana"/>
          <w:sz w:val="20"/>
          <w:szCs w:val="20"/>
          <w:lang w:val="es-CR"/>
        </w:rPr>
        <w:t>garantías generales en los procesos de concesión o renovación de licencias. En particular, el Comité indicó</w:t>
      </w:r>
      <w:r w:rsidR="00D35646" w:rsidRPr="00D86945">
        <w:rPr>
          <w:rFonts w:ascii="Verdana" w:hAnsi="Verdana"/>
          <w:sz w:val="20"/>
          <w:szCs w:val="20"/>
          <w:lang w:val="es-CR"/>
        </w:rPr>
        <w:t xml:space="preserve"> </w:t>
      </w:r>
      <w:r w:rsidRPr="00D86945">
        <w:rPr>
          <w:rFonts w:ascii="Verdana" w:hAnsi="Verdana"/>
          <w:sz w:val="20"/>
          <w:szCs w:val="20"/>
          <w:lang w:val="es-CR"/>
        </w:rPr>
        <w:t>que:</w:t>
      </w:r>
    </w:p>
    <w:p w14:paraId="3991AA12" w14:textId="098D75FB" w:rsidR="00987FF9" w:rsidRPr="004F4FE7" w:rsidRDefault="00987FF9" w:rsidP="004F4FE7">
      <w:pPr>
        <w:spacing w:line="240" w:lineRule="auto"/>
        <w:ind w:left="1416" w:right="49"/>
        <w:jc w:val="both"/>
        <w:rPr>
          <w:rFonts w:ascii="Verdana" w:hAnsi="Verdana"/>
          <w:sz w:val="18"/>
          <w:szCs w:val="18"/>
          <w:lang w:val="es-CR"/>
        </w:rPr>
      </w:pPr>
      <w:r w:rsidRPr="004F4FE7">
        <w:rPr>
          <w:rFonts w:ascii="Verdana" w:hAnsi="Verdana"/>
          <w:sz w:val="18"/>
          <w:szCs w:val="18"/>
          <w:lang w:val="es-CR"/>
        </w:rPr>
        <w:lastRenderedPageBreak/>
        <w:t>Los Estados partes no deben imponer regímenes de licencia y derechos onerosos a los medios de la radiodifusión y la televisión, incluidas las emisoras comunitarias y comerciales</w:t>
      </w:r>
      <w:r w:rsidR="00215583">
        <w:rPr>
          <w:rFonts w:ascii="Verdana" w:hAnsi="Verdana"/>
          <w:sz w:val="18"/>
          <w:szCs w:val="18"/>
          <w:lang w:val="es-CR"/>
        </w:rPr>
        <w:t>.</w:t>
      </w:r>
      <w:r w:rsidRPr="004F4FE7">
        <w:rPr>
          <w:rFonts w:ascii="Verdana" w:hAnsi="Verdana"/>
          <w:sz w:val="18"/>
          <w:szCs w:val="18"/>
          <w:lang w:val="es-CR"/>
        </w:rPr>
        <w:t xml:space="preserve"> Los criterios para la aplicación de esos regímenes o el cobro de esas licencias deben ser razonables y objetivos</w:t>
      </w:r>
      <w:r w:rsidR="00215583">
        <w:rPr>
          <w:rFonts w:ascii="Verdana" w:hAnsi="Verdana"/>
          <w:sz w:val="18"/>
          <w:szCs w:val="18"/>
          <w:lang w:val="es-CR"/>
        </w:rPr>
        <w:t>,</w:t>
      </w:r>
      <w:r w:rsidRPr="004F4FE7">
        <w:rPr>
          <w:rFonts w:ascii="Verdana" w:hAnsi="Verdana"/>
          <w:sz w:val="18"/>
          <w:szCs w:val="18"/>
          <w:lang w:val="es-CR"/>
        </w:rPr>
        <w:t xml:space="preserve"> claros</w:t>
      </w:r>
      <w:r w:rsidR="00215583">
        <w:rPr>
          <w:rFonts w:ascii="Verdana" w:hAnsi="Verdana"/>
          <w:sz w:val="18"/>
          <w:szCs w:val="18"/>
          <w:lang w:val="es-CR"/>
        </w:rPr>
        <w:t>,</w:t>
      </w:r>
      <w:r w:rsidRPr="004F4FE7">
        <w:rPr>
          <w:rFonts w:ascii="Verdana" w:hAnsi="Verdana"/>
          <w:sz w:val="18"/>
          <w:szCs w:val="18"/>
          <w:lang w:val="es-CR"/>
        </w:rPr>
        <w:t xml:space="preserve"> transparentes</w:t>
      </w:r>
      <w:r w:rsidR="00D35646" w:rsidRPr="004F4FE7">
        <w:rPr>
          <w:rFonts w:ascii="Verdana" w:hAnsi="Verdana"/>
          <w:sz w:val="18"/>
          <w:szCs w:val="18"/>
          <w:lang w:val="es-CR"/>
        </w:rPr>
        <w:t xml:space="preserve"> </w:t>
      </w:r>
      <w:r w:rsidRPr="004F4FE7">
        <w:rPr>
          <w:rFonts w:ascii="Verdana" w:hAnsi="Verdana"/>
          <w:sz w:val="18"/>
          <w:szCs w:val="18"/>
          <w:lang w:val="es-CR"/>
        </w:rPr>
        <w:t>y no discriminatorios, y cumplir por todos los demás conceptos lo dispuesto en el Pacto</w:t>
      </w:r>
      <w:r w:rsidR="00215583">
        <w:rPr>
          <w:rFonts w:ascii="Verdana" w:hAnsi="Verdana"/>
          <w:sz w:val="18"/>
          <w:szCs w:val="18"/>
          <w:lang w:val="es-CR"/>
        </w:rPr>
        <w:t>.</w:t>
      </w:r>
      <w:r w:rsidRPr="004F4FE7">
        <w:rPr>
          <w:rFonts w:ascii="Verdana" w:hAnsi="Verdana"/>
          <w:sz w:val="18"/>
          <w:szCs w:val="18"/>
          <w:lang w:val="es-CR"/>
        </w:rPr>
        <w:t xml:space="preserve"> En los regímenes de licencias para los medios de difusión con capacidad limitada, como los servicios audiovisuales por satélite o terrestres, hay que asignar en forma equitativa el acceso y las frecuencias entre las empresas de radio y televisión públicas, comerciales y de la comunidad. Se recomienda que los Estados partes que no lo hayan hecho aún establezcan un órgano independiente y público encargado de las licencias de emisión de radio y televisión, facultado para examinar las solicitudes y otorgar las licencias. </w:t>
      </w:r>
    </w:p>
    <w:p w14:paraId="5169DC6B" w14:textId="0DAE2D16"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168.</w:t>
      </w:r>
      <w:r w:rsidRPr="00D86945">
        <w:rPr>
          <w:rFonts w:ascii="Verdana" w:hAnsi="Verdana"/>
          <w:sz w:val="20"/>
          <w:szCs w:val="20"/>
          <w:lang w:val="es-CR"/>
        </w:rPr>
        <w:tab/>
        <w:t xml:space="preserve">En similar sentido, el Tribunal Europeo ha procurado incluir y reiterar las recomendaciones del Comité de Ministros del Consejo de Europa en los </w:t>
      </w:r>
      <w:r w:rsidRPr="00D86945">
        <w:rPr>
          <w:rFonts w:ascii="Verdana" w:hAnsi="Verdana"/>
          <w:i/>
          <w:sz w:val="20"/>
          <w:szCs w:val="20"/>
          <w:lang w:val="es-CR"/>
        </w:rPr>
        <w:t xml:space="preserve">casos Glas </w:t>
      </w:r>
      <w:proofErr w:type="spellStart"/>
      <w:r w:rsidRPr="00D86945">
        <w:rPr>
          <w:rFonts w:ascii="Verdana" w:hAnsi="Verdana"/>
          <w:i/>
          <w:sz w:val="20"/>
          <w:szCs w:val="20"/>
          <w:lang w:val="es-CR"/>
        </w:rPr>
        <w:t>Nadezhda</w:t>
      </w:r>
      <w:proofErr w:type="spellEnd"/>
      <w:r w:rsidRPr="00D86945">
        <w:rPr>
          <w:rFonts w:ascii="Verdana" w:hAnsi="Verdana"/>
          <w:i/>
          <w:sz w:val="20"/>
          <w:szCs w:val="20"/>
          <w:lang w:val="es-CR"/>
        </w:rPr>
        <w:t xml:space="preserve"> </w:t>
      </w:r>
      <w:proofErr w:type="spellStart"/>
      <w:r w:rsidRPr="00D86945">
        <w:rPr>
          <w:rFonts w:ascii="Verdana" w:hAnsi="Verdana"/>
          <w:i/>
          <w:sz w:val="20"/>
          <w:szCs w:val="20"/>
          <w:lang w:val="es-CR"/>
        </w:rPr>
        <w:t>Eood</w:t>
      </w:r>
      <w:proofErr w:type="spellEnd"/>
      <w:r w:rsidRPr="00D86945">
        <w:rPr>
          <w:rFonts w:ascii="Verdana" w:hAnsi="Verdana"/>
          <w:i/>
          <w:sz w:val="20"/>
          <w:szCs w:val="20"/>
          <w:lang w:val="es-CR"/>
        </w:rPr>
        <w:t xml:space="preserve"> y </w:t>
      </w:r>
      <w:proofErr w:type="spellStart"/>
      <w:r w:rsidRPr="00D86945">
        <w:rPr>
          <w:rFonts w:ascii="Verdana" w:hAnsi="Verdana"/>
          <w:i/>
          <w:sz w:val="20"/>
          <w:szCs w:val="20"/>
          <w:lang w:val="es-CR"/>
        </w:rPr>
        <w:t>Elenkov</w:t>
      </w:r>
      <w:proofErr w:type="spellEnd"/>
      <w:r w:rsidRPr="00D86945">
        <w:rPr>
          <w:rFonts w:ascii="Verdana" w:hAnsi="Verdana"/>
          <w:i/>
          <w:sz w:val="20"/>
          <w:szCs w:val="20"/>
          <w:lang w:val="es-CR"/>
        </w:rPr>
        <w:t xml:space="preserve"> Vs. Bulgaria</w:t>
      </w:r>
      <w:r w:rsidRPr="00D86945">
        <w:rPr>
          <w:rFonts w:ascii="Verdana" w:hAnsi="Verdana"/>
          <w:sz w:val="20"/>
          <w:szCs w:val="20"/>
          <w:lang w:val="es-CR"/>
        </w:rPr>
        <w:t xml:space="preserve"> y </w:t>
      </w:r>
      <w:proofErr w:type="spellStart"/>
      <w:r w:rsidRPr="00D86945">
        <w:rPr>
          <w:rFonts w:ascii="Verdana" w:hAnsi="Verdana"/>
          <w:i/>
          <w:sz w:val="20"/>
          <w:szCs w:val="20"/>
          <w:lang w:val="es-CR"/>
        </w:rPr>
        <w:t>Meltex</w:t>
      </w:r>
      <w:proofErr w:type="spellEnd"/>
      <w:r w:rsidRPr="00D86945">
        <w:rPr>
          <w:rFonts w:ascii="Verdana" w:hAnsi="Verdana"/>
          <w:i/>
          <w:sz w:val="20"/>
          <w:szCs w:val="20"/>
          <w:lang w:val="es-CR"/>
        </w:rPr>
        <w:t xml:space="preserve"> </w:t>
      </w:r>
      <w:proofErr w:type="spellStart"/>
      <w:r w:rsidRPr="00D86945">
        <w:rPr>
          <w:rFonts w:ascii="Verdana" w:hAnsi="Verdana"/>
          <w:i/>
          <w:sz w:val="20"/>
          <w:szCs w:val="20"/>
          <w:lang w:val="es-CR"/>
        </w:rPr>
        <w:t>Ltd</w:t>
      </w:r>
      <w:proofErr w:type="spellEnd"/>
      <w:r w:rsidRPr="00D86945">
        <w:rPr>
          <w:rFonts w:ascii="Verdana" w:hAnsi="Verdana"/>
          <w:i/>
          <w:sz w:val="20"/>
          <w:szCs w:val="20"/>
          <w:lang w:val="es-CR"/>
        </w:rPr>
        <w:t xml:space="preserve"> y </w:t>
      </w:r>
      <w:proofErr w:type="spellStart"/>
      <w:r w:rsidRPr="00D86945">
        <w:rPr>
          <w:rFonts w:ascii="Verdana" w:hAnsi="Verdana"/>
          <w:i/>
          <w:sz w:val="20"/>
          <w:szCs w:val="20"/>
          <w:lang w:val="es-CR"/>
        </w:rPr>
        <w:t>Mesrop</w:t>
      </w:r>
      <w:proofErr w:type="spellEnd"/>
      <w:r w:rsidRPr="00D86945">
        <w:rPr>
          <w:rFonts w:ascii="Verdana" w:hAnsi="Verdana"/>
          <w:i/>
          <w:sz w:val="20"/>
          <w:szCs w:val="20"/>
          <w:lang w:val="es-CR"/>
        </w:rPr>
        <w:t xml:space="preserve"> </w:t>
      </w:r>
      <w:proofErr w:type="spellStart"/>
      <w:r w:rsidRPr="00D86945">
        <w:rPr>
          <w:rFonts w:ascii="Verdana" w:hAnsi="Verdana"/>
          <w:i/>
          <w:sz w:val="20"/>
          <w:szCs w:val="20"/>
          <w:lang w:val="es-CR"/>
        </w:rPr>
        <w:t>Movsesyan</w:t>
      </w:r>
      <w:proofErr w:type="spellEnd"/>
      <w:r w:rsidRPr="00D86945">
        <w:rPr>
          <w:rFonts w:ascii="Verdana" w:hAnsi="Verdana"/>
          <w:i/>
          <w:sz w:val="20"/>
          <w:szCs w:val="20"/>
          <w:lang w:val="es-CR"/>
        </w:rPr>
        <w:t xml:space="preserve"> Vs. Armenia</w:t>
      </w:r>
      <w:r w:rsidRPr="00D86945">
        <w:rPr>
          <w:rFonts w:ascii="Verdana" w:hAnsi="Verdana"/>
          <w:sz w:val="20"/>
          <w:szCs w:val="20"/>
          <w:lang w:val="es-CR"/>
        </w:rPr>
        <w:t>, al indicar que “las directrices adoptadas por el Comité de Ministros del Consejo de Europa en el ámbito de la reglamentación de la radiodifusión requieren una aplicación abierta y transparente de las normas que rigen el procedimiento de concesión de licencias y recomiendan específicamente que ‘todas las decisiones tomadas […] por las autoridades reguladoras [...] deben ser […] debidamente motivadas [y] sujetas a revisión por l</w:t>
      </w:r>
      <w:r w:rsidR="00936988" w:rsidRPr="00D86945">
        <w:rPr>
          <w:rFonts w:ascii="Verdana" w:hAnsi="Verdana"/>
          <w:sz w:val="20"/>
          <w:szCs w:val="20"/>
          <w:lang w:val="es-CR"/>
        </w:rPr>
        <w:t>as jurisdicciones competentes’”</w:t>
      </w:r>
      <w:r w:rsidRPr="00D86945">
        <w:rPr>
          <w:rFonts w:ascii="Verdana" w:hAnsi="Verdana"/>
          <w:sz w:val="20"/>
          <w:szCs w:val="20"/>
          <w:lang w:val="es-CR"/>
        </w:rPr>
        <w:t>.</w:t>
      </w:r>
      <w:r w:rsidR="00D35646" w:rsidRPr="00D86945">
        <w:rPr>
          <w:rFonts w:ascii="Verdana" w:hAnsi="Verdana"/>
          <w:sz w:val="20"/>
          <w:szCs w:val="20"/>
          <w:lang w:val="es-CR"/>
        </w:rPr>
        <w:t xml:space="preserve"> </w:t>
      </w:r>
    </w:p>
    <w:p w14:paraId="45AF3825" w14:textId="510CC0D2"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169.</w:t>
      </w:r>
      <w:r w:rsidRPr="00D86945">
        <w:rPr>
          <w:rFonts w:ascii="Verdana" w:hAnsi="Verdana"/>
          <w:sz w:val="20"/>
          <w:szCs w:val="20"/>
          <w:lang w:val="es-CR"/>
        </w:rPr>
        <w:tab/>
        <w:t>Por otra parte, el perito Romero Graterol hizo mención a las recomendaciones establecidas por la “Unión Internacional de Telecomunicaciones”</w:t>
      </w:r>
      <w:r w:rsidR="00D35646" w:rsidRPr="00D86945">
        <w:rPr>
          <w:rFonts w:ascii="Verdana" w:hAnsi="Verdana"/>
          <w:sz w:val="20"/>
          <w:szCs w:val="20"/>
          <w:lang w:val="es-CR"/>
        </w:rPr>
        <w:t xml:space="preserve"> </w:t>
      </w:r>
      <w:r w:rsidRPr="00D86945">
        <w:rPr>
          <w:rFonts w:ascii="Verdana" w:hAnsi="Verdana"/>
          <w:sz w:val="20"/>
          <w:szCs w:val="20"/>
          <w:lang w:val="es-CR"/>
        </w:rPr>
        <w:t>(UIT o ITU [por sus siglas en inglés]) en cuanto los mínimos que deberían tener las regulaciones relacionadas con concesión o renovación de licencias. En efecto, el perito afirmó que:</w:t>
      </w:r>
    </w:p>
    <w:p w14:paraId="50E8730C" w14:textId="6E0466B4" w:rsidR="00987FF9" w:rsidRPr="00D86945" w:rsidRDefault="00987FF9" w:rsidP="004F4FE7">
      <w:pPr>
        <w:spacing w:line="240" w:lineRule="auto"/>
        <w:ind w:left="1416" w:right="49"/>
        <w:jc w:val="both"/>
        <w:rPr>
          <w:rFonts w:ascii="Verdana" w:hAnsi="Verdana"/>
          <w:sz w:val="18"/>
          <w:szCs w:val="18"/>
          <w:lang w:val="es-CR"/>
        </w:rPr>
      </w:pPr>
      <w:r w:rsidRPr="00D86945">
        <w:rPr>
          <w:rFonts w:ascii="Verdana" w:hAnsi="Verdana"/>
          <w:sz w:val="18"/>
          <w:szCs w:val="18"/>
          <w:lang w:val="es-CR"/>
        </w:rPr>
        <w:t>Se ha establecido un procedimiento sencillo en la recomendación de la UIT, en cuanto a que solo se le exige algunos requisitos de forma, como la necesidad de que se indique el tipo de procedimiento que se va a utilizar, sus plazos, información necesaria para la concesión y su documentación mínima, estableciéndose también montos y formas de garantía, que van a cubrir tanto la oferta como las obligaciones derivadas a su otorgamient</w:t>
      </w:r>
      <w:r w:rsidR="00936988" w:rsidRPr="00D86945">
        <w:rPr>
          <w:rFonts w:ascii="Verdana" w:hAnsi="Verdana"/>
          <w:sz w:val="18"/>
          <w:szCs w:val="18"/>
          <w:lang w:val="es-CR"/>
        </w:rPr>
        <w:t>o</w:t>
      </w:r>
      <w:r w:rsidRPr="00D86945">
        <w:rPr>
          <w:rFonts w:ascii="Verdana" w:hAnsi="Verdana"/>
          <w:sz w:val="18"/>
          <w:szCs w:val="18"/>
          <w:lang w:val="es-CR"/>
        </w:rPr>
        <w:t>.</w:t>
      </w:r>
      <w:r w:rsidR="00D35646" w:rsidRPr="00D86945">
        <w:rPr>
          <w:rFonts w:ascii="Verdana" w:hAnsi="Verdana"/>
          <w:sz w:val="18"/>
          <w:szCs w:val="18"/>
          <w:lang w:val="es-CR"/>
        </w:rPr>
        <w:t xml:space="preserve"> </w:t>
      </w:r>
    </w:p>
    <w:p w14:paraId="2ABE65A8" w14:textId="5C174247"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171.</w:t>
      </w:r>
      <w:r w:rsidRPr="00D86945">
        <w:rPr>
          <w:rFonts w:ascii="Verdana" w:hAnsi="Verdana"/>
          <w:sz w:val="20"/>
          <w:szCs w:val="20"/>
          <w:lang w:val="es-CR"/>
        </w:rPr>
        <w:tab/>
        <w:t>Teniendo en cuenta lo anteriormente señalado, la Corte recalca la necesidad de que los Estados regulen de manera clara y precisa los procesos que versen sobre el otorgamiento o renovación de concesiones o licencias relacionadas con la actividad de radiodifusión, mediante criterios objetivos que eviten la arbitrariedad. Específicamente, es preciso que se establezcan las salvaguardas o</w:t>
      </w:r>
      <w:r w:rsidR="00D35646" w:rsidRPr="00D86945">
        <w:rPr>
          <w:rFonts w:ascii="Verdana" w:hAnsi="Verdana"/>
          <w:sz w:val="20"/>
          <w:szCs w:val="20"/>
          <w:lang w:val="es-CR"/>
        </w:rPr>
        <w:t xml:space="preserve"> </w:t>
      </w:r>
      <w:r w:rsidRPr="00D86945">
        <w:rPr>
          <w:rFonts w:ascii="Verdana" w:hAnsi="Verdana"/>
          <w:sz w:val="20"/>
          <w:szCs w:val="20"/>
          <w:lang w:val="es-CR"/>
        </w:rPr>
        <w:t>garantías generales de debido proceso, que cada Estado determine como necesarias en estos procesos a la luz de la Convención Americana, con la finalidad de evitar el abuso de controles oficiales y la generación de posibles restricciones indirectas.</w:t>
      </w:r>
    </w:p>
    <w:p w14:paraId="7A11EAE9" w14:textId="2F2E2F6C"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197.</w:t>
      </w:r>
      <w:r w:rsidRPr="00D86945">
        <w:rPr>
          <w:rFonts w:ascii="Verdana" w:hAnsi="Verdana"/>
          <w:sz w:val="20"/>
          <w:szCs w:val="20"/>
        </w:rPr>
        <w:tab/>
        <w:t xml:space="preserve">La Corte concluye entonces, como lo ha hecho en otros casos, que los hechos del presente caso implicaron una desviación de poder, ya que se hizo uso de una facultad permitida del Estado con el objetivo de alinear editorialmente al medio de comunicación con el gobierno. La anterior afirmación se deriva a partir de las dos conclusiones principales a las cuales puede arribar este Tribunal a partir de lo descrito anteriormente, a saber, que la decisión se encontraba tomada con anterioridad y que se fundaba en las molestias generadas por la línea editorial de RCTV, sumado al contexto sobre el “deterioro a la protección a la libertad de expresión” que fue probado en el presente caso </w:t>
      </w:r>
      <w:r w:rsidR="005E0C2B">
        <w:rPr>
          <w:rFonts w:ascii="Verdana" w:hAnsi="Verdana"/>
          <w:sz w:val="20"/>
          <w:szCs w:val="20"/>
        </w:rPr>
        <w:t>[...]</w:t>
      </w:r>
      <w:r w:rsidRPr="00D86945">
        <w:rPr>
          <w:rFonts w:ascii="Verdana" w:hAnsi="Verdana"/>
          <w:sz w:val="20"/>
          <w:szCs w:val="20"/>
        </w:rPr>
        <w:t xml:space="preserve">. </w:t>
      </w:r>
    </w:p>
    <w:p w14:paraId="03DE1680" w14:textId="74364CA1"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198.</w:t>
      </w:r>
      <w:r w:rsidRPr="00D86945">
        <w:rPr>
          <w:rFonts w:ascii="Verdana" w:hAnsi="Verdana"/>
          <w:sz w:val="20"/>
          <w:szCs w:val="20"/>
        </w:rPr>
        <w:tab/>
        <w:t xml:space="preserve">Asimismo, este Tribunal considera necesario resaltar que la desviación de poder aquí declarada tuvo un impacto en el ejercicio de la libertad de expresión, no sólo en los trabajadores y directivos de RCTV, sino además en la dimensión social de dicho derecho </w:t>
      </w:r>
      <w:r w:rsidR="005E0C2B">
        <w:rPr>
          <w:rFonts w:ascii="Verdana" w:hAnsi="Verdana"/>
          <w:sz w:val="20"/>
          <w:szCs w:val="20"/>
        </w:rPr>
        <w:t>[...]</w:t>
      </w:r>
      <w:r w:rsidRPr="00D86945">
        <w:rPr>
          <w:rFonts w:ascii="Verdana" w:hAnsi="Verdana"/>
          <w:sz w:val="20"/>
          <w:szCs w:val="20"/>
        </w:rPr>
        <w:t xml:space="preserve">, es decir, en la ciudadanía que se vio privada de tener acceso a la línea editorial que RCTV representaba. En efecto, la finalidad real buscaba acallar </w:t>
      </w:r>
      <w:r w:rsidRPr="00D86945">
        <w:rPr>
          <w:rFonts w:ascii="Verdana" w:hAnsi="Verdana"/>
          <w:sz w:val="20"/>
          <w:szCs w:val="20"/>
        </w:rPr>
        <w:lastRenderedPageBreak/>
        <w:t>voces críticas al gobierno, las cuales se constituyen junto con el pluralismo, la tolerancia y el espíritu de apertura, en las demandas propias de un debate democrático que, justamente, el derecho a la libertad de expresión busca proteger.</w:t>
      </w:r>
    </w:p>
    <w:p w14:paraId="654E97CD" w14:textId="400B12D4" w:rsidR="00987FF9" w:rsidRPr="00D86945" w:rsidRDefault="00987FF9" w:rsidP="004F4FE7">
      <w:pPr>
        <w:spacing w:line="240" w:lineRule="auto"/>
        <w:ind w:right="49"/>
        <w:jc w:val="both"/>
        <w:rPr>
          <w:rFonts w:ascii="Verdana" w:hAnsi="Verdana"/>
          <w:sz w:val="20"/>
          <w:szCs w:val="20"/>
        </w:rPr>
      </w:pPr>
      <w:r w:rsidRPr="00D86945">
        <w:rPr>
          <w:rFonts w:ascii="Verdana" w:hAnsi="Verdana"/>
          <w:sz w:val="20"/>
          <w:szCs w:val="20"/>
        </w:rPr>
        <w:t>199.</w:t>
      </w:r>
      <w:r w:rsidRPr="00D86945">
        <w:rPr>
          <w:rFonts w:ascii="Verdana" w:hAnsi="Verdana"/>
          <w:sz w:val="20"/>
          <w:szCs w:val="20"/>
        </w:rPr>
        <w:tab/>
        <w:t xml:space="preserve">Se encuentra probado, en consecuencia, que en el presente caso se configuró una restricción indirecta al ejercicio del derecho a la libertad de expresión producida por la utilización de medios encaminados a impedir la comunicación y circulación de la ideas y opiniones, al decidir el Estado que se reservaría la porción del espectro y, por tanto, impedir la participación en los procedimientos administrativos para la adjudicación de los títulos o la renovación de la concesión a un medio que expresaba voces críticas contra el gobierno, razón por la cual el Tribunal declara la vulneración del artículo 13.1 y 13.3 en relación con el artículo 1.1 de la Convención Americana en perjuicio Marcel </w:t>
      </w:r>
      <w:proofErr w:type="spellStart"/>
      <w:r w:rsidRPr="00D86945">
        <w:rPr>
          <w:rFonts w:ascii="Verdana" w:hAnsi="Verdana"/>
          <w:sz w:val="20"/>
          <w:szCs w:val="20"/>
        </w:rPr>
        <w:t>Granier</w:t>
      </w:r>
      <w:proofErr w:type="spellEnd"/>
      <w:r w:rsidRPr="00D86945">
        <w:rPr>
          <w:rFonts w:ascii="Verdana" w:hAnsi="Verdana"/>
          <w:sz w:val="20"/>
          <w:szCs w:val="20"/>
        </w:rPr>
        <w:t xml:space="preserve">, Peter </w:t>
      </w:r>
      <w:proofErr w:type="spellStart"/>
      <w:r w:rsidRPr="00D86945">
        <w:rPr>
          <w:rFonts w:ascii="Verdana" w:hAnsi="Verdana"/>
          <w:sz w:val="20"/>
          <w:szCs w:val="20"/>
        </w:rPr>
        <w:t>Bottome</w:t>
      </w:r>
      <w:proofErr w:type="spellEnd"/>
      <w:r w:rsidRPr="00D86945">
        <w:rPr>
          <w:rFonts w:ascii="Verdana" w:hAnsi="Verdana"/>
          <w:sz w:val="20"/>
          <w:szCs w:val="20"/>
        </w:rPr>
        <w:t xml:space="preserve">, Jaime </w:t>
      </w:r>
      <w:proofErr w:type="spellStart"/>
      <w:r w:rsidRPr="00D86945">
        <w:rPr>
          <w:rFonts w:ascii="Verdana" w:hAnsi="Verdana"/>
          <w:sz w:val="20"/>
          <w:szCs w:val="20"/>
        </w:rPr>
        <w:t>Nestares</w:t>
      </w:r>
      <w:proofErr w:type="spellEnd"/>
      <w:r w:rsidRPr="00D86945">
        <w:rPr>
          <w:rFonts w:ascii="Verdana" w:hAnsi="Verdana"/>
          <w:sz w:val="20"/>
          <w:szCs w:val="20"/>
        </w:rPr>
        <w:t xml:space="preserve">, Inés Bacalao, Eladio </w:t>
      </w:r>
      <w:proofErr w:type="spellStart"/>
      <w:r w:rsidRPr="00D86945">
        <w:rPr>
          <w:rFonts w:ascii="Verdana" w:hAnsi="Verdana"/>
          <w:sz w:val="20"/>
          <w:szCs w:val="20"/>
        </w:rPr>
        <w:t>Lárez</w:t>
      </w:r>
      <w:proofErr w:type="spellEnd"/>
      <w:r w:rsidRPr="00D86945">
        <w:rPr>
          <w:rFonts w:ascii="Verdana" w:hAnsi="Verdana"/>
          <w:sz w:val="20"/>
          <w:szCs w:val="20"/>
        </w:rPr>
        <w:t xml:space="preserve">, Eduardo </w:t>
      </w:r>
      <w:proofErr w:type="spellStart"/>
      <w:r w:rsidRPr="00D86945">
        <w:rPr>
          <w:rFonts w:ascii="Verdana" w:hAnsi="Verdana"/>
          <w:sz w:val="20"/>
          <w:szCs w:val="20"/>
        </w:rPr>
        <w:t>Sapene</w:t>
      </w:r>
      <w:proofErr w:type="spellEnd"/>
      <w:r w:rsidRPr="00D86945">
        <w:rPr>
          <w:rFonts w:ascii="Verdana" w:hAnsi="Verdana"/>
          <w:sz w:val="20"/>
          <w:szCs w:val="20"/>
        </w:rPr>
        <w:t xml:space="preserve">, Daniela </w:t>
      </w:r>
      <w:proofErr w:type="spellStart"/>
      <w:r w:rsidRPr="00D86945">
        <w:rPr>
          <w:rFonts w:ascii="Verdana" w:hAnsi="Verdana"/>
          <w:sz w:val="20"/>
          <w:szCs w:val="20"/>
        </w:rPr>
        <w:t>Bergami</w:t>
      </w:r>
      <w:proofErr w:type="spellEnd"/>
      <w:r w:rsidRPr="00D86945">
        <w:rPr>
          <w:rFonts w:ascii="Verdana" w:hAnsi="Verdana"/>
          <w:sz w:val="20"/>
          <w:szCs w:val="20"/>
        </w:rPr>
        <w:t>, Miguel Ángel Rodríguez, Soraya Castellano, María Arriaga y Larissa Patiño.</w:t>
      </w:r>
    </w:p>
    <w:p w14:paraId="459AE8C0" w14:textId="77777777" w:rsidR="00987FF9" w:rsidRPr="00D86945" w:rsidRDefault="00987FF9" w:rsidP="004F4FE7">
      <w:pPr>
        <w:spacing w:line="240" w:lineRule="auto"/>
        <w:ind w:right="49"/>
        <w:jc w:val="both"/>
        <w:rPr>
          <w:rFonts w:ascii="Verdana" w:hAnsi="Verdana" w:cs="Times New Roman"/>
          <w:b/>
          <w:sz w:val="20"/>
          <w:szCs w:val="20"/>
        </w:rPr>
      </w:pPr>
    </w:p>
    <w:p w14:paraId="1B1E07DD" w14:textId="27D1ACB5" w:rsidR="00987FF9" w:rsidRPr="00D86945" w:rsidRDefault="00987FF9" w:rsidP="004F4FE7">
      <w:pPr>
        <w:pStyle w:val="Prrafodelista"/>
        <w:spacing w:line="240" w:lineRule="auto"/>
        <w:ind w:left="0" w:right="51"/>
        <w:jc w:val="both"/>
        <w:rPr>
          <w:rFonts w:ascii="Verdana" w:hAnsi="Verdana" w:cs="Times New Roman"/>
          <w:b/>
          <w:smallCaps/>
          <w:sz w:val="20"/>
          <w:szCs w:val="20"/>
        </w:rPr>
      </w:pPr>
    </w:p>
    <w:p w14:paraId="5E068876" w14:textId="32667D75" w:rsidR="00E556AD" w:rsidRPr="00D86945" w:rsidRDefault="00E556AD" w:rsidP="004F4FE7">
      <w:pPr>
        <w:pStyle w:val="Prrafodelista"/>
        <w:spacing w:line="240" w:lineRule="auto"/>
        <w:ind w:left="0" w:right="51"/>
        <w:jc w:val="both"/>
        <w:rPr>
          <w:rFonts w:ascii="Verdana" w:hAnsi="Verdana" w:cs="Times New Roman"/>
          <w:b/>
          <w:smallCaps/>
          <w:sz w:val="20"/>
          <w:szCs w:val="20"/>
        </w:rPr>
      </w:pPr>
    </w:p>
    <w:p w14:paraId="20E7AD00" w14:textId="77777777" w:rsidR="00E556AD" w:rsidRPr="00D86945" w:rsidRDefault="00E556AD" w:rsidP="004F4FE7">
      <w:pPr>
        <w:pStyle w:val="Prrafodelista"/>
        <w:spacing w:line="240" w:lineRule="auto"/>
        <w:ind w:left="0" w:right="49"/>
        <w:jc w:val="both"/>
        <w:outlineLvl w:val="0"/>
        <w:rPr>
          <w:rFonts w:ascii="Verdana" w:hAnsi="Verdana" w:cs="Times New Roman"/>
          <w:b/>
          <w:smallCaps/>
          <w:sz w:val="20"/>
          <w:szCs w:val="20"/>
        </w:rPr>
      </w:pPr>
    </w:p>
    <w:p w14:paraId="6AA8F8A6" w14:textId="77777777" w:rsidR="004F4FE7" w:rsidRDefault="004F4FE7" w:rsidP="004F4FE7">
      <w:pPr>
        <w:pStyle w:val="Ttulo1"/>
      </w:pPr>
      <w:r>
        <w:br w:type="page"/>
      </w:r>
    </w:p>
    <w:p w14:paraId="2DD61A5C" w14:textId="111C88B2" w:rsidR="00987FF9" w:rsidRPr="00A87244" w:rsidRDefault="005E0C2B" w:rsidP="004F4FE7">
      <w:pPr>
        <w:pStyle w:val="Ttulo1"/>
        <w:rPr>
          <w:u w:val="none"/>
        </w:rPr>
      </w:pPr>
      <w:bookmarkStart w:id="21" w:name="_Toc89691473"/>
      <w:r>
        <w:rPr>
          <w:u w:val="none"/>
        </w:rPr>
        <w:lastRenderedPageBreak/>
        <w:t>4</w:t>
      </w:r>
      <w:r w:rsidR="00987FF9" w:rsidRPr="00A87244">
        <w:rPr>
          <w:u w:val="none"/>
        </w:rPr>
        <w:t>.</w:t>
      </w:r>
      <w:r w:rsidR="00987FF9" w:rsidRPr="00A87244">
        <w:rPr>
          <w:u w:val="none"/>
        </w:rPr>
        <w:tab/>
        <w:t>No discriminación y libertad de expresión</w:t>
      </w:r>
      <w:bookmarkEnd w:id="21"/>
    </w:p>
    <w:p w14:paraId="700AEC6C" w14:textId="77777777" w:rsidR="00987FF9" w:rsidRPr="00D86945" w:rsidRDefault="00987FF9" w:rsidP="004F4FE7">
      <w:pPr>
        <w:pStyle w:val="Prrafodelista"/>
        <w:spacing w:line="240" w:lineRule="auto"/>
        <w:ind w:left="0" w:right="51"/>
        <w:jc w:val="both"/>
        <w:rPr>
          <w:rFonts w:ascii="Verdana" w:hAnsi="Verdana" w:cs="Times New Roman"/>
          <w:b/>
          <w:sz w:val="20"/>
          <w:szCs w:val="20"/>
        </w:rPr>
      </w:pPr>
    </w:p>
    <w:p w14:paraId="406C052F" w14:textId="3E374225" w:rsidR="00987FF9" w:rsidRPr="00D86945" w:rsidRDefault="00987FF9" w:rsidP="004F4FE7">
      <w:pPr>
        <w:pStyle w:val="Prrafodelista"/>
        <w:spacing w:line="240" w:lineRule="auto"/>
        <w:ind w:left="0" w:right="51"/>
        <w:jc w:val="both"/>
        <w:rPr>
          <w:rFonts w:ascii="Verdana" w:hAnsi="Verdana" w:cs="Times New Roman"/>
          <w:sz w:val="20"/>
          <w:szCs w:val="20"/>
          <w:lang w:val="es-ES"/>
        </w:rPr>
      </w:pPr>
      <w:r w:rsidRPr="00D86945">
        <w:rPr>
          <w:rFonts w:ascii="Verdana" w:hAnsi="Verdana" w:cs="Times New Roman"/>
          <w:sz w:val="20"/>
          <w:szCs w:val="20"/>
          <w:lang w:val="es-ES"/>
        </w:rPr>
        <w:t>En este primer apartado se analizan algunos desarrollos de la jurisprudencia en materia de ejercicio de la libertad de expresión en condiciones de igualdad. Particularmente, se revisan los temas vinculados con pueblos indígenas e ideas políticas, bajo la doble lógica de las garantías de derechos humanos, como medidas de prestación y de abstención por parte del Estado.</w:t>
      </w:r>
    </w:p>
    <w:p w14:paraId="35CACECB" w14:textId="77777777" w:rsidR="00987FF9" w:rsidRPr="00D86945" w:rsidRDefault="00987FF9" w:rsidP="004F4FE7">
      <w:pPr>
        <w:pStyle w:val="Prrafodelista"/>
        <w:spacing w:line="240" w:lineRule="auto"/>
        <w:ind w:left="0" w:right="51"/>
        <w:jc w:val="both"/>
        <w:rPr>
          <w:rFonts w:ascii="Verdana" w:hAnsi="Verdana" w:cs="Times New Roman"/>
          <w:b/>
          <w:sz w:val="20"/>
          <w:szCs w:val="20"/>
          <w:lang w:val="es-ES"/>
        </w:rPr>
      </w:pPr>
    </w:p>
    <w:p w14:paraId="03982373" w14:textId="20BB9A6C" w:rsidR="00987FF9" w:rsidRPr="00D86945" w:rsidRDefault="00987FF9" w:rsidP="004F4FE7">
      <w:pPr>
        <w:spacing w:line="240" w:lineRule="auto"/>
        <w:ind w:right="49"/>
        <w:jc w:val="both"/>
        <w:rPr>
          <w:rFonts w:ascii="Verdana" w:hAnsi="Verdana" w:cs="Times New Roman"/>
          <w:b/>
          <w:sz w:val="20"/>
          <w:szCs w:val="20"/>
        </w:rPr>
      </w:pPr>
      <w:r w:rsidRPr="00D86945">
        <w:rPr>
          <w:rFonts w:ascii="Verdana" w:hAnsi="Verdana" w:cs="Times New Roman"/>
          <w:b/>
          <w:sz w:val="20"/>
          <w:szCs w:val="20"/>
        </w:rPr>
        <w:t>Corte IDH. Caso López Álvarez Vs. Honduras. Fondo, Reparaciones y Costas. Sentencia de 1 de febrero de 2006. Serie C No. 141.</w:t>
      </w:r>
    </w:p>
    <w:p w14:paraId="7335E609" w14:textId="581FDE4D" w:rsidR="00987FF9" w:rsidRPr="00D86945" w:rsidRDefault="00987FF9" w:rsidP="004F4FE7">
      <w:pPr>
        <w:widowControl w:val="0"/>
        <w:autoSpaceDE w:val="0"/>
        <w:autoSpaceDN w:val="0"/>
        <w:adjustRightInd w:val="0"/>
        <w:spacing w:line="240" w:lineRule="auto"/>
        <w:ind w:right="49"/>
        <w:jc w:val="both"/>
        <w:rPr>
          <w:rFonts w:ascii="Verdana" w:hAnsi="Verdana" w:cs="Times New Roman"/>
          <w:sz w:val="20"/>
          <w:szCs w:val="20"/>
        </w:rPr>
      </w:pPr>
      <w:r w:rsidRPr="00D86945">
        <w:rPr>
          <w:rFonts w:ascii="Verdana" w:hAnsi="Verdana" w:cs="Times New Roman"/>
          <w:sz w:val="20"/>
          <w:szCs w:val="20"/>
        </w:rPr>
        <w:t>170.</w:t>
      </w:r>
      <w:r w:rsidRPr="00D86945">
        <w:rPr>
          <w:rFonts w:ascii="Verdana" w:hAnsi="Verdana" w:cs="Times New Roman"/>
          <w:sz w:val="20"/>
          <w:szCs w:val="20"/>
        </w:rPr>
        <w:tab/>
        <w:t>Este Tribunal ha reiterado que el principio de derecho imperativo de protección igualitaria y efectiva de la ley y no discriminación determina que los Estados deben abstenerse de producir regulaciones discriminatorias o que tengan efectos discriminatorios en los diferentes grupos de una población al momento de ejercer sus derechos.</w:t>
      </w:r>
      <w:r w:rsidR="00D35646" w:rsidRPr="00D86945">
        <w:rPr>
          <w:rFonts w:ascii="Verdana" w:hAnsi="Verdana" w:cs="Times New Roman"/>
          <w:sz w:val="20"/>
          <w:szCs w:val="20"/>
        </w:rPr>
        <w:t xml:space="preserve"> </w:t>
      </w:r>
      <w:r w:rsidRPr="00D86945">
        <w:rPr>
          <w:rFonts w:ascii="Verdana" w:hAnsi="Verdana" w:cs="Times New Roman"/>
          <w:sz w:val="20"/>
          <w:szCs w:val="20"/>
        </w:rPr>
        <w:t>Además, los Estados deben combatir prácticas discriminatorias y adoptar las medidas necesarias para asegurar una efectiva igualdad de todas las personas ante la ley.</w:t>
      </w:r>
    </w:p>
    <w:p w14:paraId="27985ED7" w14:textId="7D17E243" w:rsidR="00987FF9" w:rsidRPr="00D86945" w:rsidRDefault="00987FF9" w:rsidP="004F4FE7">
      <w:pPr>
        <w:pStyle w:val="negritamayuscula"/>
        <w:widowControl/>
        <w:tabs>
          <w:tab w:val="clear" w:pos="1120"/>
        </w:tabs>
        <w:spacing w:line="240" w:lineRule="auto"/>
        <w:ind w:right="49"/>
        <w:rPr>
          <w:rFonts w:ascii="Verdana" w:hAnsi="Verdana"/>
          <w:sz w:val="20"/>
        </w:rPr>
      </w:pPr>
      <w:r w:rsidRPr="00D86945">
        <w:rPr>
          <w:rFonts w:ascii="Verdana" w:hAnsi="Verdana"/>
          <w:sz w:val="20"/>
        </w:rPr>
        <w:t>171.</w:t>
      </w:r>
      <w:r w:rsidRPr="00D86945">
        <w:rPr>
          <w:rFonts w:ascii="Verdana" w:hAnsi="Verdana"/>
          <w:sz w:val="20"/>
        </w:rPr>
        <w:tab/>
        <w:t>Los Estados deben tomar en consideración los datos que diferencian a los miembros de pueblos indígenas de la población en general, y que conforman la identidad cultural de aquéllos.</w:t>
      </w:r>
      <w:r w:rsidR="00D35646" w:rsidRPr="00D86945">
        <w:rPr>
          <w:rFonts w:ascii="Verdana" w:hAnsi="Verdana"/>
          <w:sz w:val="20"/>
        </w:rPr>
        <w:t xml:space="preserve"> </w:t>
      </w:r>
      <w:r w:rsidRPr="00D86945">
        <w:rPr>
          <w:rFonts w:ascii="Verdana" w:hAnsi="Verdana"/>
          <w:sz w:val="20"/>
        </w:rPr>
        <w:t>La lengua es uno de los más importantes elementos de identidad de un pueblo, precisamente porque garantiza la expresión, difusión y transmisión de su cultura.</w:t>
      </w:r>
    </w:p>
    <w:p w14:paraId="5436EC1E" w14:textId="59A00B3C" w:rsidR="00987FF9" w:rsidRPr="00D86945" w:rsidRDefault="00987FF9" w:rsidP="004F4FE7">
      <w:pPr>
        <w:pStyle w:val="negritamayuscula"/>
        <w:widowControl/>
        <w:tabs>
          <w:tab w:val="clear" w:pos="1120"/>
        </w:tabs>
        <w:spacing w:line="240" w:lineRule="auto"/>
        <w:ind w:right="49"/>
        <w:rPr>
          <w:rFonts w:ascii="Verdana" w:hAnsi="Verdana"/>
          <w:sz w:val="20"/>
        </w:rPr>
      </w:pPr>
      <w:r w:rsidRPr="00D86945">
        <w:rPr>
          <w:rFonts w:ascii="Verdana" w:hAnsi="Verdana"/>
          <w:sz w:val="20"/>
        </w:rPr>
        <w:t>172.</w:t>
      </w:r>
      <w:r w:rsidRPr="00D86945">
        <w:rPr>
          <w:rFonts w:ascii="Verdana" w:hAnsi="Verdana"/>
          <w:sz w:val="20"/>
        </w:rPr>
        <w:tab/>
        <w:t xml:space="preserve">En el presente caso, la restricción al ejercicio de la libertad de hablar garífuna aplicada a algunos reclusos del Centro Penal de Tela, fue discriminatoria en perjuicio del señor Alfredo López Álvarez, como miembro de la comunidad garífuna. </w:t>
      </w:r>
    </w:p>
    <w:p w14:paraId="31004A7A" w14:textId="6BDBDFC6"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173.</w:t>
      </w:r>
      <w:r w:rsidRPr="00D86945">
        <w:rPr>
          <w:rFonts w:ascii="Verdana" w:hAnsi="Verdana" w:cs="Times New Roman"/>
          <w:sz w:val="20"/>
          <w:szCs w:val="20"/>
        </w:rPr>
        <w:tab/>
        <w:t xml:space="preserve">La Corte encuentra que al prohibir al señor Alfredo López Álvarez expresarse en el idioma de su elección, durante su detención en el Centro Penal de Tela, el Estado aplicó una restricción al ejercicio de su libertad de expresión incompatible con la garantía prevista en la Convención y que, a su vez, constituyó un acto discriminatorio en su contra. </w:t>
      </w:r>
    </w:p>
    <w:p w14:paraId="4379C17A" w14:textId="77777777"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174.</w:t>
      </w:r>
      <w:r w:rsidRPr="00D86945">
        <w:rPr>
          <w:rFonts w:ascii="Verdana" w:hAnsi="Verdana" w:cs="Times New Roman"/>
          <w:sz w:val="20"/>
          <w:szCs w:val="20"/>
        </w:rPr>
        <w:tab/>
        <w:t>Las anteriores consideraciones llevan a la Corte a concluir que el Estado tiene responsabilidad por la violación de los derechos a la libertad de pensamiento y de expresión y de la igualdad ante la ley, consagrados en los artículos 13 y 24 de la Convención Americana, y por el incumplimiento de la obligación general de respetar y garantizar los derechos y libertades establecida en el artículo 1.1 del mismo instrumento, en perjuicio del señor Alfredo López Álvarez.</w:t>
      </w:r>
    </w:p>
    <w:p w14:paraId="19DEFE3D" w14:textId="6D24AD1B"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b/>
          <w:sz w:val="20"/>
          <w:szCs w:val="20"/>
          <w:lang w:val="es-CR"/>
        </w:rPr>
        <w:t xml:space="preserve">Corte IDH. Caso </w:t>
      </w:r>
      <w:proofErr w:type="spellStart"/>
      <w:r w:rsidRPr="00D86945">
        <w:rPr>
          <w:rFonts w:ascii="Verdana" w:hAnsi="Verdana"/>
          <w:b/>
          <w:sz w:val="20"/>
          <w:szCs w:val="20"/>
          <w:lang w:val="es-CR"/>
        </w:rPr>
        <w:t>Granier</w:t>
      </w:r>
      <w:proofErr w:type="spellEnd"/>
      <w:r w:rsidRPr="00D86945">
        <w:rPr>
          <w:rFonts w:ascii="Verdana" w:hAnsi="Verdana"/>
          <w:b/>
          <w:sz w:val="20"/>
          <w:szCs w:val="20"/>
          <w:lang w:val="es-CR"/>
        </w:rPr>
        <w:t xml:space="preserve"> y otros (Radio Caracas Televisión) Vs. Venezuela. Excepciones Preliminares, Fondo, Reparaciones y Costas. Sentencia de 22 de junio de 2015. Serie C No. 293</w:t>
      </w:r>
      <w:r w:rsidRPr="00D86945">
        <w:rPr>
          <w:rFonts w:ascii="Verdana" w:hAnsi="Verdana"/>
          <w:sz w:val="20"/>
          <w:szCs w:val="20"/>
          <w:lang w:val="es-CR"/>
        </w:rPr>
        <w:t>.</w:t>
      </w:r>
    </w:p>
    <w:p w14:paraId="3C116ADC" w14:textId="0280AB4B" w:rsidR="00987FF9" w:rsidRPr="00D86945" w:rsidRDefault="00987FF9" w:rsidP="004F4FE7">
      <w:pPr>
        <w:spacing w:line="240" w:lineRule="auto"/>
        <w:ind w:right="49"/>
        <w:jc w:val="both"/>
        <w:rPr>
          <w:rFonts w:ascii="Verdana" w:hAnsi="Verdana"/>
          <w:sz w:val="20"/>
          <w:szCs w:val="20"/>
          <w:lang w:val="es-CO"/>
        </w:rPr>
      </w:pPr>
      <w:r w:rsidRPr="00D86945">
        <w:rPr>
          <w:rFonts w:ascii="Verdana" w:hAnsi="Verdana"/>
          <w:sz w:val="20"/>
          <w:szCs w:val="20"/>
          <w:lang w:val="es-CO"/>
        </w:rPr>
        <w:t>234.</w:t>
      </w:r>
      <w:r w:rsidRPr="00D86945">
        <w:rPr>
          <w:rFonts w:ascii="Verdana" w:hAnsi="Verdana"/>
          <w:sz w:val="20"/>
          <w:szCs w:val="20"/>
          <w:lang w:val="es-CO"/>
        </w:rPr>
        <w:tab/>
        <w:t xml:space="preserve">Al respecto, este Tribunal resalta que al realizar el gobierno un trato diferenciado basado en el agrado o disgusto que le causaba la línea editorial de un canal, esto conlleva que se genere un efecto disuasivo, atemorizador e inhibidor sobre todos los que ejercen el derecho a la libertad de expresión </w:t>
      </w:r>
      <w:r w:rsidR="005E0C2B">
        <w:rPr>
          <w:rFonts w:ascii="Verdana" w:hAnsi="Verdana"/>
          <w:sz w:val="20"/>
          <w:szCs w:val="20"/>
          <w:lang w:val="es-CO"/>
        </w:rPr>
        <w:t>[...]</w:t>
      </w:r>
      <w:r w:rsidRPr="00D86945">
        <w:rPr>
          <w:rFonts w:ascii="Verdana" w:hAnsi="Verdana"/>
          <w:sz w:val="20"/>
          <w:szCs w:val="20"/>
          <w:lang w:val="es-CO"/>
        </w:rPr>
        <w:t>, ya que envía un mensaje amedrentador para los otros medios de comunicación respecto a lo que les podría llegar a ocurrir en caso de seguir una línea editorial como la de RCTV. Como se mencionó anteriormente, no permitir el ejercicio del derecho a la libertad de expresión en condiciones de igualdad, impide el debate público sobre temas de interés de la sociedad que es esencial para la protección de la democracia y el pluralismo de medios.</w:t>
      </w:r>
    </w:p>
    <w:p w14:paraId="6577B2C0" w14:textId="77777777" w:rsidR="00987FF9" w:rsidRPr="00D86945" w:rsidRDefault="00987FF9" w:rsidP="004F4FE7">
      <w:pPr>
        <w:spacing w:line="240" w:lineRule="auto"/>
        <w:ind w:right="49"/>
        <w:jc w:val="both"/>
        <w:rPr>
          <w:rFonts w:ascii="Verdana" w:hAnsi="Verdana"/>
          <w:sz w:val="20"/>
          <w:szCs w:val="20"/>
          <w:lang w:val="es-CO"/>
        </w:rPr>
      </w:pPr>
      <w:r w:rsidRPr="00D86945">
        <w:rPr>
          <w:rFonts w:ascii="Verdana" w:hAnsi="Verdana"/>
          <w:sz w:val="20"/>
          <w:szCs w:val="20"/>
          <w:lang w:val="es-CO"/>
        </w:rPr>
        <w:lastRenderedPageBreak/>
        <w:t>235.</w:t>
      </w:r>
      <w:r w:rsidRPr="00D86945">
        <w:rPr>
          <w:rFonts w:ascii="Verdana" w:hAnsi="Verdana"/>
          <w:sz w:val="20"/>
          <w:szCs w:val="20"/>
          <w:lang w:val="es-CO"/>
        </w:rPr>
        <w:tab/>
        <w:t xml:space="preserve">Por lo anterior, la Corte concluye que en el presente caso existen elementos para determinar que la decisión de reservarse la porción del espectro asignado a RCTV implicó un trato discriminatorio en el ejercicio del derecho a la libertad de expresión que tuvo como base la aplicación de una de las categorías prohibidas de discriminación contempladas en el artículo 1.1 de la Convención Americana. En consecuencia, la Corte considera que el Estado es responsable de la violación del derecho a la libertad de expresión establecido en el artículo 13 en relación con el deber de no discriminación contenido en el artículo 1.1 de la Convención Americana, en perjuicio de Marcel </w:t>
      </w:r>
      <w:proofErr w:type="spellStart"/>
      <w:r w:rsidRPr="00D86945">
        <w:rPr>
          <w:rFonts w:ascii="Verdana" w:hAnsi="Verdana"/>
          <w:sz w:val="20"/>
          <w:szCs w:val="20"/>
          <w:lang w:val="es-CO"/>
        </w:rPr>
        <w:t>Granier</w:t>
      </w:r>
      <w:proofErr w:type="spellEnd"/>
      <w:r w:rsidRPr="00D86945">
        <w:rPr>
          <w:rFonts w:ascii="Verdana" w:hAnsi="Verdana"/>
          <w:sz w:val="20"/>
          <w:szCs w:val="20"/>
          <w:lang w:val="es-CO"/>
        </w:rPr>
        <w:t xml:space="preserve">, Peter </w:t>
      </w:r>
      <w:proofErr w:type="spellStart"/>
      <w:r w:rsidRPr="00D86945">
        <w:rPr>
          <w:rFonts w:ascii="Verdana" w:hAnsi="Verdana"/>
          <w:sz w:val="20"/>
          <w:szCs w:val="20"/>
          <w:lang w:val="es-CO"/>
        </w:rPr>
        <w:t>Bottome</w:t>
      </w:r>
      <w:proofErr w:type="spellEnd"/>
      <w:r w:rsidRPr="00D86945">
        <w:rPr>
          <w:rFonts w:ascii="Verdana" w:hAnsi="Verdana"/>
          <w:sz w:val="20"/>
          <w:szCs w:val="20"/>
          <w:lang w:val="es-CO"/>
        </w:rPr>
        <w:t xml:space="preserve">, Jaime </w:t>
      </w:r>
      <w:proofErr w:type="spellStart"/>
      <w:r w:rsidRPr="00D86945">
        <w:rPr>
          <w:rFonts w:ascii="Verdana" w:hAnsi="Verdana"/>
          <w:sz w:val="20"/>
          <w:szCs w:val="20"/>
          <w:lang w:val="es-CO"/>
        </w:rPr>
        <w:t>Nestares</w:t>
      </w:r>
      <w:proofErr w:type="spellEnd"/>
      <w:r w:rsidRPr="00D86945">
        <w:rPr>
          <w:rFonts w:ascii="Verdana" w:hAnsi="Verdana"/>
          <w:sz w:val="20"/>
          <w:szCs w:val="20"/>
          <w:lang w:val="es-CO"/>
        </w:rPr>
        <w:t xml:space="preserve">, Inés Bacalao, Eladio </w:t>
      </w:r>
      <w:proofErr w:type="spellStart"/>
      <w:r w:rsidRPr="00D86945">
        <w:rPr>
          <w:rFonts w:ascii="Verdana" w:hAnsi="Verdana"/>
          <w:sz w:val="20"/>
          <w:szCs w:val="20"/>
          <w:lang w:val="es-CO"/>
        </w:rPr>
        <w:t>Lárez</w:t>
      </w:r>
      <w:proofErr w:type="spellEnd"/>
      <w:r w:rsidRPr="00D86945">
        <w:rPr>
          <w:rFonts w:ascii="Verdana" w:hAnsi="Verdana"/>
          <w:sz w:val="20"/>
          <w:szCs w:val="20"/>
          <w:lang w:val="es-CO"/>
        </w:rPr>
        <w:t xml:space="preserve">, Eduardo </w:t>
      </w:r>
      <w:proofErr w:type="spellStart"/>
      <w:r w:rsidRPr="00D86945">
        <w:rPr>
          <w:rFonts w:ascii="Verdana" w:hAnsi="Verdana"/>
          <w:sz w:val="20"/>
          <w:szCs w:val="20"/>
          <w:lang w:val="es-CO"/>
        </w:rPr>
        <w:t>Sapene</w:t>
      </w:r>
      <w:proofErr w:type="spellEnd"/>
      <w:r w:rsidRPr="00D86945">
        <w:rPr>
          <w:rFonts w:ascii="Verdana" w:hAnsi="Verdana"/>
          <w:sz w:val="20"/>
          <w:szCs w:val="20"/>
          <w:lang w:val="es-CO"/>
        </w:rPr>
        <w:t xml:space="preserve">, Daniela </w:t>
      </w:r>
      <w:proofErr w:type="spellStart"/>
      <w:r w:rsidRPr="00D86945">
        <w:rPr>
          <w:rFonts w:ascii="Verdana" w:hAnsi="Verdana"/>
          <w:sz w:val="20"/>
          <w:szCs w:val="20"/>
          <w:lang w:val="es-CO"/>
        </w:rPr>
        <w:t>Bergami</w:t>
      </w:r>
      <w:proofErr w:type="spellEnd"/>
      <w:r w:rsidRPr="00D86945">
        <w:rPr>
          <w:rFonts w:ascii="Verdana" w:hAnsi="Verdana"/>
          <w:sz w:val="20"/>
          <w:szCs w:val="20"/>
          <w:lang w:val="es-CO"/>
        </w:rPr>
        <w:t>, Miguel Ángel Rodríguez, Soraya Castellano, María Arriaga y Larissa Patiño.</w:t>
      </w:r>
    </w:p>
    <w:p w14:paraId="2EC68684" w14:textId="77777777" w:rsidR="00987FF9" w:rsidRPr="00D86945" w:rsidRDefault="00987FF9" w:rsidP="004F4FE7">
      <w:pPr>
        <w:pStyle w:val="Prrafodelista"/>
        <w:spacing w:line="240" w:lineRule="auto"/>
        <w:ind w:left="0" w:right="51"/>
        <w:jc w:val="both"/>
        <w:rPr>
          <w:rFonts w:ascii="Verdana" w:hAnsi="Verdana" w:cs="Times New Roman"/>
          <w:b/>
          <w:sz w:val="20"/>
          <w:szCs w:val="20"/>
        </w:rPr>
      </w:pPr>
    </w:p>
    <w:p w14:paraId="3C780CC0" w14:textId="7C16621A" w:rsidR="00E556AD" w:rsidRPr="00D86945" w:rsidRDefault="00E556AD" w:rsidP="004F4FE7">
      <w:pPr>
        <w:pStyle w:val="Prrafodelista"/>
        <w:spacing w:line="240" w:lineRule="auto"/>
        <w:ind w:left="0" w:right="51"/>
        <w:jc w:val="both"/>
        <w:outlineLvl w:val="0"/>
        <w:rPr>
          <w:rFonts w:ascii="Verdana" w:hAnsi="Verdana" w:cs="Times New Roman"/>
          <w:b/>
          <w:smallCaps/>
          <w:sz w:val="20"/>
          <w:szCs w:val="20"/>
        </w:rPr>
      </w:pPr>
      <w:r w:rsidRPr="00D86945">
        <w:rPr>
          <w:rFonts w:ascii="Verdana" w:hAnsi="Verdana" w:cs="Times New Roman"/>
          <w:b/>
          <w:smallCaps/>
          <w:sz w:val="20"/>
          <w:szCs w:val="20"/>
        </w:rPr>
        <w:br w:type="page"/>
      </w:r>
    </w:p>
    <w:p w14:paraId="64ABF644" w14:textId="77777777" w:rsidR="006A6F97" w:rsidRPr="00D86945" w:rsidRDefault="006A6F97" w:rsidP="004F4FE7">
      <w:pPr>
        <w:pStyle w:val="Prrafodelista"/>
        <w:spacing w:line="240" w:lineRule="auto"/>
        <w:ind w:left="0" w:right="51"/>
        <w:jc w:val="both"/>
        <w:outlineLvl w:val="0"/>
        <w:rPr>
          <w:rFonts w:ascii="Verdana" w:hAnsi="Verdana" w:cs="Times New Roman"/>
          <w:b/>
          <w:smallCaps/>
          <w:sz w:val="20"/>
          <w:szCs w:val="20"/>
        </w:rPr>
      </w:pPr>
    </w:p>
    <w:p w14:paraId="4C9F3B1C" w14:textId="4BFB35E2" w:rsidR="00987FF9" w:rsidRPr="00A87244" w:rsidRDefault="005E0C2B" w:rsidP="004F4FE7">
      <w:pPr>
        <w:pStyle w:val="Ttulo1"/>
        <w:rPr>
          <w:u w:val="none"/>
        </w:rPr>
      </w:pPr>
      <w:bookmarkStart w:id="22" w:name="_Toc89691474"/>
      <w:r>
        <w:rPr>
          <w:u w:val="none"/>
        </w:rPr>
        <w:t>5</w:t>
      </w:r>
      <w:r w:rsidR="00987FF9" w:rsidRPr="00A87244">
        <w:rPr>
          <w:u w:val="none"/>
        </w:rPr>
        <w:t>.</w:t>
      </w:r>
      <w:r w:rsidR="00987FF9" w:rsidRPr="00A87244">
        <w:rPr>
          <w:u w:val="none"/>
        </w:rPr>
        <w:tab/>
        <w:t>Obligaciones del Estado para Garantizar la Libertad de Expresión</w:t>
      </w:r>
      <w:bookmarkEnd w:id="22"/>
    </w:p>
    <w:p w14:paraId="306EAE1F" w14:textId="77777777" w:rsidR="00987FF9" w:rsidRPr="00D86945" w:rsidRDefault="00987FF9" w:rsidP="004F4FE7">
      <w:pPr>
        <w:spacing w:line="240" w:lineRule="auto"/>
        <w:ind w:right="51"/>
        <w:jc w:val="both"/>
        <w:rPr>
          <w:rFonts w:ascii="Verdana" w:hAnsi="Verdana" w:cs="Times New Roman"/>
          <w:b/>
          <w:sz w:val="20"/>
          <w:szCs w:val="20"/>
          <w:lang w:val="es-ES"/>
        </w:rPr>
      </w:pPr>
    </w:p>
    <w:p w14:paraId="77B04156" w14:textId="28AD0B84" w:rsidR="00987FF9" w:rsidRPr="00D86945" w:rsidRDefault="00987FF9" w:rsidP="004F4FE7">
      <w:pPr>
        <w:pStyle w:val="Prrafodelista"/>
        <w:spacing w:line="240" w:lineRule="auto"/>
        <w:ind w:left="0" w:right="51"/>
        <w:jc w:val="both"/>
        <w:rPr>
          <w:rFonts w:ascii="Verdana" w:hAnsi="Verdana" w:cs="Times New Roman"/>
          <w:sz w:val="20"/>
          <w:szCs w:val="20"/>
          <w:lang w:val="es-ES"/>
        </w:rPr>
      </w:pPr>
      <w:r w:rsidRPr="00D86945">
        <w:rPr>
          <w:rFonts w:ascii="Verdana" w:hAnsi="Verdana" w:cs="Times New Roman"/>
          <w:sz w:val="20"/>
          <w:szCs w:val="20"/>
          <w:lang w:val="es-ES"/>
        </w:rPr>
        <w:t xml:space="preserve">En este apartado se reseñan algunas de las medidas que ha dispuesto la Corte como parte de la obligación del Estado de garantizar adecuadamente el </w:t>
      </w:r>
      <w:r w:rsidR="004F4FE7" w:rsidRPr="00D86945">
        <w:rPr>
          <w:rFonts w:ascii="Verdana" w:hAnsi="Verdana" w:cs="Times New Roman"/>
          <w:sz w:val="20"/>
          <w:szCs w:val="20"/>
          <w:lang w:val="es-ES"/>
        </w:rPr>
        <w:t>derecho</w:t>
      </w:r>
      <w:r w:rsidRPr="00D86945">
        <w:rPr>
          <w:rFonts w:ascii="Verdana" w:hAnsi="Verdana" w:cs="Times New Roman"/>
          <w:sz w:val="20"/>
          <w:szCs w:val="20"/>
          <w:lang w:val="es-ES"/>
        </w:rPr>
        <w:t xml:space="preserve"> a la libertad de expresión. Se tratan temas como el pluralismo, la protección de periodistas, la diligencia de las autoridades en los discursos públicos y la adopción de disposiciones de derecho interno (art. 2 CADH).</w:t>
      </w:r>
    </w:p>
    <w:p w14:paraId="565B41BF" w14:textId="77777777" w:rsidR="00987FF9" w:rsidRPr="00D86945" w:rsidRDefault="00987FF9" w:rsidP="004F4FE7">
      <w:pPr>
        <w:pStyle w:val="Prrafodelista"/>
        <w:spacing w:line="240" w:lineRule="auto"/>
        <w:ind w:left="0" w:right="51"/>
        <w:jc w:val="both"/>
        <w:rPr>
          <w:rFonts w:ascii="Verdana" w:hAnsi="Verdana" w:cs="Times New Roman"/>
          <w:sz w:val="20"/>
          <w:szCs w:val="20"/>
          <w:lang w:val="es-ES"/>
        </w:rPr>
      </w:pPr>
    </w:p>
    <w:p w14:paraId="3D3ABB5C" w14:textId="1690F3F1" w:rsidR="00987FF9" w:rsidRPr="00D86945" w:rsidRDefault="00987FF9" w:rsidP="00BF3BF6">
      <w:pPr>
        <w:pStyle w:val="Ttulo2"/>
        <w:rPr>
          <w:rFonts w:cs="Times New Roman"/>
        </w:rPr>
      </w:pPr>
      <w:bookmarkStart w:id="23" w:name="_Toc89691475"/>
      <w:r w:rsidRPr="00D86945">
        <w:t>Pluralismo</w:t>
      </w:r>
      <w:bookmarkEnd w:id="23"/>
    </w:p>
    <w:p w14:paraId="5FDACE77" w14:textId="5CD1EEE2" w:rsidR="00987FF9" w:rsidRPr="00D86945" w:rsidRDefault="00987FF9" w:rsidP="004F4FE7">
      <w:pPr>
        <w:spacing w:line="240" w:lineRule="auto"/>
        <w:ind w:right="49"/>
        <w:jc w:val="both"/>
        <w:rPr>
          <w:rFonts w:ascii="Verdana" w:hAnsi="Verdana" w:cs="Times New Roman"/>
          <w:b/>
          <w:bCs/>
          <w:sz w:val="20"/>
          <w:szCs w:val="20"/>
        </w:rPr>
      </w:pPr>
      <w:r w:rsidRPr="00D86945">
        <w:rPr>
          <w:rFonts w:ascii="Verdana" w:hAnsi="Verdana" w:cs="Times New Roman"/>
          <w:b/>
          <w:bCs/>
          <w:sz w:val="20"/>
          <w:szCs w:val="20"/>
        </w:rPr>
        <w:t>Corte IDH. La colegiación obligatoria de periodistas (Arts. 13 y 29 Convención Americana sobre Derechos Humanos). Opinión Consultiva OC-5/85 de 13 de noviembre de 1985. Serie A No. 5</w:t>
      </w:r>
      <w:r w:rsidR="00A87244">
        <w:rPr>
          <w:rFonts w:ascii="Verdana" w:hAnsi="Verdana" w:cs="Times New Roman"/>
          <w:b/>
          <w:bCs/>
          <w:sz w:val="20"/>
          <w:szCs w:val="20"/>
        </w:rPr>
        <w:t>.</w:t>
      </w:r>
    </w:p>
    <w:p w14:paraId="779AAF15" w14:textId="0BD11199"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33. </w:t>
      </w:r>
      <w:r w:rsidRPr="00D86945">
        <w:rPr>
          <w:rFonts w:ascii="Verdana" w:hAnsi="Verdana" w:cs="Times New Roman"/>
          <w:sz w:val="20"/>
          <w:szCs w:val="20"/>
          <w:lang w:val="es-ES"/>
        </w:rPr>
        <w:tab/>
        <w:t xml:space="preserve">Las dos dimensiones mencionadas </w:t>
      </w:r>
      <w:r w:rsidR="005E0C2B">
        <w:rPr>
          <w:rFonts w:ascii="Verdana" w:hAnsi="Verdana" w:cs="Times New Roman"/>
          <w:sz w:val="20"/>
          <w:szCs w:val="20"/>
          <w:lang w:val="es-ES"/>
        </w:rPr>
        <w:t>[...]</w:t>
      </w:r>
      <w:r w:rsidRPr="00D86945">
        <w:rPr>
          <w:rFonts w:ascii="Verdana" w:hAnsi="Verdana" w:cs="Times New Roman"/>
          <w:sz w:val="20"/>
          <w:szCs w:val="20"/>
          <w:lang w:val="es-ES"/>
        </w:rPr>
        <w:t xml:space="preserve"> de la libertad de expresión deben ser garantizadas simultáneamente. No sería lícito invocar el derecho de la sociedad a estar informada verazmente para fundamentar un régimen de censura previa supuestamente destinado a eliminar las informaciones que serían falsas a criterio del censor. Como tampoco sería admisible que, sobre la base del derecho a difundir informaciones e ideas, se constituyeran monopolios públicos o privados sobre los medios de comunicación para intentar moldear la opinión pública según un solo punto de vista. </w:t>
      </w:r>
    </w:p>
    <w:p w14:paraId="073E2EEB" w14:textId="44825162" w:rsidR="00987FF9" w:rsidRPr="00D86945" w:rsidRDefault="00987FF9" w:rsidP="004F4FE7">
      <w:pPr>
        <w:spacing w:line="240" w:lineRule="auto"/>
        <w:ind w:right="49"/>
        <w:jc w:val="both"/>
        <w:rPr>
          <w:rFonts w:ascii="Verdana" w:hAnsi="Verdana" w:cs="Times New Roman"/>
          <w:sz w:val="20"/>
          <w:szCs w:val="20"/>
          <w:lang w:val="es-ES"/>
        </w:rPr>
      </w:pPr>
      <w:r w:rsidRPr="00D86945">
        <w:rPr>
          <w:rFonts w:ascii="Verdana" w:hAnsi="Verdana" w:cs="Times New Roman"/>
          <w:sz w:val="20"/>
          <w:szCs w:val="20"/>
          <w:lang w:val="es-ES"/>
        </w:rPr>
        <w:t xml:space="preserve">34. </w:t>
      </w:r>
      <w:r w:rsidRPr="00D86945">
        <w:rPr>
          <w:rFonts w:ascii="Verdana" w:hAnsi="Verdana" w:cs="Times New Roman"/>
          <w:sz w:val="20"/>
          <w:szCs w:val="20"/>
          <w:lang w:val="es-ES"/>
        </w:rPr>
        <w:tab/>
        <w:t xml:space="preserve">Así, si en principio la libertad de expresión requiere que los medios de comunicación social estén virtualmente abiertos a todos sin discriminación, o, más exactamente, que no haya individuos o grupos que, </w:t>
      </w:r>
      <w:r w:rsidRPr="004F4FE7">
        <w:rPr>
          <w:rFonts w:ascii="Verdana" w:hAnsi="Verdana" w:cs="Times New Roman"/>
          <w:b/>
          <w:i/>
          <w:iCs/>
          <w:sz w:val="20"/>
          <w:szCs w:val="20"/>
          <w:lang w:val="es-ES"/>
        </w:rPr>
        <w:t>a priori</w:t>
      </w:r>
      <w:r w:rsidRPr="00D86945">
        <w:rPr>
          <w:rFonts w:ascii="Verdana" w:hAnsi="Verdana" w:cs="Times New Roman"/>
          <w:b/>
          <w:sz w:val="20"/>
          <w:szCs w:val="20"/>
          <w:lang w:val="es-ES"/>
        </w:rPr>
        <w:t>,</w:t>
      </w:r>
      <w:r w:rsidRPr="00D86945">
        <w:rPr>
          <w:rFonts w:ascii="Verdana" w:hAnsi="Verdana" w:cs="Times New Roman"/>
          <w:sz w:val="20"/>
          <w:szCs w:val="20"/>
          <w:lang w:val="es-ES"/>
        </w:rPr>
        <w:t xml:space="preserve"> estén excluidos del acceso a tales medios, exige igualmente ciertas condiciones respecto de éstos, de manera que, en la práctica, sean verdaderos instrumentos de esa libertad y no vehículos para restringirla. Son los medios de comunicación social los que sirven para materializar el ejercicio de la libertad de expresión, de tal modo que sus condiciones de funcionamiento deben adecuarse a los requerimientos de esa libertad. Para ello es indispensable, </w:t>
      </w:r>
      <w:r w:rsidRPr="004F4FE7">
        <w:rPr>
          <w:rFonts w:ascii="Verdana" w:hAnsi="Verdana" w:cs="Times New Roman"/>
          <w:b/>
          <w:i/>
          <w:iCs/>
          <w:sz w:val="20"/>
          <w:szCs w:val="20"/>
          <w:lang w:val="es-ES"/>
        </w:rPr>
        <w:t>inter alia</w:t>
      </w:r>
      <w:r w:rsidRPr="00D86945">
        <w:rPr>
          <w:rFonts w:ascii="Verdana" w:hAnsi="Verdana" w:cs="Times New Roman"/>
          <w:sz w:val="20"/>
          <w:szCs w:val="20"/>
          <w:lang w:val="es-ES"/>
        </w:rPr>
        <w:t xml:space="preserve">, la pluralidad de medios, la prohibición de todo monopolio respecto de ellos, cualquiera sea la forma que pretenda adoptar, y la garantía de protección a la libertad e independencia de los periodistas. </w:t>
      </w:r>
    </w:p>
    <w:p w14:paraId="1C1AB76E" w14:textId="234E2D50"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t>Corte IDH. Caso Kimel Vs. Argentina. Fondo, Reparaciones y Costas. Sentencia de 2 de mayo de 2008. Serie C No. 177.</w:t>
      </w:r>
    </w:p>
    <w:p w14:paraId="582F932D" w14:textId="1278D46C" w:rsidR="00987FF9" w:rsidRPr="004F4FE7" w:rsidRDefault="00987FF9" w:rsidP="004F4FE7">
      <w:pPr>
        <w:spacing w:line="240" w:lineRule="auto"/>
        <w:ind w:right="49"/>
        <w:jc w:val="both"/>
        <w:rPr>
          <w:rFonts w:ascii="Verdana" w:hAnsi="Verdana"/>
          <w:b/>
          <w:sz w:val="18"/>
          <w:szCs w:val="18"/>
        </w:rPr>
      </w:pPr>
      <w:r w:rsidRPr="00D86945">
        <w:rPr>
          <w:rFonts w:ascii="Verdana" w:hAnsi="Verdana"/>
          <w:sz w:val="20"/>
          <w:szCs w:val="20"/>
        </w:rPr>
        <w:t>57.</w:t>
      </w:r>
      <w:r w:rsidRPr="00D86945">
        <w:rPr>
          <w:rFonts w:ascii="Verdana" w:hAnsi="Verdana"/>
          <w:sz w:val="20"/>
          <w:szCs w:val="20"/>
        </w:rPr>
        <w:tab/>
        <w:t xml:space="preserve">Dada la importancia de la libertad de expresión en una sociedad democrática y la elevada responsabilidad que ello entraña para quienes ejercen profesionalmente labores de comunicación social, </w:t>
      </w:r>
      <w:r w:rsidRPr="00D86945">
        <w:rPr>
          <w:rFonts w:ascii="Verdana" w:hAnsi="Verdana" w:cs="Helvetica"/>
          <w:sz w:val="20"/>
          <w:szCs w:val="20"/>
        </w:rPr>
        <w:t xml:space="preserve">el Estado no sólo debe minimizar las restricciones a la circulación de la información sino también equilibrar, en la mayor medida de lo posible, la participación de las distintas informaciones en el debate público, impulsando el pluralismo informativo. En consecuencia, la equidad debe regir el flujo informativo. En estos términos puede explicarse la protección de los derechos humanos de quien enfrenta el poder de los medios y el intento por asegurar condiciones estructurales que permitan la expresión equitativa </w:t>
      </w:r>
      <w:r w:rsidRPr="00D86945">
        <w:rPr>
          <w:rFonts w:ascii="Verdana" w:hAnsi="Verdana" w:cs="Helvetica-Oblique"/>
          <w:iCs/>
          <w:sz w:val="20"/>
          <w:szCs w:val="20"/>
        </w:rPr>
        <w:t>de las ideas</w:t>
      </w:r>
      <w:r w:rsidRPr="00D86945">
        <w:rPr>
          <w:rFonts w:ascii="Verdana" w:hAnsi="Verdana" w:cs="Helvetica"/>
          <w:sz w:val="20"/>
          <w:szCs w:val="20"/>
        </w:rPr>
        <w:t xml:space="preserve">. </w:t>
      </w:r>
      <w:r w:rsidR="00A87244" w:rsidRPr="00A87244">
        <w:rPr>
          <w:rFonts w:ascii="Verdana" w:hAnsi="Verdana" w:cs="Helvetica"/>
          <w:b/>
          <w:bCs/>
          <w:sz w:val="20"/>
          <w:szCs w:val="20"/>
        </w:rPr>
        <w:t>[</w:t>
      </w:r>
      <w:r w:rsidR="002A5747">
        <w:rPr>
          <w:rFonts w:ascii="Verdana" w:hAnsi="Verdana" w:cs="Helvetica"/>
          <w:b/>
          <w:sz w:val="18"/>
          <w:szCs w:val="18"/>
        </w:rPr>
        <w:t>En similar sentido, ver entre otros:</w:t>
      </w:r>
      <w:r w:rsidRPr="004F4FE7">
        <w:rPr>
          <w:rFonts w:ascii="Verdana" w:hAnsi="Verdana" w:cs="Helvetica"/>
          <w:sz w:val="18"/>
          <w:szCs w:val="18"/>
        </w:rPr>
        <w:t xml:space="preserve"> </w:t>
      </w:r>
      <w:r w:rsidRPr="004F4FE7">
        <w:rPr>
          <w:rFonts w:ascii="Verdana" w:hAnsi="Verdana"/>
          <w:b/>
          <w:sz w:val="18"/>
          <w:szCs w:val="18"/>
        </w:rPr>
        <w:t xml:space="preserve">Caso Tristán Donoso Vs. Panamá. Excepción Preliminar, Fondo, Reparaciones y Costas. Sentencia de 27 de enero de 2009. Serie C No. 193, párr.113; Caso Ríos y otros Vs. Venezuela. Excepciones Preliminares, Fondo, Reparaciones y Costas. Sentencia de 28 de enero de 2009. Serie C No. 194, </w:t>
      </w:r>
      <w:r w:rsidRPr="004F4FE7">
        <w:rPr>
          <w:rFonts w:ascii="Verdana" w:hAnsi="Verdana"/>
          <w:b/>
          <w:sz w:val="18"/>
          <w:szCs w:val="18"/>
        </w:rPr>
        <w:lastRenderedPageBreak/>
        <w:t xml:space="preserve">párr.106; Caso Perozo y otros Vs. Venezuela. Excepciones Preliminares, Fondo, Reparaciones y Costas. Sentencia de 28 de enero de 2009. Serie C No. 195, párr.117; Corte IDH. Caso </w:t>
      </w:r>
      <w:proofErr w:type="spellStart"/>
      <w:r w:rsidRPr="004F4FE7">
        <w:rPr>
          <w:rFonts w:ascii="Verdana" w:hAnsi="Verdana"/>
          <w:b/>
          <w:sz w:val="18"/>
          <w:szCs w:val="18"/>
        </w:rPr>
        <w:t>Fontevecchia</w:t>
      </w:r>
      <w:proofErr w:type="spellEnd"/>
      <w:r w:rsidRPr="004F4FE7">
        <w:rPr>
          <w:rFonts w:ascii="Verdana" w:hAnsi="Verdana"/>
          <w:b/>
          <w:sz w:val="18"/>
          <w:szCs w:val="18"/>
        </w:rPr>
        <w:t xml:space="preserve"> y </w:t>
      </w:r>
      <w:proofErr w:type="spellStart"/>
      <w:r w:rsidRPr="004F4FE7">
        <w:rPr>
          <w:rFonts w:ascii="Verdana" w:hAnsi="Verdana"/>
          <w:b/>
          <w:sz w:val="18"/>
          <w:szCs w:val="18"/>
        </w:rPr>
        <w:t>D`Amico</w:t>
      </w:r>
      <w:proofErr w:type="spellEnd"/>
      <w:r w:rsidRPr="004F4FE7">
        <w:rPr>
          <w:rFonts w:ascii="Verdana" w:hAnsi="Verdana"/>
          <w:b/>
          <w:sz w:val="18"/>
          <w:szCs w:val="18"/>
        </w:rPr>
        <w:t xml:space="preserve"> Vs. Argentina. Fondo, Reparaciones y Costas. Sentencia de 29 de noviembre de 2011. Serie C No. 238, párr.45; </w:t>
      </w:r>
      <w:r w:rsidR="00A87244">
        <w:rPr>
          <w:rFonts w:ascii="Verdana" w:hAnsi="Verdana"/>
          <w:b/>
          <w:sz w:val="18"/>
          <w:szCs w:val="18"/>
        </w:rPr>
        <w:t xml:space="preserve">y </w:t>
      </w:r>
      <w:r w:rsidRPr="004F4FE7">
        <w:rPr>
          <w:rFonts w:ascii="Verdana" w:hAnsi="Verdana"/>
          <w:b/>
          <w:sz w:val="18"/>
          <w:szCs w:val="18"/>
        </w:rPr>
        <w:t xml:space="preserve">Caso </w:t>
      </w:r>
      <w:proofErr w:type="spellStart"/>
      <w:r w:rsidRPr="004F4FE7">
        <w:rPr>
          <w:rFonts w:ascii="Verdana" w:hAnsi="Verdana"/>
          <w:b/>
          <w:sz w:val="18"/>
          <w:szCs w:val="18"/>
        </w:rPr>
        <w:t>Granier</w:t>
      </w:r>
      <w:proofErr w:type="spellEnd"/>
      <w:r w:rsidRPr="004F4FE7">
        <w:rPr>
          <w:rFonts w:ascii="Verdana" w:hAnsi="Verdana"/>
          <w:b/>
          <w:sz w:val="18"/>
          <w:szCs w:val="18"/>
        </w:rPr>
        <w:t xml:space="preserve"> y otros (Radio Caracas Televisión) Vs. Venezuela. Excepciones Preliminares, Fondo, Reparaciones y Costas. Sentencia de 22 de junio de 2015. Serie C No. 293, párr.144</w:t>
      </w:r>
      <w:r w:rsidR="00A87244">
        <w:rPr>
          <w:rFonts w:ascii="Verdana" w:hAnsi="Verdana"/>
          <w:b/>
          <w:sz w:val="18"/>
          <w:szCs w:val="18"/>
        </w:rPr>
        <w:t>]</w:t>
      </w:r>
      <w:r w:rsidRPr="004F4FE7">
        <w:rPr>
          <w:rFonts w:ascii="Verdana" w:hAnsi="Verdana"/>
          <w:b/>
          <w:sz w:val="18"/>
          <w:szCs w:val="18"/>
        </w:rPr>
        <w:t>.</w:t>
      </w:r>
    </w:p>
    <w:p w14:paraId="199B09C5" w14:textId="638AD4FE"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t>Corte IDH. Caso Manuel Cepeda Vargas Vs. Colombia. Excepciones Preliminares, Fondo, Reparaciones y Costas. Sentencia de 26 de mayo de 2010. Serie C No. 213.</w:t>
      </w:r>
      <w:r w:rsidRPr="00D86945">
        <w:rPr>
          <w:rStyle w:val="Refdenotaalpie"/>
          <w:rFonts w:ascii="Verdana" w:hAnsi="Verdana"/>
          <w:b/>
          <w:sz w:val="20"/>
          <w:szCs w:val="20"/>
        </w:rPr>
        <w:footnoteReference w:id="30"/>
      </w:r>
    </w:p>
    <w:p w14:paraId="035B7F7A" w14:textId="23F5A25A" w:rsidR="00987FF9" w:rsidRPr="00D86945" w:rsidRDefault="00987FF9" w:rsidP="004F4FE7">
      <w:pPr>
        <w:spacing w:line="240" w:lineRule="auto"/>
        <w:ind w:right="49"/>
        <w:jc w:val="both"/>
        <w:rPr>
          <w:rFonts w:ascii="Verdana" w:hAnsi="Verdana"/>
          <w:sz w:val="20"/>
          <w:szCs w:val="20"/>
          <w:lang w:val="es-ES"/>
        </w:rPr>
      </w:pPr>
      <w:r w:rsidRPr="00D86945">
        <w:rPr>
          <w:rFonts w:ascii="Verdana" w:hAnsi="Verdana"/>
          <w:sz w:val="20"/>
          <w:szCs w:val="20"/>
          <w:lang w:val="es-ES"/>
        </w:rPr>
        <w:t>173.</w:t>
      </w:r>
      <w:r w:rsidRPr="00D86945">
        <w:rPr>
          <w:rFonts w:ascii="Verdana" w:hAnsi="Verdana"/>
          <w:sz w:val="20"/>
          <w:szCs w:val="20"/>
          <w:lang w:val="es-ES"/>
        </w:rPr>
        <w:tab/>
        <w:t>En este sentido, es de resaltar que las voces de oposición resultan imprescindibles para una sociedad democrática, sin las cuales no es posible el logro de acuerdos que atiendan a las diferentes visiones que prevalecen en una sociedad. Por ello, la participación efectiva de personas, grupos y organizaciones y partidos políticos de oposición en una sociedad democrática debe ser garantizada por los Estados, mediante normativas y prácticas adecuadas que posibiliten su acceso real y efectivo a los diferentes espacios deliberativos en términos igualitarios, pero también mediante la adopción de medidas necesarias para garantizar su pleno ejercicio, atendiendo la situación de vulnerabilidad en que se encuentran los integrantes de ciertos sectores o grupos sociales</w:t>
      </w:r>
      <w:r w:rsidR="00215583">
        <w:rPr>
          <w:rFonts w:ascii="Verdana" w:hAnsi="Verdana"/>
          <w:sz w:val="20"/>
          <w:szCs w:val="20"/>
          <w:lang w:val="es-ES"/>
        </w:rPr>
        <w:t>.</w:t>
      </w:r>
      <w:r w:rsidRPr="00D86945">
        <w:rPr>
          <w:rFonts w:ascii="Verdana" w:hAnsi="Verdana"/>
          <w:sz w:val="20"/>
          <w:szCs w:val="20"/>
          <w:lang w:val="es-ES"/>
        </w:rPr>
        <w:t xml:space="preserve"> </w:t>
      </w:r>
    </w:p>
    <w:p w14:paraId="5C2BECC0" w14:textId="11092161" w:rsidR="00987FF9" w:rsidRPr="00D86945" w:rsidRDefault="00987FF9" w:rsidP="004F4FE7">
      <w:pPr>
        <w:spacing w:line="240" w:lineRule="auto"/>
        <w:ind w:right="49"/>
        <w:jc w:val="both"/>
        <w:rPr>
          <w:rFonts w:ascii="Verdana" w:hAnsi="Verdana"/>
          <w:sz w:val="20"/>
          <w:szCs w:val="20"/>
          <w:lang w:val="es-ES"/>
        </w:rPr>
      </w:pPr>
      <w:r w:rsidRPr="00D86945">
        <w:rPr>
          <w:rFonts w:ascii="Verdana" w:hAnsi="Verdana"/>
          <w:sz w:val="20"/>
          <w:szCs w:val="20"/>
          <w:lang w:val="es-ES"/>
        </w:rPr>
        <w:t>175.</w:t>
      </w:r>
      <w:r w:rsidRPr="00D86945">
        <w:rPr>
          <w:rFonts w:ascii="Verdana" w:hAnsi="Verdana"/>
          <w:sz w:val="20"/>
          <w:szCs w:val="20"/>
          <w:lang w:val="es-ES"/>
        </w:rPr>
        <w:tab/>
        <w:t xml:space="preserve">Como ha quedado constatado, el Senador Manuel Cepeda se orientaba hacia una oposición crítica a diferentes gobiernos, tanto en su labor periodística como en sus actividades políticas y parlamentarias </w:t>
      </w:r>
      <w:r w:rsidR="005E0C2B">
        <w:rPr>
          <w:rFonts w:ascii="Verdana" w:hAnsi="Verdana"/>
          <w:sz w:val="20"/>
          <w:szCs w:val="20"/>
          <w:lang w:val="es-ES"/>
        </w:rPr>
        <w:t>[...]</w:t>
      </w:r>
      <w:r w:rsidRPr="00D86945">
        <w:rPr>
          <w:rFonts w:ascii="Verdana" w:hAnsi="Verdana"/>
          <w:sz w:val="20"/>
          <w:szCs w:val="20"/>
          <w:lang w:val="es-ES"/>
        </w:rPr>
        <w:t xml:space="preserve">. Durante el período en que fungió como dirigente de la UP y del PCC, pesó sobre él una constante amenaza sobre su vida, que se incrementó en intensidad hasta llegar a su muerte, por lo que sus actividades las realizó en un contexto de amenazas y hostigamientos permanentes por sus posiciones políticas y de desprotección por parte de agentes estatales. En efecto, las partes reconocieron el móvil político de la ejecución extrajudicial </w:t>
      </w:r>
      <w:r w:rsidR="005E0C2B">
        <w:rPr>
          <w:rFonts w:ascii="Verdana" w:hAnsi="Verdana"/>
          <w:sz w:val="20"/>
          <w:szCs w:val="20"/>
          <w:lang w:val="es-ES"/>
        </w:rPr>
        <w:t>[...]</w:t>
      </w:r>
      <w:r w:rsidRPr="00D86945">
        <w:rPr>
          <w:rFonts w:ascii="Verdana" w:hAnsi="Verdana"/>
          <w:sz w:val="20"/>
          <w:szCs w:val="20"/>
          <w:lang w:val="es-ES"/>
        </w:rPr>
        <w:t xml:space="preserve">. </w:t>
      </w:r>
    </w:p>
    <w:p w14:paraId="7E04484D" w14:textId="09E06A9F" w:rsidR="00987FF9" w:rsidRPr="00D86945" w:rsidRDefault="00987FF9" w:rsidP="004F4FE7">
      <w:pPr>
        <w:spacing w:line="240" w:lineRule="auto"/>
        <w:ind w:right="49"/>
        <w:jc w:val="both"/>
        <w:rPr>
          <w:rFonts w:ascii="Verdana" w:hAnsi="Verdana"/>
          <w:sz w:val="20"/>
          <w:szCs w:val="20"/>
          <w:lang w:val="es-ES"/>
        </w:rPr>
      </w:pPr>
      <w:r w:rsidRPr="00D86945">
        <w:rPr>
          <w:rFonts w:ascii="Verdana" w:hAnsi="Verdana"/>
          <w:sz w:val="20"/>
          <w:szCs w:val="20"/>
          <w:lang w:val="es-ES"/>
        </w:rPr>
        <w:t>176.</w:t>
      </w:r>
      <w:r w:rsidRPr="00D86945">
        <w:rPr>
          <w:rFonts w:ascii="Verdana" w:hAnsi="Verdana"/>
          <w:sz w:val="20"/>
          <w:szCs w:val="20"/>
          <w:lang w:val="es-ES"/>
        </w:rPr>
        <w:tab/>
        <w:t xml:space="preserve">En este sentido, si bien puede considerarse que aún bajo amenazas el Senador Cepeda Vargas pudo ejercer sus derechos políticos, libertad de expresión y libertad de asociación, ciertamente fue el hecho de continuar ejerciéndolos lo que conllevó su ejecución extrajudicial. Lo anterior, precisamente porque el objetivo de ésta era impedir su militancia política, para lo cual el ejercicio de esos derechos era fundamental. Por ende, el Estado no generó condiciones ni las debidas garantías para que, como miembro de la UP en el contexto referido, el Senador Cepeda tuviera una oportunidad real de ejercer el cargo para el que fue democráticamente electo, en particular mediante el impulso de la visión ideológica que representaba a través de su participación libre en el debate público, en ejercicio de su libertad de expresión. En última instancia, su actividad fue obstaculizada por la violencia ejercida en contra del movimiento político al que el Senador Cepeda Vargas pertenecía y, en este sentido, su libertad de asociación también se vio afectada. </w:t>
      </w:r>
    </w:p>
    <w:p w14:paraId="22D59332" w14:textId="3DEF96F6" w:rsidR="00987FF9" w:rsidRPr="00D86945" w:rsidRDefault="00987FF9" w:rsidP="004F4FE7">
      <w:pPr>
        <w:spacing w:line="240" w:lineRule="auto"/>
        <w:ind w:right="49"/>
        <w:jc w:val="both"/>
        <w:rPr>
          <w:rFonts w:ascii="Verdana" w:hAnsi="Verdana"/>
          <w:sz w:val="20"/>
          <w:szCs w:val="20"/>
          <w:lang w:val="es-ES"/>
        </w:rPr>
      </w:pPr>
      <w:r w:rsidRPr="00D86945">
        <w:rPr>
          <w:rFonts w:ascii="Verdana" w:hAnsi="Verdana"/>
          <w:sz w:val="20"/>
          <w:szCs w:val="20"/>
          <w:lang w:val="es-ES"/>
        </w:rPr>
        <w:t>177.</w:t>
      </w:r>
      <w:r w:rsidRPr="00D86945">
        <w:rPr>
          <w:rFonts w:ascii="Verdana" w:hAnsi="Verdana"/>
          <w:sz w:val="20"/>
          <w:szCs w:val="20"/>
          <w:lang w:val="es-ES"/>
        </w:rPr>
        <w:tab/>
        <w:t xml:space="preserve">En atención a lo anterior, la Corte considera que las amenazas y la desprotección deliberada que enfrentó el Senador Cepeda Vargas, motivadas por su participación en los espacios democráticos a los que tenía acceso, se manifestaron en restricciones o presiones indebidas o ilegítimas de sus derechos políticos, de </w:t>
      </w:r>
      <w:r w:rsidRPr="00D86945">
        <w:rPr>
          <w:rFonts w:ascii="Verdana" w:hAnsi="Verdana"/>
          <w:sz w:val="20"/>
          <w:szCs w:val="20"/>
          <w:lang w:val="es-ES"/>
        </w:rPr>
        <w:lastRenderedPageBreak/>
        <w:t xml:space="preserve">libertad de expresión y de libertad de asociación, pero también en un quebrantamiento de las reglas del juego democrático. A su vez, al estar reconocido el móvil político del homicidio </w:t>
      </w:r>
      <w:r w:rsidR="005E0C2B">
        <w:rPr>
          <w:rFonts w:ascii="Verdana" w:hAnsi="Verdana"/>
          <w:sz w:val="20"/>
          <w:szCs w:val="20"/>
          <w:lang w:val="es-ES"/>
        </w:rPr>
        <w:t>[...]</w:t>
      </w:r>
      <w:r w:rsidRPr="00D86945">
        <w:rPr>
          <w:rFonts w:ascii="Verdana" w:hAnsi="Verdana"/>
          <w:sz w:val="20"/>
          <w:szCs w:val="20"/>
          <w:lang w:val="es-ES"/>
        </w:rPr>
        <w:t>, la Corte considera que la ejecución extrajudicial de un oponente por razones políticas no sólo implica la violación de diversos derechos humanos, sino que atenta contra los principios en que se fundamenta el Estado de Derecho y vulnera directamente el régimen democrático, en la medida que conlleva la falta de sujeción de distintas autoridades a las obligaciones de protección de derechos humanos reconocidos nacional e internacionalmente y a los órganos internos que controlan su observancia.</w:t>
      </w:r>
    </w:p>
    <w:p w14:paraId="1E501F49" w14:textId="77777777" w:rsidR="00987FF9" w:rsidRPr="00D86945" w:rsidRDefault="00987FF9" w:rsidP="004F4FE7">
      <w:pPr>
        <w:spacing w:line="240" w:lineRule="auto"/>
        <w:ind w:right="49"/>
        <w:jc w:val="both"/>
        <w:rPr>
          <w:rFonts w:ascii="Verdana" w:hAnsi="Verdana"/>
          <w:sz w:val="20"/>
          <w:szCs w:val="20"/>
          <w:lang w:val="es-ES"/>
        </w:rPr>
      </w:pPr>
      <w:r w:rsidRPr="00D86945">
        <w:rPr>
          <w:rFonts w:ascii="Verdana" w:hAnsi="Verdana"/>
          <w:sz w:val="20"/>
          <w:szCs w:val="20"/>
          <w:lang w:val="es-ES"/>
        </w:rPr>
        <w:t>179.</w:t>
      </w:r>
      <w:r w:rsidRPr="00D86945">
        <w:rPr>
          <w:rFonts w:ascii="Verdana" w:hAnsi="Verdana"/>
          <w:sz w:val="20"/>
          <w:szCs w:val="20"/>
          <w:lang w:val="es-ES"/>
        </w:rPr>
        <w:tab/>
        <w:t>Por ende, el Estado es responsable por la violación del derecho a la protección de la honra y dignidad, la libertad de expresión, la libertad de asociación y los derechos políticos del señor Cepeda Vargas, reconocidos en los artículos 11, 13.1, 16 y 23 de la Convención, en relación con el artículo 1.1 de la misma.</w:t>
      </w:r>
    </w:p>
    <w:p w14:paraId="054990E4" w14:textId="6789E9F6"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b/>
          <w:sz w:val="20"/>
          <w:szCs w:val="20"/>
          <w:lang w:val="es-CR"/>
        </w:rPr>
        <w:t xml:space="preserve">Corte IDH. Caso </w:t>
      </w:r>
      <w:proofErr w:type="spellStart"/>
      <w:r w:rsidRPr="00D86945">
        <w:rPr>
          <w:rFonts w:ascii="Verdana" w:hAnsi="Verdana"/>
          <w:b/>
          <w:sz w:val="20"/>
          <w:szCs w:val="20"/>
          <w:lang w:val="es-CR"/>
        </w:rPr>
        <w:t>Granier</w:t>
      </w:r>
      <w:proofErr w:type="spellEnd"/>
      <w:r w:rsidRPr="00D86945">
        <w:rPr>
          <w:rFonts w:ascii="Verdana" w:hAnsi="Verdana"/>
          <w:b/>
          <w:sz w:val="20"/>
          <w:szCs w:val="20"/>
          <w:lang w:val="es-CR"/>
        </w:rPr>
        <w:t xml:space="preserve"> y otros (Radio Caracas Televisión) Vs. Venezuela. Excepciones Preliminares, Fondo, Reparaciones y Costas. Sentencia de 22 de junio de 2015. Serie C No. 293</w:t>
      </w:r>
      <w:r w:rsidRPr="00D86945">
        <w:rPr>
          <w:rFonts w:ascii="Verdana" w:hAnsi="Verdana"/>
          <w:sz w:val="20"/>
          <w:szCs w:val="20"/>
          <w:lang w:val="es-CR"/>
        </w:rPr>
        <w:t>.</w:t>
      </w:r>
    </w:p>
    <w:p w14:paraId="56FCCE4F" w14:textId="30E17190"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141.</w:t>
      </w:r>
      <w:r w:rsidRPr="00D86945">
        <w:rPr>
          <w:rFonts w:ascii="Verdana" w:hAnsi="Verdana"/>
          <w:sz w:val="20"/>
          <w:szCs w:val="20"/>
          <w:lang w:val="es-CR"/>
        </w:rPr>
        <w:tab/>
        <w:t>Este Tribunal desde sus inicios ha resaltado la importancia del pluralismo en el marco del ejercicio del derecho a la libertad de expresión al señalar que éste implica la tolerancia y el espíritu de apertura, sin los cuales no existe una sociedad democrática. La relevancia del pluralismo ha sido, a su vez, destacada por la Asamblea General de la OEA en diversas resoluciones, en las cuales ha reafirmado que “los medios de comunicación libres e independientes son fundamentales para la democracia, para la promoción del pluralismo, la tolerancia y la libertad de pensamiento y expresión, y para la facilitación de un diálogo y un debate libre y abierto entre todos los sectores de la sociedad, sin discriminación de ningún tipo”.</w:t>
      </w:r>
    </w:p>
    <w:p w14:paraId="3380C670" w14:textId="325D63E4"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142.</w:t>
      </w:r>
      <w:r w:rsidRPr="00D86945">
        <w:rPr>
          <w:rFonts w:ascii="Verdana" w:hAnsi="Verdana"/>
          <w:sz w:val="20"/>
          <w:szCs w:val="20"/>
          <w:lang w:val="es-CR"/>
        </w:rPr>
        <w:tab/>
        <w:t>En particular, la Corte ha señalado que la pluralidad de medios o informativa</w:t>
      </w:r>
      <w:r w:rsidR="00D35646" w:rsidRPr="00D86945">
        <w:rPr>
          <w:rFonts w:ascii="Verdana" w:hAnsi="Verdana"/>
          <w:sz w:val="20"/>
          <w:szCs w:val="20"/>
          <w:lang w:val="es-CR"/>
        </w:rPr>
        <w:t xml:space="preserve"> </w:t>
      </w:r>
      <w:r w:rsidRPr="00D86945">
        <w:rPr>
          <w:rFonts w:ascii="Verdana" w:hAnsi="Verdana"/>
          <w:sz w:val="20"/>
          <w:szCs w:val="20"/>
          <w:lang w:val="es-CR"/>
        </w:rPr>
        <w:t>constituye una efectiva garantía de la libertad de expresión</w:t>
      </w:r>
      <w:r w:rsidR="00215583">
        <w:rPr>
          <w:rFonts w:ascii="Verdana" w:hAnsi="Verdana"/>
          <w:sz w:val="20"/>
          <w:szCs w:val="20"/>
          <w:lang w:val="es-CR"/>
        </w:rPr>
        <w:t>,</w:t>
      </w:r>
      <w:r w:rsidRPr="00D86945">
        <w:rPr>
          <w:rFonts w:ascii="Verdana" w:hAnsi="Verdana"/>
          <w:sz w:val="20"/>
          <w:szCs w:val="20"/>
          <w:lang w:val="es-CR"/>
        </w:rPr>
        <w:t xml:space="preserve"> existiendo un deber del Estado de proteger y garantizar este supuesto, en virtud del artículo 1.1 de la Convención, por medio, tanto de la minimización de restricciones a la información, como por medio de propender por el equilibrio en la participación</w:t>
      </w:r>
      <w:r w:rsidR="00215583">
        <w:rPr>
          <w:rFonts w:ascii="Verdana" w:hAnsi="Verdana"/>
          <w:sz w:val="20"/>
          <w:szCs w:val="20"/>
          <w:lang w:val="es-CR"/>
        </w:rPr>
        <w:t>,</w:t>
      </w:r>
      <w:r w:rsidRPr="00D86945">
        <w:rPr>
          <w:rFonts w:ascii="Verdana" w:hAnsi="Verdana"/>
          <w:sz w:val="20"/>
          <w:szCs w:val="20"/>
          <w:lang w:val="es-CR"/>
        </w:rPr>
        <w:t xml:space="preserve"> al permitir que los medios estén abiertos a todos sin discriminación</w:t>
      </w:r>
      <w:r w:rsidR="00215583">
        <w:rPr>
          <w:rFonts w:ascii="Verdana" w:hAnsi="Verdana"/>
          <w:sz w:val="20"/>
          <w:szCs w:val="20"/>
          <w:lang w:val="es-CR"/>
        </w:rPr>
        <w:t>,</w:t>
      </w:r>
      <w:r w:rsidRPr="00D86945">
        <w:rPr>
          <w:rFonts w:ascii="Verdana" w:hAnsi="Verdana"/>
          <w:sz w:val="20"/>
          <w:szCs w:val="20"/>
          <w:lang w:val="es-CR"/>
        </w:rPr>
        <w:t xml:space="preserve"> puesto que se busca que “no haya individuos o grupos que</w:t>
      </w:r>
      <w:r w:rsidR="00936988" w:rsidRPr="00D86945">
        <w:rPr>
          <w:rFonts w:ascii="Verdana" w:hAnsi="Verdana"/>
          <w:sz w:val="20"/>
          <w:szCs w:val="20"/>
          <w:lang w:val="es-CR"/>
        </w:rPr>
        <w:t>, a priori, estén excluidos”</w:t>
      </w:r>
      <w:r w:rsidRPr="00D86945">
        <w:rPr>
          <w:rFonts w:ascii="Verdana" w:hAnsi="Verdana"/>
          <w:sz w:val="20"/>
          <w:szCs w:val="20"/>
          <w:lang w:val="es-CR"/>
        </w:rPr>
        <w:t xml:space="preserve">. Asimismo, el Tribunal ha afirmado que los medios de comunicación social juegan un rol esencial como vehículos para el ejercicio de la dimensión social de la libertad de expresión en una sociedad democrática, razón por la cual es indispensable que recojan las más diversas informaciones y opiniones. </w:t>
      </w:r>
    </w:p>
    <w:p w14:paraId="2E7F2FAB" w14:textId="3D4104DF"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143.</w:t>
      </w:r>
      <w:r w:rsidRPr="00D86945">
        <w:rPr>
          <w:rFonts w:ascii="Verdana" w:hAnsi="Verdana"/>
          <w:sz w:val="20"/>
          <w:szCs w:val="20"/>
          <w:lang w:val="es-CR"/>
        </w:rPr>
        <w:tab/>
        <w:t>En este sentido, el Tribunal ha indicado que “la libertad de expresión se puede ver también afectada sin la intervención directa de la acción estatal. Tal supuesto podría llegar a configurarse, por ejemplo, cuando por efecto de la existencia de monopolios u oligopolios en la propiedad de los medios de comunicación, se establecen en la práctica ‘medios encaminados a impedir la comunicación y la circulación de ideas y opiniones’”. Sobre este punto, el artículo 12 de la Declaración de Principios sobre la Libertad de Expresión indica que “[l]os monopolios u oligopolios en la propiedad y control de los medios de comunicación deben estar sujetos a leyes antimonopólicas por cuanto conspiran contra la democracia al restringir la pluralidad y diversidad que asegura el pleno ejercicio del derecho a la información de los ciudadanos. En ningún caso estas leyes deben ser exclusivas de los medios de comunicación. Las asignaciones de radio y televisión deben considerar criterios democráticos que garanticen una igualdad de oportunidades para todos los individuos en el acceso a los mismos”.</w:t>
      </w:r>
    </w:p>
    <w:p w14:paraId="6054882A" w14:textId="37CED37B" w:rsidR="00987FF9" w:rsidRPr="00D86945" w:rsidRDefault="00987FF9" w:rsidP="004F4FE7">
      <w:pPr>
        <w:spacing w:line="240" w:lineRule="auto"/>
        <w:ind w:right="49"/>
        <w:jc w:val="both"/>
        <w:rPr>
          <w:rFonts w:ascii="Verdana" w:hAnsi="Verdana"/>
          <w:sz w:val="20"/>
          <w:szCs w:val="20"/>
          <w:lang w:val="es-CR"/>
        </w:rPr>
      </w:pPr>
      <w:r w:rsidRPr="00D86945">
        <w:rPr>
          <w:rFonts w:ascii="Verdana" w:hAnsi="Verdana"/>
          <w:sz w:val="20"/>
          <w:szCs w:val="20"/>
          <w:lang w:val="es-CR"/>
        </w:rPr>
        <w:t>170.</w:t>
      </w:r>
      <w:r w:rsidRPr="00D86945">
        <w:rPr>
          <w:rFonts w:ascii="Verdana" w:hAnsi="Verdana"/>
          <w:sz w:val="20"/>
          <w:szCs w:val="20"/>
          <w:lang w:val="es-CR"/>
        </w:rPr>
        <w:tab/>
        <w:t xml:space="preserve">En este sentido y con relación al pluralismo de medios, la Corte recuerda que los ciudadanos de un país tienen el derecho a acceder a la información y a las ideas </w:t>
      </w:r>
      <w:r w:rsidRPr="00D86945">
        <w:rPr>
          <w:rFonts w:ascii="Verdana" w:hAnsi="Verdana"/>
          <w:sz w:val="20"/>
          <w:szCs w:val="20"/>
          <w:lang w:val="es-CR"/>
        </w:rPr>
        <w:lastRenderedPageBreak/>
        <w:t>desde una diversidad de posturas, la cual debe ser garantizada en los diversos niveles, tales como los tipos de medios de comunicación, las fuentes y el contenido. Este Tribunal estima que, dado que el espacio radioeléctrico es un bien escaso, con un número determinado de frecuencias, esto limita el número de medios que pueden acceder a ellas, por lo que es necesario asegurar que en ese número de medios se halle representada una diversidad de visiones o posturas informativas o de opinión. La Corte resalta que el pluralismo de ideas en los medios no se puede medir a partir de la cantidad de medios de comunicación, sino de que las ideas y la información transmitidas sean efectivamente diversas y estén abordadas desde posturas divergentes sin que exista una única visión o postura. Lo anterior debe tenerse en cuenta en los procesos de otorgamiento, renovación de concesiones o licencias de radiodifusión. En este sentido, el Tribunal considera que los límites o restricciones que se deriven de la normatividad relacionada con la radiodifusión deben tener en cuenta la garantía del pluralismo de medios dada su importancia para el funcionamiento de una sociedad democrática.</w:t>
      </w:r>
    </w:p>
    <w:p w14:paraId="40267915" w14:textId="40562CA3" w:rsidR="00987FF9" w:rsidRPr="00D86945" w:rsidRDefault="00987FF9" w:rsidP="00BF3BF6">
      <w:pPr>
        <w:pStyle w:val="Ttulo2"/>
      </w:pPr>
      <w:bookmarkStart w:id="24" w:name="_Toc89691476"/>
      <w:r w:rsidRPr="00D86945">
        <w:t>Protección de los periodistas</w:t>
      </w:r>
      <w:bookmarkEnd w:id="24"/>
    </w:p>
    <w:p w14:paraId="6A2BA383" w14:textId="45EF5FC7" w:rsidR="00987FF9" w:rsidRPr="00D86945" w:rsidRDefault="00987FF9" w:rsidP="004F4FE7">
      <w:pPr>
        <w:spacing w:line="240" w:lineRule="auto"/>
        <w:ind w:right="49"/>
        <w:jc w:val="both"/>
        <w:rPr>
          <w:rFonts w:ascii="Verdana" w:hAnsi="Verdana" w:cs="Times New Roman"/>
          <w:b/>
          <w:sz w:val="20"/>
          <w:szCs w:val="20"/>
        </w:rPr>
      </w:pPr>
      <w:r w:rsidRPr="00D86945">
        <w:rPr>
          <w:rFonts w:ascii="Verdana" w:hAnsi="Verdana" w:cs="Times New Roman"/>
          <w:b/>
          <w:sz w:val="20"/>
          <w:szCs w:val="20"/>
        </w:rPr>
        <w:t>Corte IDH. Caso Herrera Ulloa Vs. Costa Rica. Excepciones Preliminares, Fondo, Reparaciones y Costas. Sentencia de 2 de julio de 2004. Serie C No. 107.</w:t>
      </w:r>
    </w:p>
    <w:p w14:paraId="0178F4CD" w14:textId="77777777" w:rsidR="00987FF9" w:rsidRPr="00D86945" w:rsidRDefault="00987FF9" w:rsidP="004F4FE7">
      <w:pPr>
        <w:spacing w:line="240" w:lineRule="auto"/>
        <w:ind w:right="49"/>
        <w:jc w:val="both"/>
        <w:rPr>
          <w:rFonts w:ascii="Verdana" w:hAnsi="Verdana" w:cs="Times New Roman"/>
          <w:sz w:val="20"/>
          <w:szCs w:val="20"/>
        </w:rPr>
      </w:pPr>
      <w:r w:rsidRPr="00D86945">
        <w:rPr>
          <w:rFonts w:ascii="Verdana" w:hAnsi="Verdana" w:cs="Times New Roman"/>
          <w:sz w:val="20"/>
          <w:szCs w:val="20"/>
        </w:rPr>
        <w:t>119.</w:t>
      </w:r>
      <w:r w:rsidRPr="00D86945">
        <w:rPr>
          <w:rFonts w:ascii="Verdana" w:hAnsi="Verdana" w:cs="Times New Roman"/>
          <w:sz w:val="20"/>
          <w:szCs w:val="20"/>
        </w:rPr>
        <w:tab/>
        <w:t xml:space="preserve">En este sentido, la Corte ha indicado que es fundamental que los periodistas que laboran en los medios de comunicación gocen de la protección y de la independencia necesarias para realizar sus funciones a cabalidad, ya que son ellos quienes mantienen informada a la sociedad, requisito indispensable para que ésta goce de una plena libertad y el debate público se fortalezca. </w:t>
      </w:r>
    </w:p>
    <w:p w14:paraId="04CD0536" w14:textId="4E490A02"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t>Corte IDH. Caso Ríos y otros Vs. Venezuela. Excepciones Preliminares, Fondo, Reparaciones y Costas. Sentencia de 28 de enero de 2009. Serie C No. 194</w:t>
      </w:r>
      <w:r w:rsidR="00794341">
        <w:rPr>
          <w:rFonts w:ascii="Verdana" w:hAnsi="Verdana"/>
          <w:b/>
          <w:sz w:val="20"/>
          <w:szCs w:val="20"/>
        </w:rPr>
        <w:t>.</w:t>
      </w:r>
    </w:p>
    <w:p w14:paraId="1E064648" w14:textId="22A8425B" w:rsidR="00987FF9" w:rsidRPr="004F4FE7" w:rsidRDefault="00987FF9" w:rsidP="004F4FE7">
      <w:pPr>
        <w:spacing w:line="240" w:lineRule="auto"/>
        <w:ind w:right="49"/>
        <w:jc w:val="both"/>
        <w:rPr>
          <w:rFonts w:ascii="Verdana" w:hAnsi="Verdana"/>
          <w:sz w:val="18"/>
          <w:szCs w:val="18"/>
          <w:lang w:val="es-CR"/>
        </w:rPr>
      </w:pPr>
      <w:r w:rsidRPr="00D86945">
        <w:rPr>
          <w:rFonts w:ascii="Verdana" w:hAnsi="Verdana"/>
          <w:sz w:val="20"/>
          <w:szCs w:val="20"/>
          <w:lang w:val="es-CR"/>
        </w:rPr>
        <w:t>107.</w:t>
      </w:r>
      <w:r w:rsidRPr="00D86945">
        <w:rPr>
          <w:rFonts w:ascii="Verdana" w:hAnsi="Verdana"/>
          <w:sz w:val="20"/>
          <w:szCs w:val="20"/>
          <w:lang w:val="es-CR"/>
        </w:rPr>
        <w:tab/>
        <w:t xml:space="preserve">El ejercicio efectivo de la libertad de expresión implica la existencia de condiciones y prácticas sociales que lo favorezcan. Es posible que esa libertad se vea ilegítimamente restringida por actos normativos o administrativos del Estado o por condiciones de facto que coloquen, directa o indirectamente, en situación de riesgo o mayor vulnerabilidad a quienes la ejerzan o intenten ejercerla, por actos u omisiones de agentes estatales o de particulares. En el marco de sus obligaciones de garantía de los derechos reconocidos en la Convención, el Estado debe abstenerse de actuar de manera tal que propicie, estimule, favorezca o profundice esa vulnerabilidad y ha de adoptar, cuando sea pertinente, medidas necesarias y razonables para prevenir o proteger los derechos de quienes se encuentren en tal situación, así como, en su caso, investigar hechos que los perjudiquen. </w:t>
      </w:r>
      <w:r w:rsidR="00794341" w:rsidRPr="00A87244">
        <w:rPr>
          <w:rFonts w:ascii="Verdana" w:hAnsi="Verdana" w:cs="Helvetica"/>
          <w:b/>
          <w:bCs/>
          <w:sz w:val="20"/>
          <w:szCs w:val="20"/>
        </w:rPr>
        <w:t>[</w:t>
      </w:r>
      <w:r w:rsidR="002A5747">
        <w:rPr>
          <w:rFonts w:ascii="Verdana" w:hAnsi="Verdana" w:cs="Helvetica"/>
          <w:b/>
          <w:sz w:val="18"/>
          <w:szCs w:val="18"/>
        </w:rPr>
        <w:t>En similar sentido, ver entre otros:</w:t>
      </w:r>
      <w:r w:rsidRPr="004F4FE7">
        <w:rPr>
          <w:rFonts w:ascii="Verdana" w:hAnsi="Verdana"/>
          <w:sz w:val="18"/>
          <w:szCs w:val="18"/>
          <w:lang w:val="es-CR"/>
        </w:rPr>
        <w:t xml:space="preserve"> </w:t>
      </w:r>
      <w:r w:rsidRPr="004F4FE7">
        <w:rPr>
          <w:rFonts w:ascii="Verdana" w:hAnsi="Verdana"/>
          <w:b/>
          <w:sz w:val="18"/>
          <w:szCs w:val="18"/>
          <w:lang w:val="es-CR"/>
        </w:rPr>
        <w:t xml:space="preserve">Caso Perozo y otros Vs. Venezuela. Excepciones Preliminares, Fondo, Reparaciones y Costas. Sentencia de 28 de enero de 2009. Serie C No. 195, párr.118; </w:t>
      </w:r>
      <w:r w:rsidR="00794341">
        <w:rPr>
          <w:rFonts w:ascii="Verdana" w:hAnsi="Verdana"/>
          <w:b/>
          <w:sz w:val="18"/>
          <w:szCs w:val="18"/>
          <w:lang w:val="es-CR"/>
        </w:rPr>
        <w:t xml:space="preserve">y </w:t>
      </w:r>
      <w:r w:rsidRPr="004F4FE7">
        <w:rPr>
          <w:rFonts w:ascii="Verdana" w:hAnsi="Verdana"/>
          <w:b/>
          <w:sz w:val="18"/>
          <w:szCs w:val="18"/>
          <w:lang w:val="es-CR"/>
        </w:rPr>
        <w:t>Caso Manuel Cepeda Vargas Vs. Colombia. Excepciones Preliminares, Fondo, Reparaciones y Costas. Sentencia de 26 de mayo de 2010. Serie C No. 213, párr.172</w:t>
      </w:r>
      <w:r w:rsidR="00794341">
        <w:rPr>
          <w:rFonts w:ascii="Verdana" w:hAnsi="Verdana"/>
          <w:b/>
          <w:sz w:val="18"/>
          <w:szCs w:val="18"/>
          <w:lang w:val="es-CR"/>
        </w:rPr>
        <w:t>]</w:t>
      </w:r>
      <w:r w:rsidRPr="004F4FE7">
        <w:rPr>
          <w:rFonts w:ascii="Verdana" w:hAnsi="Verdana"/>
          <w:b/>
          <w:sz w:val="18"/>
          <w:szCs w:val="18"/>
          <w:lang w:val="es-CR"/>
        </w:rPr>
        <w:t>.</w:t>
      </w:r>
    </w:p>
    <w:p w14:paraId="56BD8759" w14:textId="0C7CC4B7" w:rsidR="00987FF9" w:rsidRPr="00D86945" w:rsidRDefault="00987FF9" w:rsidP="004F4FE7">
      <w:pPr>
        <w:autoSpaceDE w:val="0"/>
        <w:autoSpaceDN w:val="0"/>
        <w:adjustRightInd w:val="0"/>
        <w:spacing w:line="240" w:lineRule="auto"/>
        <w:ind w:right="49"/>
        <w:jc w:val="both"/>
        <w:rPr>
          <w:rFonts w:ascii="Verdana" w:hAnsi="Verdana"/>
          <w:sz w:val="20"/>
          <w:szCs w:val="20"/>
          <w:lang w:val="es-CR"/>
        </w:rPr>
      </w:pPr>
      <w:r w:rsidRPr="00D86945">
        <w:rPr>
          <w:rFonts w:ascii="Verdana" w:hAnsi="Verdana"/>
          <w:sz w:val="20"/>
          <w:szCs w:val="20"/>
          <w:lang w:val="es-CR"/>
        </w:rPr>
        <w:t>142.</w:t>
      </w:r>
      <w:r w:rsidRPr="00D86945">
        <w:rPr>
          <w:rFonts w:ascii="Verdana" w:hAnsi="Verdana"/>
          <w:sz w:val="20"/>
          <w:szCs w:val="20"/>
          <w:lang w:val="es-CR"/>
        </w:rPr>
        <w:tab/>
        <w:t xml:space="preserve">La Corte estima que, de los elementos aportados por el Estado para sustentar las afirmaciones anteriores, no se desprende la existencia de llamados públicos que demuestren una “firme y </w:t>
      </w:r>
      <w:proofErr w:type="spellStart"/>
      <w:r w:rsidRPr="00D86945">
        <w:rPr>
          <w:rFonts w:ascii="Verdana" w:hAnsi="Verdana"/>
          <w:sz w:val="20"/>
          <w:szCs w:val="20"/>
          <w:lang w:val="es-CR"/>
        </w:rPr>
        <w:t>categóric</w:t>
      </w:r>
      <w:proofErr w:type="spellEnd"/>
      <w:r w:rsidRPr="00D86945">
        <w:rPr>
          <w:rFonts w:ascii="Verdana" w:hAnsi="Verdana"/>
          <w:sz w:val="20"/>
          <w:szCs w:val="20"/>
          <w:lang w:val="es-CR"/>
        </w:rPr>
        <w:t>[a]” condena a “todo acto de violencia […] en contra de periodistas y trabajadores de medios”.</w:t>
      </w:r>
      <w:r w:rsidR="00D35646" w:rsidRPr="00D86945">
        <w:rPr>
          <w:rFonts w:ascii="Verdana" w:hAnsi="Verdana"/>
          <w:sz w:val="20"/>
          <w:szCs w:val="20"/>
          <w:lang w:val="es-CR"/>
        </w:rPr>
        <w:t xml:space="preserve"> </w:t>
      </w:r>
      <w:r w:rsidRPr="00D86945">
        <w:rPr>
          <w:rFonts w:ascii="Verdana" w:hAnsi="Verdana"/>
          <w:sz w:val="20"/>
          <w:szCs w:val="20"/>
          <w:lang w:val="es-CR"/>
        </w:rPr>
        <w:t>En el contexto de los hechos del presente caso, es posible considerar que la conducta apropiada de altas autoridades públicas frente a actos de agresión contra periodistas, en razón de su rol de comunicadores en una sociedad democrática, hubiese sido la manifestación pública de reprobación de tales hechos.</w:t>
      </w:r>
      <w:r w:rsidR="00D35646" w:rsidRPr="00D86945">
        <w:rPr>
          <w:rFonts w:ascii="Verdana" w:hAnsi="Verdana"/>
          <w:sz w:val="20"/>
          <w:szCs w:val="20"/>
          <w:lang w:val="es-CR"/>
        </w:rPr>
        <w:t xml:space="preserve"> </w:t>
      </w:r>
      <w:r w:rsidR="00794341" w:rsidRPr="00A87244">
        <w:rPr>
          <w:rFonts w:ascii="Verdana" w:hAnsi="Verdana" w:cs="Helvetica"/>
          <w:b/>
          <w:bCs/>
          <w:sz w:val="20"/>
          <w:szCs w:val="20"/>
        </w:rPr>
        <w:t>[</w:t>
      </w:r>
      <w:r w:rsidR="002A5747">
        <w:rPr>
          <w:rFonts w:ascii="Verdana" w:hAnsi="Verdana" w:cs="Helvetica"/>
          <w:b/>
          <w:sz w:val="18"/>
          <w:szCs w:val="18"/>
        </w:rPr>
        <w:t>En similar sentido, ver entre otros:</w:t>
      </w:r>
      <w:r w:rsidRPr="004F4FE7">
        <w:rPr>
          <w:rFonts w:ascii="Verdana" w:hAnsi="Verdana"/>
          <w:sz w:val="18"/>
          <w:szCs w:val="18"/>
          <w:lang w:val="es-CR"/>
        </w:rPr>
        <w:t xml:space="preserve"> </w:t>
      </w:r>
      <w:r w:rsidRPr="004F4FE7">
        <w:rPr>
          <w:rFonts w:ascii="Verdana" w:hAnsi="Verdana"/>
          <w:b/>
          <w:sz w:val="18"/>
          <w:szCs w:val="18"/>
          <w:lang w:val="es-CR"/>
        </w:rPr>
        <w:t xml:space="preserve">Caso Perozo y </w:t>
      </w:r>
      <w:r w:rsidRPr="004F4FE7">
        <w:rPr>
          <w:rFonts w:ascii="Verdana" w:hAnsi="Verdana"/>
          <w:b/>
          <w:sz w:val="18"/>
          <w:szCs w:val="18"/>
          <w:lang w:val="es-CR"/>
        </w:rPr>
        <w:lastRenderedPageBreak/>
        <w:t>otros Vs. Venezuela. Excepciones Preliminares, Fondo, Reparaciones y Costas. Sentencia de 28 de enero de 2009. Serie C No. 195, párr.154</w:t>
      </w:r>
      <w:r w:rsidR="00794341">
        <w:rPr>
          <w:rFonts w:ascii="Verdana" w:hAnsi="Verdana"/>
          <w:b/>
          <w:sz w:val="18"/>
          <w:szCs w:val="18"/>
          <w:lang w:val="es-CR"/>
        </w:rPr>
        <w:t>]</w:t>
      </w:r>
      <w:r w:rsidRPr="004F4FE7">
        <w:rPr>
          <w:rFonts w:ascii="Verdana" w:hAnsi="Verdana"/>
          <w:b/>
          <w:sz w:val="18"/>
          <w:szCs w:val="18"/>
          <w:lang w:val="es-CR"/>
        </w:rPr>
        <w:t>.</w:t>
      </w:r>
    </w:p>
    <w:p w14:paraId="56ACC11B" w14:textId="16CBCFDD" w:rsidR="00987FF9" w:rsidRPr="004F4FE7" w:rsidRDefault="00987FF9" w:rsidP="004F4FE7">
      <w:pPr>
        <w:autoSpaceDE w:val="0"/>
        <w:autoSpaceDN w:val="0"/>
        <w:adjustRightInd w:val="0"/>
        <w:spacing w:line="240" w:lineRule="auto"/>
        <w:ind w:right="49"/>
        <w:jc w:val="both"/>
        <w:rPr>
          <w:rFonts w:ascii="Verdana" w:hAnsi="Verdana"/>
          <w:sz w:val="18"/>
          <w:szCs w:val="18"/>
          <w:lang w:val="es-CR"/>
        </w:rPr>
      </w:pPr>
      <w:r w:rsidRPr="00D86945">
        <w:rPr>
          <w:rFonts w:ascii="Verdana" w:hAnsi="Verdana"/>
          <w:sz w:val="20"/>
          <w:szCs w:val="20"/>
          <w:lang w:val="es-CR"/>
        </w:rPr>
        <w:t>143.</w:t>
      </w:r>
      <w:r w:rsidRPr="00D86945">
        <w:rPr>
          <w:rFonts w:ascii="Verdana" w:hAnsi="Verdana"/>
          <w:sz w:val="20"/>
          <w:szCs w:val="20"/>
          <w:lang w:val="es-CR"/>
        </w:rPr>
        <w:tab/>
        <w:t xml:space="preserve">Además de lo anterior, si bien es cierto que existe un riesgo intrínseco a la actividad periodística, las personas que trabajan para determinado medio de comunicación social pueden ver exacerbadas las situaciones de riesgo a las que normalmente se verían enfrentados, si ese medio es objeto de discursos oficiales que puedan provocar, sugerir acciones o ser interpretados por funcionarios públicos o por sectores de la sociedad como instrucciones, instigaciones, o de cualquier forma autorizaciones o apoyos, para la comisión de actos que pongan en riesgo o vulneren la vida, seguridad personal u otros derechos de personas que ejercen labores periodísticas o de quienes ejercen esa libertad de expresión. </w:t>
      </w:r>
      <w:r w:rsidR="002A5747">
        <w:rPr>
          <w:rFonts w:ascii="Verdana" w:hAnsi="Verdana"/>
          <w:b/>
          <w:sz w:val="18"/>
          <w:szCs w:val="18"/>
          <w:lang w:val="es-CR"/>
        </w:rPr>
        <w:t>En similar sentido, ver entre otros:</w:t>
      </w:r>
      <w:r w:rsidRPr="004F4FE7">
        <w:rPr>
          <w:rFonts w:ascii="Verdana" w:hAnsi="Verdana"/>
          <w:sz w:val="18"/>
          <w:szCs w:val="18"/>
          <w:lang w:val="es-CR"/>
        </w:rPr>
        <w:t xml:space="preserve"> </w:t>
      </w:r>
      <w:r w:rsidRPr="004F4FE7">
        <w:rPr>
          <w:rFonts w:ascii="Verdana" w:hAnsi="Verdana"/>
          <w:b/>
          <w:sz w:val="18"/>
          <w:szCs w:val="18"/>
          <w:lang w:val="es-CR"/>
        </w:rPr>
        <w:t>Caso Perozo y otros Vs. Venezuela. Excepciones Preliminares, Fondo, Reparaciones y Costas. Sentencia de 28 de enero de 2009. Serie C No. 195, párr.155.</w:t>
      </w:r>
    </w:p>
    <w:p w14:paraId="0B5015FF" w14:textId="19E95945" w:rsidR="00987FF9" w:rsidRPr="004F4FE7" w:rsidRDefault="00987FF9" w:rsidP="004F4FE7">
      <w:pPr>
        <w:autoSpaceDE w:val="0"/>
        <w:autoSpaceDN w:val="0"/>
        <w:adjustRightInd w:val="0"/>
        <w:spacing w:line="240" w:lineRule="auto"/>
        <w:ind w:right="49"/>
        <w:jc w:val="both"/>
        <w:rPr>
          <w:rFonts w:ascii="Verdana" w:hAnsi="Verdana"/>
          <w:b/>
          <w:sz w:val="18"/>
          <w:szCs w:val="18"/>
          <w:lang w:val="es-CR"/>
        </w:rPr>
      </w:pPr>
      <w:r w:rsidRPr="00D86945">
        <w:rPr>
          <w:rFonts w:ascii="Verdana" w:hAnsi="Verdana"/>
          <w:sz w:val="20"/>
          <w:szCs w:val="20"/>
          <w:lang w:val="es-CR"/>
        </w:rPr>
        <w:t>149.</w:t>
      </w:r>
      <w:r w:rsidRPr="00D86945">
        <w:rPr>
          <w:rFonts w:ascii="Verdana" w:hAnsi="Verdana"/>
          <w:sz w:val="20"/>
          <w:szCs w:val="20"/>
          <w:lang w:val="es-CR"/>
        </w:rPr>
        <w:tab/>
        <w:t xml:space="preserve">La Corte considera que, en la situación de vulnerabilidad real en que se encontraron las presuntas víctimas para realizar su labor periodística, conocida por las autoridades estatales, algunos contenidos de los referidos pronunciamientos son incompatibles con la obligación estatal de garantizar los derechos de esas personas a la integridad personal y a la libertad de buscar, recibir y difundir información de esas personas, al haber podido resultar intimidatorios para quienes se hallaban vinculados con ese medio de comunicación y constituir faltas al deber de prevenir situaciones violatorias o de riesgo para los derechos de las personas. </w:t>
      </w:r>
      <w:r w:rsidR="002A5747">
        <w:rPr>
          <w:rFonts w:ascii="Verdana" w:hAnsi="Verdana"/>
          <w:b/>
          <w:sz w:val="18"/>
          <w:szCs w:val="18"/>
          <w:lang w:val="es-CR"/>
        </w:rPr>
        <w:t>En similar sentido, ver entre otros:</w:t>
      </w:r>
      <w:r w:rsidRPr="004F4FE7">
        <w:rPr>
          <w:rFonts w:ascii="Verdana" w:hAnsi="Verdana"/>
          <w:sz w:val="18"/>
          <w:szCs w:val="18"/>
          <w:lang w:val="es-CR"/>
        </w:rPr>
        <w:t xml:space="preserve"> </w:t>
      </w:r>
      <w:r w:rsidRPr="004F4FE7">
        <w:rPr>
          <w:rFonts w:ascii="Verdana" w:hAnsi="Verdana"/>
          <w:b/>
          <w:sz w:val="18"/>
          <w:szCs w:val="18"/>
          <w:lang w:val="es-CR"/>
        </w:rPr>
        <w:t>Caso Perozo y otros Vs. Venezuela. Excepciones Preliminares, Fondo, Reparaciones y Costas. Sentencia de 28 de enero de 2009. Serie C No. 195, párr.161.</w:t>
      </w:r>
    </w:p>
    <w:p w14:paraId="2026E0DD" w14:textId="781FA84F" w:rsidR="00987FF9" w:rsidRPr="00D86945" w:rsidRDefault="00987FF9" w:rsidP="004F4FE7">
      <w:pPr>
        <w:spacing w:line="240" w:lineRule="auto"/>
        <w:ind w:right="49"/>
        <w:jc w:val="both"/>
        <w:rPr>
          <w:rFonts w:ascii="Verdana" w:hAnsi="Verdana"/>
          <w:b/>
          <w:sz w:val="20"/>
          <w:szCs w:val="20"/>
        </w:rPr>
      </w:pPr>
      <w:r w:rsidRPr="00D86945">
        <w:rPr>
          <w:rFonts w:ascii="Verdana" w:hAnsi="Verdana"/>
          <w:b/>
          <w:sz w:val="20"/>
          <w:szCs w:val="20"/>
        </w:rPr>
        <w:t>Corte IDH. Caso Vélez Restrepo y familiares Vs. Colombia. Excepción Preliminar, Fondo, Reparaciones y Costas. Sentencia de 3 de septiembre de 2012. Serie C No. 248.</w:t>
      </w:r>
    </w:p>
    <w:p w14:paraId="0E8D2FD1" w14:textId="1254C108" w:rsidR="00987FF9" w:rsidRPr="00D86945" w:rsidRDefault="00987FF9" w:rsidP="004F4FE7">
      <w:pPr>
        <w:spacing w:line="240" w:lineRule="auto"/>
        <w:ind w:right="49"/>
        <w:jc w:val="both"/>
        <w:rPr>
          <w:rFonts w:ascii="Verdana" w:hAnsi="Verdana"/>
          <w:sz w:val="20"/>
          <w:szCs w:val="20"/>
          <w:lang w:val="es-ES"/>
        </w:rPr>
      </w:pPr>
      <w:r w:rsidRPr="00D86945">
        <w:rPr>
          <w:rFonts w:ascii="Verdana" w:hAnsi="Verdana"/>
          <w:sz w:val="20"/>
          <w:szCs w:val="20"/>
          <w:lang w:val="es-ES"/>
        </w:rPr>
        <w:t>209.</w:t>
      </w:r>
      <w:r w:rsidRPr="00D86945">
        <w:rPr>
          <w:rFonts w:ascii="Verdana" w:hAnsi="Verdana"/>
          <w:sz w:val="20"/>
          <w:szCs w:val="20"/>
          <w:lang w:val="es-ES"/>
        </w:rPr>
        <w:tab/>
        <w:t xml:space="preserve">El Tribunal considera que el ejercicio periodístico sólo puede efectuarse libremente cuando las personas que lo realizan no son víctimas de amenazas ni de agresiones físicas, psíquicas o morales u otros actos de hostigamiento. Esos actos constituyen serios obstáculos para el pleno ejercicio de la libertad de expresión. Para tales efectos, la Corte ya se refirió al deber especial de protección de periodistas en riesgo </w:t>
      </w:r>
      <w:r w:rsidR="005E0C2B">
        <w:rPr>
          <w:rFonts w:ascii="Verdana" w:hAnsi="Verdana"/>
          <w:sz w:val="20"/>
          <w:szCs w:val="20"/>
          <w:lang w:val="es-ES"/>
        </w:rPr>
        <w:t>[...]</w:t>
      </w:r>
      <w:r w:rsidRPr="00D86945">
        <w:rPr>
          <w:rFonts w:ascii="Verdana" w:hAnsi="Verdana"/>
          <w:sz w:val="20"/>
          <w:szCs w:val="20"/>
          <w:lang w:val="es-ES"/>
        </w:rPr>
        <w:t xml:space="preserve">, el cual no fue cumplido en el presente caso. Ante los hechos de agresión del 29 de agosto de 1996 perpetrados para impedir al señor Vélez Restrepo el ejercicio de su libertad de expresión, y de posteriores amenazas dirigidas a que no prosiguiera la búsqueda de justicia por tal agresión, el Estado tenía las obligaciones de investigar, juzgar y, en su caso, sancionar así como de adoptar medidas de protección, las cuales no fueron cumplidas </w:t>
      </w:r>
      <w:r w:rsidR="005E0C2B">
        <w:rPr>
          <w:rFonts w:ascii="Verdana" w:hAnsi="Verdana"/>
          <w:sz w:val="20"/>
          <w:szCs w:val="20"/>
          <w:lang w:val="es-ES"/>
        </w:rPr>
        <w:t>[...]</w:t>
      </w:r>
      <w:r w:rsidRPr="00D86945">
        <w:rPr>
          <w:rFonts w:ascii="Verdana" w:hAnsi="Verdana"/>
          <w:sz w:val="20"/>
          <w:szCs w:val="20"/>
          <w:lang w:val="es-ES"/>
        </w:rPr>
        <w:t>.</w:t>
      </w:r>
    </w:p>
    <w:p w14:paraId="59701ADF" w14:textId="7188D53C" w:rsidR="00987FF9" w:rsidRPr="00D86945" w:rsidRDefault="00987FF9" w:rsidP="004F4FE7">
      <w:pPr>
        <w:spacing w:line="240" w:lineRule="auto"/>
        <w:ind w:right="49"/>
        <w:jc w:val="both"/>
        <w:rPr>
          <w:rFonts w:ascii="Verdana" w:hAnsi="Verdana"/>
          <w:sz w:val="20"/>
          <w:szCs w:val="20"/>
          <w:lang w:val="es-ES"/>
        </w:rPr>
      </w:pPr>
      <w:r w:rsidRPr="00D86945">
        <w:rPr>
          <w:rFonts w:ascii="Verdana" w:hAnsi="Verdana"/>
          <w:sz w:val="20"/>
          <w:szCs w:val="20"/>
          <w:lang w:val="es-ES"/>
        </w:rPr>
        <w:t>210.</w:t>
      </w:r>
      <w:r w:rsidRPr="00D86945">
        <w:rPr>
          <w:rFonts w:ascii="Verdana" w:hAnsi="Verdana"/>
          <w:sz w:val="20"/>
          <w:szCs w:val="20"/>
          <w:lang w:val="es-ES"/>
        </w:rPr>
        <w:tab/>
        <w:t xml:space="preserve">La Corte estima especialmente relevante el cumplimiento de dichas obligaciones en casos como el presente, en el cual las violaciones a la víctima tuvieron relación con el ejercicio de su derecho a la libertad de expresión cuando se desempeñaba como camarógrafo cubriendo una noticia de interés público. </w:t>
      </w:r>
    </w:p>
    <w:p w14:paraId="45A7D567" w14:textId="7457A3A7" w:rsidR="00987FF9" w:rsidRPr="00D86945" w:rsidRDefault="00987FF9" w:rsidP="004F4FE7">
      <w:pPr>
        <w:spacing w:line="240" w:lineRule="auto"/>
        <w:ind w:right="49"/>
        <w:jc w:val="both"/>
        <w:rPr>
          <w:rFonts w:ascii="Verdana" w:hAnsi="Verdana"/>
          <w:sz w:val="20"/>
          <w:szCs w:val="20"/>
          <w:lang w:val="es-ES"/>
        </w:rPr>
      </w:pPr>
      <w:r w:rsidRPr="00D86945">
        <w:rPr>
          <w:rFonts w:ascii="Verdana" w:hAnsi="Verdana"/>
          <w:sz w:val="20"/>
          <w:szCs w:val="20"/>
          <w:lang w:val="es-ES"/>
        </w:rPr>
        <w:t>211.</w:t>
      </w:r>
      <w:r w:rsidRPr="00D86945">
        <w:rPr>
          <w:rFonts w:ascii="Verdana" w:hAnsi="Verdana"/>
          <w:sz w:val="20"/>
          <w:szCs w:val="20"/>
          <w:lang w:val="es-ES"/>
        </w:rPr>
        <w:tab/>
        <w:t xml:space="preserve">El Estado debía emprender el cumplimiento de sus obligaciones de investigación y protección de forma tal que tomara en cuenta la razonable conexión entre la agresión motivada por el ejercicio de la libertad de expresión </w:t>
      </w:r>
      <w:r w:rsidR="005E0C2B">
        <w:rPr>
          <w:rFonts w:ascii="Verdana" w:hAnsi="Verdana"/>
          <w:sz w:val="20"/>
          <w:szCs w:val="20"/>
          <w:lang w:val="es-ES"/>
        </w:rPr>
        <w:t>[...]</w:t>
      </w:r>
      <w:r w:rsidRPr="00D86945">
        <w:rPr>
          <w:rFonts w:ascii="Verdana" w:hAnsi="Verdana"/>
          <w:sz w:val="20"/>
          <w:szCs w:val="20"/>
          <w:lang w:val="es-ES"/>
        </w:rPr>
        <w:t xml:space="preserve"> y las posteriores amenazas y hostigamientos que escalaron hasta un intento de privación de la libertad. La falta de cumplimiento de dichas obligaciones implicó, por un lado, que la agresión motivada en impedir el ejercicio de la libertad de expresión del periodista Vélez Restrepo quedara impune, así como también quedaran impunes las posteriores amenazas dirigidas a que no se investigara tal agresión. Asimismo, conllevó que el Estado no generó las condiciones ni las debidas garantías para proteger la integridad del señor Vélez Restrepo, lo que trajo como consecuencia que ante el intento de privación de libertad del que fue víctima, se viera obligado a salir </w:t>
      </w:r>
      <w:r w:rsidRPr="00D86945">
        <w:rPr>
          <w:rFonts w:ascii="Verdana" w:hAnsi="Verdana"/>
          <w:sz w:val="20"/>
          <w:szCs w:val="20"/>
          <w:lang w:val="es-ES"/>
        </w:rPr>
        <w:lastRenderedPageBreak/>
        <w:t xml:space="preserve">de Colombia y a pedir asilo en los Estados Unidos de América, donde su actividad periodística, que implicaba precisamente el buscar, recibir y difundir información, se vio restringida y no pudo ser ejercida por lo menos en términos similares a los que lo hacía cuando trabajaba en Colombia en un noticiero nacional. </w:t>
      </w:r>
    </w:p>
    <w:p w14:paraId="28D91311" w14:textId="42D24ABF" w:rsidR="00987FF9" w:rsidRPr="00D86945" w:rsidRDefault="00987FF9" w:rsidP="004F4FE7">
      <w:pPr>
        <w:spacing w:line="240" w:lineRule="auto"/>
        <w:ind w:right="49"/>
        <w:jc w:val="both"/>
        <w:rPr>
          <w:rFonts w:ascii="Verdana" w:hAnsi="Verdana"/>
          <w:sz w:val="20"/>
          <w:szCs w:val="20"/>
          <w:lang w:val="es-ES"/>
        </w:rPr>
      </w:pPr>
      <w:r w:rsidRPr="00D86945">
        <w:rPr>
          <w:rFonts w:ascii="Verdana" w:hAnsi="Verdana"/>
          <w:sz w:val="20"/>
          <w:szCs w:val="20"/>
          <w:lang w:val="es-ES"/>
        </w:rPr>
        <w:t>212.</w:t>
      </w:r>
      <w:r w:rsidRPr="00D86945">
        <w:rPr>
          <w:rFonts w:ascii="Verdana" w:hAnsi="Verdana"/>
          <w:sz w:val="20"/>
          <w:szCs w:val="20"/>
          <w:lang w:val="es-ES"/>
        </w:rPr>
        <w:tab/>
        <w:t xml:space="preserve">En el presente caso, la Corte considera que la impunidad por la agresión del 29 de agosto de 1996 y por las posteriores amenazas, hostigamientos e intento de privación de la libertad que causaron el exilio del periodista Vélez Restrepo resultan particularmente graves debido al efecto amedrentador que pueden tener en otros periodistas que cubren noticias de interés público, lo cual incide en la información que finalmente reciben los miembros de la sociedad. Constan en el acervo probatorio medios de prueba que dan cuenta de la amplia cobertura en los medios de comunicación al hecho de la agresión por militares del 29 de agosto de 1996 así como a la posterior salida del país del señor Vélez Restrepo el 9 de octubre de 1997 </w:t>
      </w:r>
      <w:r w:rsidR="005E0C2B">
        <w:rPr>
          <w:rFonts w:ascii="Verdana" w:hAnsi="Verdana"/>
          <w:sz w:val="20"/>
          <w:szCs w:val="20"/>
          <w:lang w:val="es-ES"/>
        </w:rPr>
        <w:t>[...]</w:t>
      </w:r>
      <w:r w:rsidRPr="00D86945">
        <w:rPr>
          <w:rFonts w:ascii="Verdana" w:hAnsi="Verdana"/>
          <w:sz w:val="20"/>
          <w:szCs w:val="20"/>
          <w:lang w:val="es-ES"/>
        </w:rPr>
        <w:t>. La Corte considera que, ante la impunidad de esos hechos, tanto el señor Vélez Restrepo como otros periodistas podrían tener el temor razonable de que ese tipo de violaciones a los derechos humanos se repitan, lo cual podría tener como consecuencia que autocensuren su trabajo, por ejemplo en cuanto al tipo de noticia que cubren, en la forma de obtener la información y en la decisión sobre su difusión.</w:t>
      </w:r>
    </w:p>
    <w:p w14:paraId="7A9F2DD3" w14:textId="4D7C5822" w:rsidR="00FD6002" w:rsidRPr="00D86945" w:rsidRDefault="00987FF9" w:rsidP="004F4FE7">
      <w:pPr>
        <w:spacing w:line="240" w:lineRule="auto"/>
        <w:ind w:right="49"/>
        <w:jc w:val="both"/>
        <w:rPr>
          <w:rFonts w:ascii="Verdana" w:hAnsi="Verdana"/>
          <w:b/>
          <w:sz w:val="20"/>
          <w:szCs w:val="20"/>
          <w:lang w:val="es-ES"/>
        </w:rPr>
      </w:pPr>
      <w:r w:rsidRPr="00D86945">
        <w:rPr>
          <w:rFonts w:ascii="Verdana" w:hAnsi="Verdana"/>
          <w:b/>
          <w:sz w:val="20"/>
          <w:szCs w:val="20"/>
          <w:lang w:val="es-ES"/>
        </w:rPr>
        <w:t xml:space="preserve">Corte IDH. Caso </w:t>
      </w:r>
      <w:proofErr w:type="spellStart"/>
      <w:r w:rsidRPr="00D86945">
        <w:rPr>
          <w:rFonts w:ascii="Verdana" w:hAnsi="Verdana"/>
          <w:b/>
          <w:sz w:val="20"/>
          <w:szCs w:val="20"/>
          <w:lang w:val="es-ES"/>
        </w:rPr>
        <w:t>Uzcátegui</w:t>
      </w:r>
      <w:proofErr w:type="spellEnd"/>
      <w:r w:rsidRPr="00D86945">
        <w:rPr>
          <w:rFonts w:ascii="Verdana" w:hAnsi="Verdana"/>
          <w:b/>
          <w:sz w:val="20"/>
          <w:szCs w:val="20"/>
          <w:lang w:val="es-ES"/>
        </w:rPr>
        <w:t xml:space="preserve"> y otros Vs. Venezuela. Fondo y Reparaciones. Sentencia de 3 de septiembre de 2012. Serie C No. 249.</w:t>
      </w:r>
      <w:r w:rsidRPr="00D86945">
        <w:rPr>
          <w:rStyle w:val="Refdenotaalpie"/>
          <w:rFonts w:ascii="Verdana" w:hAnsi="Verdana"/>
          <w:b/>
          <w:sz w:val="20"/>
          <w:szCs w:val="20"/>
          <w:lang w:val="es-ES"/>
        </w:rPr>
        <w:footnoteReference w:id="31"/>
      </w:r>
    </w:p>
    <w:p w14:paraId="7C00B379" w14:textId="4A9466FE" w:rsidR="00FD6002" w:rsidRPr="00D86945" w:rsidRDefault="00FD6002" w:rsidP="004F4FE7">
      <w:pPr>
        <w:spacing w:line="240" w:lineRule="auto"/>
        <w:ind w:right="49"/>
        <w:jc w:val="both"/>
        <w:rPr>
          <w:rFonts w:ascii="Verdana" w:hAnsi="Verdana"/>
          <w:sz w:val="20"/>
          <w:szCs w:val="20"/>
          <w:lang w:val="es-MX"/>
        </w:rPr>
      </w:pPr>
      <w:r w:rsidRPr="00D86945">
        <w:rPr>
          <w:rFonts w:ascii="Verdana" w:hAnsi="Verdana"/>
          <w:sz w:val="20"/>
          <w:szCs w:val="20"/>
          <w:lang w:val="es-MX"/>
        </w:rPr>
        <w:t>190.</w:t>
      </w:r>
      <w:r w:rsidRPr="00D86945">
        <w:rPr>
          <w:rFonts w:ascii="Verdana" w:hAnsi="Verdana"/>
          <w:sz w:val="20"/>
          <w:szCs w:val="20"/>
          <w:lang w:val="es-MX"/>
        </w:rPr>
        <w:tab/>
        <w:t>Con respecto a lo anterior, la Corte ha establecido que es posible que la libertad de expresión se vea ilegítimamente restringida por condiciones de facto que coloquen, directa o indirectamente, en situación de riesgo o mayor vulnerabilidad a quienes la ejercen. Es por ello que el Estado debe abstenerse de actuar de manera tal que propicie, estimule, favorezca o profundice esa vulnerabilidad y ha de adoptar, cuando sea pertinente, medidas necesarias y razonables para prevenir violaciones o proteger los derechos de quienes se encuentren en tal situación</w:t>
      </w:r>
      <w:r w:rsidR="00215583">
        <w:rPr>
          <w:rFonts w:ascii="Verdana" w:hAnsi="Verdana"/>
          <w:sz w:val="20"/>
          <w:szCs w:val="20"/>
          <w:lang w:val="es-MX"/>
        </w:rPr>
        <w:t>.</w:t>
      </w:r>
    </w:p>
    <w:p w14:paraId="0C3F85E7" w14:textId="46B696EE" w:rsidR="00FD6002" w:rsidRDefault="00FD6002" w:rsidP="004F4FE7">
      <w:pPr>
        <w:spacing w:line="240" w:lineRule="auto"/>
        <w:ind w:right="49"/>
        <w:jc w:val="both"/>
        <w:rPr>
          <w:rFonts w:ascii="Verdana" w:hAnsi="Verdana"/>
          <w:sz w:val="20"/>
          <w:szCs w:val="20"/>
          <w:lang w:val="es-MX"/>
        </w:rPr>
      </w:pPr>
      <w:r w:rsidRPr="00D86945">
        <w:rPr>
          <w:rFonts w:ascii="Verdana" w:hAnsi="Verdana"/>
          <w:sz w:val="20"/>
          <w:szCs w:val="20"/>
          <w:lang w:val="es-MX"/>
        </w:rPr>
        <w:t>191.</w:t>
      </w:r>
      <w:r w:rsidRPr="00D86945">
        <w:rPr>
          <w:rFonts w:ascii="Verdana" w:hAnsi="Verdana"/>
          <w:sz w:val="20"/>
          <w:szCs w:val="20"/>
          <w:lang w:val="es-MX"/>
        </w:rPr>
        <w:tab/>
        <w:t>En consecuencia, la Corte considera que el Estado no ha demostrado haber realizado acciones suficientes y efectivas para prevenir los actos de amenazas y hostigamiento contra Luis Enrique Uzcátegui, en el contexto particular del estado Falcón de aquel entonces. Por tanto, la Corte considera que el Estado no cumplió con su deber de adoptar las medidas necesarias y razonables para garantizar efectivamente los derechos a la integridad personal y a la libertad de pensamiento y expresión del señor Luis Enrique Uzcátegui, incumpliendo así la obligación consagrada los artículos 5.1 y 13.1 de la Convención, en relación con el artículo 1.1 de dicho instrumento.</w:t>
      </w:r>
    </w:p>
    <w:p w14:paraId="65C90106" w14:textId="3CA087AC" w:rsidR="00311AF8" w:rsidRPr="00311AF8" w:rsidRDefault="00311AF8" w:rsidP="004F4FE7">
      <w:pPr>
        <w:spacing w:line="240" w:lineRule="auto"/>
        <w:ind w:right="49"/>
        <w:jc w:val="both"/>
        <w:rPr>
          <w:rFonts w:ascii="Verdana" w:hAnsi="Verdana"/>
          <w:b/>
          <w:bCs/>
          <w:sz w:val="20"/>
          <w:szCs w:val="20"/>
          <w:lang w:val="es-MX"/>
        </w:rPr>
      </w:pPr>
      <w:r w:rsidRPr="00311AF8">
        <w:rPr>
          <w:rFonts w:ascii="Verdana" w:hAnsi="Verdana"/>
          <w:b/>
          <w:bCs/>
          <w:sz w:val="20"/>
          <w:szCs w:val="20"/>
          <w:lang w:val="es-MX"/>
        </w:rPr>
        <w:t>Corte IDH. Caso Bedoya Lima y otra Vs. Colombia. Fondo, Reparaciones y Costas. Sentencia de 26 de agosto de 2021. Serie C No. 431</w:t>
      </w:r>
      <w:r w:rsidRPr="00311AF8">
        <w:rPr>
          <w:rFonts w:ascii="Verdana" w:hAnsi="Verdana"/>
          <w:b/>
          <w:bCs/>
          <w:sz w:val="20"/>
          <w:szCs w:val="20"/>
          <w:lang w:val="es-MX"/>
        </w:rPr>
        <w:t>.</w:t>
      </w:r>
      <w:r>
        <w:rPr>
          <w:rStyle w:val="Refdenotaalpie"/>
          <w:rFonts w:ascii="Verdana" w:hAnsi="Verdana"/>
          <w:b/>
          <w:bCs/>
          <w:sz w:val="20"/>
          <w:szCs w:val="20"/>
          <w:lang w:val="es-MX"/>
        </w:rPr>
        <w:footnoteReference w:id="32"/>
      </w:r>
    </w:p>
    <w:p w14:paraId="2031680A" w14:textId="2B09218C" w:rsidR="00311AF8" w:rsidRPr="00311AF8" w:rsidRDefault="00311AF8" w:rsidP="00311AF8">
      <w:pPr>
        <w:spacing w:line="240" w:lineRule="auto"/>
        <w:ind w:right="49"/>
        <w:jc w:val="both"/>
        <w:rPr>
          <w:rFonts w:ascii="Verdana" w:hAnsi="Verdana"/>
          <w:sz w:val="20"/>
          <w:szCs w:val="20"/>
          <w:lang w:val="es-MX"/>
        </w:rPr>
      </w:pPr>
      <w:r w:rsidRPr="00311AF8">
        <w:rPr>
          <w:rFonts w:ascii="Verdana" w:hAnsi="Verdana"/>
          <w:sz w:val="20"/>
          <w:szCs w:val="20"/>
          <w:lang w:val="es-MX"/>
        </w:rPr>
        <w:lastRenderedPageBreak/>
        <w:t>106. La jurisprudencia del Tribunal ha dado un amplio contenido al derecho a la libertad de pensamiento y de expresión consagrado en el artículo 13 de la Convención. Así, la Corte ha indicado que dicha norma protege el derecho de buscar, recibir y difundir ideas e informaciones de toda índole, así como también el de recibir y conocer las informaciones e ideas difundidas por los demás. También ha señalado que la libertad de pensamiento y expresión tiene una dimensión individual y una dimensión social, de las cuales ha desprendido una serie de derechos que se encuentran protegidos en dicho artículo. Este Tribunal ha afirmado que ambas dimensiones poseen igual importancia y deben ser garantizadas plenamente en forma simultánea para dar efectividad total al derecho a la libertad de pensamiento y expresión en los términos previstos por el artículo 13 de la Convención.</w:t>
      </w:r>
    </w:p>
    <w:p w14:paraId="012E050D" w14:textId="7AA68017" w:rsidR="00311AF8" w:rsidRPr="00311AF8" w:rsidRDefault="00311AF8" w:rsidP="00311AF8">
      <w:pPr>
        <w:spacing w:line="240" w:lineRule="auto"/>
        <w:ind w:right="49"/>
        <w:jc w:val="both"/>
        <w:rPr>
          <w:rFonts w:ascii="Verdana" w:hAnsi="Verdana"/>
          <w:sz w:val="20"/>
          <w:szCs w:val="20"/>
          <w:lang w:val="es-MX"/>
        </w:rPr>
      </w:pPr>
      <w:r w:rsidRPr="00311AF8">
        <w:rPr>
          <w:rFonts w:ascii="Verdana" w:hAnsi="Verdana"/>
          <w:sz w:val="20"/>
          <w:szCs w:val="20"/>
          <w:lang w:val="es-MX"/>
        </w:rPr>
        <w:t>107. Asimismo, el Tribunal ha destacado que el ejercicio profesional del periodismo “no puede ser diferenciado de la libertad de expresión, por el contrario, ambas cosas están evidentemente imbricadas, pues el periodista profesional no es, ni puede ser, otra cosa que una persona que ha decidido ejercer la libertad de expresión de modo continuo, estable y remunerado”. El Tribunal considera que, para que la prensa pueda desarrollar su rol de control periodístico debe no solo ser libre de impartir informaciones e ideas de interés público, sino que también debe ser libre para reunir, recolectar y evaluar esas informaciones e ideas. En su informe de 2012 al Consejo de Derechos Humanos de las Naciones Unidas, el Relator especial sobre la promoción y protección del derecho a la libertad de opinión y expresión se refirió a que las personas que desarrollan una actividad periodística “observan, describen, documentan y analizan los acontecimientos y documentan y analizan declaraciones, políticas y cualquier propuesta que pueda afectar a la sociedad, con el propósito de sistematizar esa información y reunir hechos y análisis para informar a los sectores de</w:t>
      </w:r>
      <w:r>
        <w:rPr>
          <w:rFonts w:ascii="Verdana" w:hAnsi="Verdana"/>
          <w:sz w:val="20"/>
          <w:szCs w:val="20"/>
          <w:lang w:val="es-MX"/>
        </w:rPr>
        <w:t xml:space="preserve"> </w:t>
      </w:r>
      <w:r w:rsidRPr="00311AF8">
        <w:rPr>
          <w:rFonts w:ascii="Verdana" w:hAnsi="Verdana"/>
          <w:sz w:val="20"/>
          <w:szCs w:val="20"/>
          <w:lang w:val="es-MX"/>
        </w:rPr>
        <w:t>la sociedad o a esta en su conjunto”. Lo anterior implica que cualquier medida que interfiera con las actividades periodísticas de personas que están cumpliendo con su función obstruirá inevitablemente con el derecho a la libertad de expresión en sus dimensiones individual y colectiva. Dicho lo anterior, el Tribunal procederá a analizar las dos dimensiones de la libertad de pensamiento y expresión y su afectación por los referidos hechos ocurridos el 25 de mayo de 2000.</w:t>
      </w:r>
    </w:p>
    <w:p w14:paraId="5D8462BE" w14:textId="0E3C78DC" w:rsidR="00311AF8" w:rsidRPr="00311AF8" w:rsidRDefault="00311AF8" w:rsidP="00311AF8">
      <w:pPr>
        <w:spacing w:line="240" w:lineRule="auto"/>
        <w:ind w:right="49"/>
        <w:jc w:val="both"/>
        <w:rPr>
          <w:rFonts w:ascii="Verdana" w:hAnsi="Verdana"/>
          <w:sz w:val="20"/>
          <w:szCs w:val="20"/>
          <w:lang w:val="es-MX"/>
        </w:rPr>
      </w:pPr>
      <w:r w:rsidRPr="00311AF8">
        <w:rPr>
          <w:rFonts w:ascii="Verdana" w:hAnsi="Verdana"/>
          <w:sz w:val="20"/>
          <w:szCs w:val="20"/>
          <w:lang w:val="es-MX"/>
        </w:rPr>
        <w:t xml:space="preserve">108. En cuanto a lo sucedido en el presente caso, la Corte estima necesario recordar que el 25 de mayo de 2000 la señora Bedoya fue interceptada, secuestrada y sometida a numerosas agresiones físicas, sexuales y verbales mientras se encontraba cumpliendo labores periodísticas. Asimismo, en el acápite anterior el Tribunal ha considerado acreditado que las agresiones tuvieron una clara conexión con dicha actividad periodística y tenían como fin castigarla, intimidarla y silenciarla </w:t>
      </w:r>
      <w:r w:rsidR="005E0C2B">
        <w:rPr>
          <w:rFonts w:ascii="Verdana" w:hAnsi="Verdana"/>
          <w:sz w:val="20"/>
          <w:szCs w:val="20"/>
          <w:lang w:val="es-MX"/>
        </w:rPr>
        <w:t>[...]</w:t>
      </w:r>
      <w:r w:rsidRPr="00311AF8">
        <w:rPr>
          <w:rFonts w:ascii="Verdana" w:hAnsi="Verdana"/>
          <w:sz w:val="20"/>
          <w:szCs w:val="20"/>
          <w:lang w:val="es-MX"/>
        </w:rPr>
        <w:t>.</w:t>
      </w:r>
    </w:p>
    <w:p w14:paraId="3ACD0B81" w14:textId="3A4B4044" w:rsidR="00311AF8" w:rsidRPr="00311AF8" w:rsidRDefault="00311AF8" w:rsidP="00311AF8">
      <w:pPr>
        <w:spacing w:line="240" w:lineRule="auto"/>
        <w:ind w:right="49"/>
        <w:jc w:val="both"/>
        <w:rPr>
          <w:rFonts w:ascii="Verdana" w:hAnsi="Verdana"/>
          <w:sz w:val="20"/>
          <w:szCs w:val="20"/>
          <w:lang w:val="es-MX"/>
        </w:rPr>
      </w:pPr>
      <w:r w:rsidRPr="00311AF8">
        <w:rPr>
          <w:rFonts w:ascii="Verdana" w:hAnsi="Verdana"/>
          <w:sz w:val="20"/>
          <w:szCs w:val="20"/>
          <w:lang w:val="es-MX"/>
        </w:rPr>
        <w:t xml:space="preserve">109. En lo que respecta a la dimensión individual del derecho a la libertad de pensamiento y expresión, el Tribunal recuerda que esta comprende el derecho a utilizar cualquier medio apropiado para difundir opiniones, ideas e información y hacerlo llegar al mayor número de destinatarios. En el presente caso, el Tribunal reitera que las agresiones y violencia a la que fue sometida la señora Bedoya el 25 </w:t>
      </w:r>
      <w:r w:rsidRPr="00311AF8">
        <w:rPr>
          <w:rFonts w:ascii="Verdana" w:hAnsi="Verdana"/>
          <w:sz w:val="20"/>
          <w:szCs w:val="20"/>
          <w:lang w:val="es-MX"/>
        </w:rPr>
        <w:lastRenderedPageBreak/>
        <w:t>de mayo de 2000 se debieron a su profesión de periodista. Asimismo, la propia Fiscalía de la Nación indicó en varias ocasiones la conexión de las agresiones con su profesión de periodista. El Tribunal concluye, por tanto, que este ataque tenía como objetivo castigar e intimidar a la periodista en particular y afectar así la dimisión individual de su derecho a la libertad de expresión.</w:t>
      </w:r>
    </w:p>
    <w:p w14:paraId="673F1D97" w14:textId="04FD893C" w:rsidR="00311AF8" w:rsidRPr="00311AF8" w:rsidRDefault="00311AF8" w:rsidP="00311AF8">
      <w:pPr>
        <w:spacing w:line="240" w:lineRule="auto"/>
        <w:ind w:right="49"/>
        <w:jc w:val="both"/>
        <w:rPr>
          <w:rFonts w:ascii="Verdana" w:hAnsi="Verdana"/>
          <w:sz w:val="20"/>
          <w:szCs w:val="20"/>
          <w:lang w:val="es-MX"/>
        </w:rPr>
      </w:pPr>
      <w:r w:rsidRPr="00311AF8">
        <w:rPr>
          <w:rFonts w:ascii="Verdana" w:hAnsi="Verdana"/>
          <w:sz w:val="20"/>
          <w:szCs w:val="20"/>
          <w:lang w:val="es-MX"/>
        </w:rPr>
        <w:t>110. Además, las agresiones en contra de la señora Bedoya y las vulneraciones a su libertad de expresión tuvieron un impacto no solo en ella, sino también un impacto colectivo, tanto en la sociedad colombiana en su derecho a la información como en sus compañeras y compañeros periodistas a la hora de ejercer su actividad. Es aquí donde entra en juego la segunda dimensión del derecho a la libertad de expresión esto es, la social, sobre la cual la Corte ha señalado que implica también el derecho de todos a conocer opiniones, relatos y noticias vertidas por terceros.</w:t>
      </w:r>
    </w:p>
    <w:p w14:paraId="7B5F1FDD" w14:textId="14D851CC" w:rsidR="00311AF8" w:rsidRPr="00311AF8" w:rsidRDefault="00311AF8" w:rsidP="00311AF8">
      <w:pPr>
        <w:spacing w:line="240" w:lineRule="auto"/>
        <w:ind w:right="49"/>
        <w:jc w:val="both"/>
        <w:rPr>
          <w:rFonts w:ascii="Verdana" w:hAnsi="Verdana"/>
          <w:sz w:val="20"/>
          <w:szCs w:val="20"/>
          <w:lang w:val="es-MX"/>
        </w:rPr>
      </w:pPr>
      <w:r w:rsidRPr="00311AF8">
        <w:rPr>
          <w:rFonts w:ascii="Verdana" w:hAnsi="Verdana"/>
          <w:sz w:val="20"/>
          <w:szCs w:val="20"/>
          <w:lang w:val="es-MX"/>
        </w:rPr>
        <w:t>111. El Tribunal advierte, en primer lugar, que la señora Bedoya cubría asuntos de gran interés público, como son el alegado tráfico de armas, la alegada compra y venta de secuestrados, además de otras violaciones de derechos humanos que se estarían cometiendo en la Cárcel La Modelo. A este respecto, la Corte ha enfatizado que la libertad de expresión, particularmente en asuntos de interés público, “es una piedra angular en la existencia misma de una sociedad democrática”. Sin una efectiva garantía de la libertad de expresión se debilita el sistema democrático y sufren quebranto el pluralismo y la tolerancia; los mecanismos de control y denuncia ciudadana pueden volverse inoperantes y, en definitiva, se crea un campo fértil para que arraiguen sistemas autoritarios.</w:t>
      </w:r>
    </w:p>
    <w:p w14:paraId="09EE568F" w14:textId="65B81420" w:rsidR="00311AF8" w:rsidRPr="00311AF8" w:rsidRDefault="00311AF8" w:rsidP="00311AF8">
      <w:pPr>
        <w:spacing w:line="240" w:lineRule="auto"/>
        <w:ind w:right="49"/>
        <w:jc w:val="both"/>
        <w:rPr>
          <w:rFonts w:ascii="Verdana" w:hAnsi="Verdana"/>
          <w:sz w:val="20"/>
          <w:szCs w:val="20"/>
          <w:lang w:val="es-MX"/>
        </w:rPr>
      </w:pPr>
      <w:r w:rsidRPr="00311AF8">
        <w:rPr>
          <w:rFonts w:ascii="Verdana" w:hAnsi="Verdana"/>
          <w:sz w:val="20"/>
          <w:szCs w:val="20"/>
          <w:lang w:val="es-MX"/>
        </w:rPr>
        <w:t>112. Asimismo, la jurisprudencia de la Corte se ha referido a la existencia de este efecto sobre las víctimas de violencia y sobre otros periodistas que podrían tener el temor razonable de que ese tipo</w:t>
      </w:r>
      <w:r>
        <w:rPr>
          <w:rFonts w:ascii="Verdana" w:hAnsi="Verdana"/>
          <w:sz w:val="20"/>
          <w:szCs w:val="20"/>
          <w:lang w:val="es-MX"/>
        </w:rPr>
        <w:t xml:space="preserve"> </w:t>
      </w:r>
      <w:r w:rsidRPr="00311AF8">
        <w:rPr>
          <w:rFonts w:ascii="Verdana" w:hAnsi="Verdana"/>
          <w:sz w:val="20"/>
          <w:szCs w:val="20"/>
          <w:lang w:val="es-MX"/>
        </w:rPr>
        <w:t>de violaciones a los derechos humanos se repitan, lo cual podría tener como consecuencia que autocensuren su trabajo. Pero, además, la Corte observa que este impacto en la dimensión social tuvo consecuencias diferenciadas por el hecho de que la persona atacada fuera una mujer periodista. Así, tal y como lo indicó la señora Bedoya ante esta Corte, después de los hechos del 25 de mayo de 2000 hubo:</w:t>
      </w:r>
    </w:p>
    <w:p w14:paraId="177B50AB" w14:textId="5B7800B2" w:rsidR="00311AF8" w:rsidRPr="00311AF8" w:rsidRDefault="00311AF8" w:rsidP="00311AF8">
      <w:pPr>
        <w:spacing w:line="240" w:lineRule="auto"/>
        <w:ind w:left="1416" w:right="49"/>
        <w:jc w:val="both"/>
        <w:rPr>
          <w:rFonts w:ascii="Verdana" w:hAnsi="Verdana"/>
          <w:sz w:val="18"/>
          <w:szCs w:val="18"/>
          <w:lang w:val="es-MX"/>
        </w:rPr>
      </w:pPr>
      <w:r w:rsidRPr="00311AF8">
        <w:rPr>
          <w:rFonts w:ascii="Verdana" w:hAnsi="Verdana"/>
          <w:sz w:val="18"/>
          <w:szCs w:val="18"/>
          <w:lang w:val="es-MX"/>
        </w:rPr>
        <w:t>Muchos casos que se silenciaron, de situaciones de colegas periodistas mujeres que tuvieron que enfrentar cosas similares a las que a mí me pasó, pero luego cuando el conflicto armado también fue mutando y se fue transformando, la intimidación contra las mujeres periodistas, indudablemente se enfatizó aún más en perseguirlas y en deslegitimar su palabra por ser mujeres.</w:t>
      </w:r>
    </w:p>
    <w:p w14:paraId="70D263BE" w14:textId="23883D33" w:rsidR="00311AF8" w:rsidRPr="00311AF8" w:rsidRDefault="00311AF8" w:rsidP="00311AF8">
      <w:pPr>
        <w:spacing w:line="240" w:lineRule="auto"/>
        <w:ind w:right="49"/>
        <w:jc w:val="both"/>
        <w:rPr>
          <w:rFonts w:ascii="Verdana" w:hAnsi="Verdana"/>
          <w:sz w:val="20"/>
          <w:szCs w:val="20"/>
          <w:lang w:val="es-MX"/>
        </w:rPr>
      </w:pPr>
      <w:r w:rsidRPr="00311AF8">
        <w:rPr>
          <w:rFonts w:ascii="Verdana" w:hAnsi="Verdana"/>
          <w:sz w:val="20"/>
          <w:szCs w:val="20"/>
          <w:lang w:val="es-MX"/>
        </w:rPr>
        <w:t>113. En suma, otra consecuencia del efecto amedrentador de los hechos descritos en el presente acápite es que el público pierde voces y puntos de vista relevantes y, en particular, voces y puntos de vista de mujeres, lo cual, a su vez, deriva en un incremento en la brecha de género en la profesión periodística y ataca el pluralismo como elemento esencial de la libertad de expresión y de la democracia. Lo anterior cobra especial relevancia en el contexto de la región (a la época de los hechos y en la actualidad) a la vista, en palabras de la Relatoría Especial para la Libertad de Expresión de la Comisión, de la existencia de un “fenómeno extendido de exclusión de las mujeres de la vida pública” y una “escasa participación de las mujeres en la agenda de los medios de comunicación”. Además, el Tribunal desea resaltar la importancia de la necesaria pluralidad que debe estar presente en los medios de comunicación, ya que, tal y como lo afirmó la testigo Catalina Botero, “al silenciar a las mujeres periodistas se silencian también aquellas historias que usualmente solo cuentan las mujeres”.</w:t>
      </w:r>
    </w:p>
    <w:p w14:paraId="4FF30F24" w14:textId="524975FF" w:rsidR="00311AF8" w:rsidRPr="00D86945" w:rsidRDefault="00311AF8" w:rsidP="00311AF8">
      <w:pPr>
        <w:spacing w:line="240" w:lineRule="auto"/>
        <w:ind w:right="49"/>
        <w:jc w:val="both"/>
        <w:rPr>
          <w:rFonts w:ascii="Verdana" w:hAnsi="Verdana"/>
          <w:sz w:val="20"/>
          <w:szCs w:val="20"/>
          <w:lang w:val="es-MX"/>
        </w:rPr>
      </w:pPr>
      <w:r w:rsidRPr="00311AF8">
        <w:rPr>
          <w:rFonts w:ascii="Verdana" w:hAnsi="Verdana"/>
          <w:sz w:val="20"/>
          <w:szCs w:val="20"/>
          <w:lang w:val="es-MX"/>
        </w:rPr>
        <w:t xml:space="preserve">114. Con base en lo anterior, la Corte concluye que Colombia violó la obligación de respetar y garantizar el derecho a la libertad de pensamiento y de expresión de la </w:t>
      </w:r>
      <w:r w:rsidRPr="00311AF8">
        <w:rPr>
          <w:rFonts w:ascii="Verdana" w:hAnsi="Verdana"/>
          <w:sz w:val="20"/>
          <w:szCs w:val="20"/>
          <w:lang w:val="es-MX"/>
        </w:rPr>
        <w:lastRenderedPageBreak/>
        <w:t>señora Bedoya, consagrado en el artículo 13 de la Convención Americana, en relación con el artículo 1.1 de dicho tratado.</w:t>
      </w:r>
    </w:p>
    <w:p w14:paraId="4C1E6B30" w14:textId="7362A19E" w:rsidR="00567A59" w:rsidRPr="00D86945" w:rsidRDefault="00567A59" w:rsidP="00BF3BF6">
      <w:pPr>
        <w:pStyle w:val="Ttulo2"/>
      </w:pPr>
      <w:bookmarkStart w:id="25" w:name="_Toc89691477"/>
      <w:r w:rsidRPr="00D86945">
        <w:t>Diligencia de las autoridades en los discursos públicos</w:t>
      </w:r>
      <w:bookmarkEnd w:id="25"/>
    </w:p>
    <w:p w14:paraId="233FC3DA" w14:textId="489AB708" w:rsidR="00567A59" w:rsidRPr="00D86945" w:rsidRDefault="00567A59" w:rsidP="004F4FE7">
      <w:pPr>
        <w:spacing w:line="240" w:lineRule="auto"/>
        <w:ind w:right="49"/>
        <w:jc w:val="both"/>
        <w:rPr>
          <w:rFonts w:ascii="Verdana" w:hAnsi="Verdana"/>
          <w:b/>
          <w:sz w:val="20"/>
          <w:szCs w:val="20"/>
        </w:rPr>
      </w:pPr>
      <w:r w:rsidRPr="00D86945">
        <w:rPr>
          <w:rFonts w:ascii="Verdana" w:hAnsi="Verdana"/>
          <w:b/>
          <w:sz w:val="20"/>
          <w:szCs w:val="20"/>
        </w:rPr>
        <w:t>Corte IDH. Caso Ríos y otros Vs. Venezuela. Excepciones Preliminares, Fondo, Reparaciones y Costas. Sentencia de 28 de enero de 2009. Serie C No. 194</w:t>
      </w:r>
    </w:p>
    <w:p w14:paraId="721217AD" w14:textId="6432E5CE" w:rsidR="000631B4" w:rsidRPr="00D86945" w:rsidRDefault="00567A59" w:rsidP="004F4FE7">
      <w:pPr>
        <w:autoSpaceDE w:val="0"/>
        <w:autoSpaceDN w:val="0"/>
        <w:adjustRightInd w:val="0"/>
        <w:spacing w:line="240" w:lineRule="auto"/>
        <w:ind w:right="49"/>
        <w:jc w:val="both"/>
        <w:rPr>
          <w:rFonts w:ascii="Verdana" w:hAnsi="Verdana"/>
          <w:b/>
          <w:sz w:val="18"/>
          <w:szCs w:val="18"/>
          <w:lang w:val="es-CR"/>
        </w:rPr>
      </w:pPr>
      <w:r w:rsidRPr="00D86945">
        <w:rPr>
          <w:rFonts w:ascii="Verdana" w:hAnsi="Verdana"/>
          <w:sz w:val="20"/>
          <w:szCs w:val="20"/>
          <w:lang w:val="es-CR"/>
        </w:rPr>
        <w:t>139.</w:t>
      </w:r>
      <w:r w:rsidRPr="00D86945">
        <w:rPr>
          <w:rFonts w:ascii="Verdana" w:hAnsi="Verdana"/>
          <w:sz w:val="20"/>
          <w:szCs w:val="20"/>
          <w:lang w:val="es-CR"/>
        </w:rPr>
        <w:tab/>
        <w:t>En una sociedad democrática no sólo es legítimo, sino que en ocasiones constituye un deber de las autoridades estatales, pronunciarse sobre cuestiones de interés público. Sin embargo, al hacerlo están sometidos a ciertas limitaciones en cuanto deben constatar en forma razonable, aunque no necesariamente exhaustiva, los hechos en los que fundamentan sus opiniones</w:t>
      </w:r>
      <w:r w:rsidR="00215583">
        <w:rPr>
          <w:rFonts w:ascii="Verdana" w:hAnsi="Verdana"/>
          <w:sz w:val="20"/>
          <w:szCs w:val="20"/>
          <w:lang w:val="es-CR"/>
        </w:rPr>
        <w:t>,</w:t>
      </w:r>
      <w:r w:rsidRPr="00D86945">
        <w:rPr>
          <w:rFonts w:ascii="Verdana" w:hAnsi="Verdana"/>
          <w:sz w:val="20"/>
          <w:szCs w:val="20"/>
          <w:lang w:val="es-CR"/>
        </w:rPr>
        <w:t xml:space="preserve"> y deberían hacerlo con una diligencia aún mayor a la empleada por los particulares, en razón de su alta investidura, del amplio alcance y eventuales efectos que sus expresiones pueden tener en ciertos sectores de la población, y para evitar que los ciudadanos y otras personas interesadas reciban una versión ma</w:t>
      </w:r>
      <w:r w:rsidR="005F6F90" w:rsidRPr="00D86945">
        <w:rPr>
          <w:rFonts w:ascii="Verdana" w:hAnsi="Verdana"/>
          <w:sz w:val="20"/>
          <w:szCs w:val="20"/>
          <w:lang w:val="es-CR"/>
        </w:rPr>
        <w:t>nipulada de determinados hechos</w:t>
      </w:r>
      <w:r w:rsidRPr="00D86945">
        <w:rPr>
          <w:rFonts w:ascii="Verdana" w:hAnsi="Verdana"/>
          <w:sz w:val="20"/>
          <w:szCs w:val="20"/>
          <w:lang w:val="es-CR"/>
        </w:rPr>
        <w:t>. Además, deben tener en cuenta que en tanto funcionarios públicos tienen una posición de garante de los derechos fundamentales de las personas y, por tanto, sus declaraciones no pueden d</w:t>
      </w:r>
      <w:r w:rsidR="005F6F90" w:rsidRPr="00D86945">
        <w:rPr>
          <w:rFonts w:ascii="Verdana" w:hAnsi="Verdana"/>
          <w:sz w:val="20"/>
          <w:szCs w:val="20"/>
          <w:lang w:val="es-CR"/>
        </w:rPr>
        <w:t>esconocer éstos</w:t>
      </w:r>
      <w:r w:rsidRPr="00D86945">
        <w:rPr>
          <w:rFonts w:ascii="Verdana" w:hAnsi="Verdana"/>
          <w:sz w:val="20"/>
          <w:szCs w:val="20"/>
          <w:lang w:val="es-CR"/>
        </w:rPr>
        <w:t xml:space="preserve"> ni constituir formas de injerencia directa o indirecta o presión lesiva en los derechos de quienes pretenden contribuir a la deliberación pública mediante la expresión y difusión de su pensamiento. Este deber de especial cuidado se ve particularmente acentuado en situaciones de mayor conflictividad social, alteraciones del orden público o polarización social o política, precisamente por el conjunto de riesgos que pueden implicar para determinadas personas o grupos en un momento dado. </w:t>
      </w:r>
      <w:r w:rsidR="00480384">
        <w:rPr>
          <w:rFonts w:ascii="Verdana" w:hAnsi="Verdana"/>
          <w:b/>
          <w:sz w:val="18"/>
          <w:szCs w:val="18"/>
          <w:lang w:val="es-CR"/>
        </w:rPr>
        <w:t>[</w:t>
      </w:r>
      <w:r w:rsidR="002A5747">
        <w:rPr>
          <w:rFonts w:ascii="Verdana" w:hAnsi="Verdana"/>
          <w:b/>
          <w:sz w:val="18"/>
          <w:szCs w:val="18"/>
          <w:lang w:val="es-CR"/>
        </w:rPr>
        <w:t>En similar sentido, ver entre otros:</w:t>
      </w:r>
      <w:r w:rsidR="00E2721A" w:rsidRPr="00D86945">
        <w:rPr>
          <w:rFonts w:ascii="Verdana" w:hAnsi="Verdana"/>
          <w:b/>
          <w:sz w:val="18"/>
          <w:szCs w:val="18"/>
          <w:lang w:val="es-CR"/>
        </w:rPr>
        <w:t xml:space="preserve"> Caso </w:t>
      </w:r>
      <w:proofErr w:type="spellStart"/>
      <w:r w:rsidR="00E2721A" w:rsidRPr="00D86945">
        <w:rPr>
          <w:rFonts w:ascii="Verdana" w:hAnsi="Verdana"/>
          <w:b/>
          <w:sz w:val="18"/>
          <w:szCs w:val="18"/>
          <w:lang w:val="es-CR"/>
        </w:rPr>
        <w:t>Granier</w:t>
      </w:r>
      <w:proofErr w:type="spellEnd"/>
      <w:r w:rsidR="00E2721A" w:rsidRPr="00D86945">
        <w:rPr>
          <w:rFonts w:ascii="Verdana" w:hAnsi="Verdana"/>
          <w:b/>
          <w:sz w:val="18"/>
          <w:szCs w:val="18"/>
          <w:lang w:val="es-CR"/>
        </w:rPr>
        <w:t xml:space="preserve"> y otros (Radio Caracas Televisión) Vs. Venezuela. Excepciones Preliminares, Fondo, Reparaciones y Costas. Sentencia de 22 de junio de 2015. Serie C No. 293, párr.195</w:t>
      </w:r>
      <w:r w:rsidR="00480384">
        <w:rPr>
          <w:rFonts w:ascii="Verdana" w:hAnsi="Verdana"/>
          <w:b/>
          <w:sz w:val="18"/>
          <w:szCs w:val="18"/>
          <w:lang w:val="es-CR"/>
        </w:rPr>
        <w:t>]</w:t>
      </w:r>
      <w:r w:rsidR="00E2721A" w:rsidRPr="00D86945">
        <w:rPr>
          <w:rFonts w:ascii="Verdana" w:hAnsi="Verdana"/>
          <w:b/>
          <w:sz w:val="18"/>
          <w:szCs w:val="18"/>
          <w:lang w:val="es-CR"/>
        </w:rPr>
        <w:t>.</w:t>
      </w:r>
    </w:p>
    <w:p w14:paraId="4FA4EB33" w14:textId="127ED697" w:rsidR="000631B4" w:rsidRPr="00D86945" w:rsidRDefault="000631B4" w:rsidP="004F4FE7">
      <w:pPr>
        <w:autoSpaceDE w:val="0"/>
        <w:autoSpaceDN w:val="0"/>
        <w:adjustRightInd w:val="0"/>
        <w:spacing w:line="240" w:lineRule="auto"/>
        <w:ind w:right="49"/>
        <w:jc w:val="both"/>
        <w:rPr>
          <w:rFonts w:ascii="Verdana" w:hAnsi="Verdana"/>
          <w:sz w:val="20"/>
          <w:szCs w:val="20"/>
          <w:lang w:val="es-CR"/>
        </w:rPr>
      </w:pPr>
      <w:r w:rsidRPr="00D86945">
        <w:rPr>
          <w:rFonts w:ascii="Verdana" w:hAnsi="Verdana"/>
          <w:sz w:val="20"/>
          <w:szCs w:val="20"/>
          <w:lang w:val="es-CR"/>
        </w:rPr>
        <w:t>144.</w:t>
      </w:r>
      <w:r w:rsidRPr="00D86945">
        <w:rPr>
          <w:rFonts w:ascii="Verdana" w:hAnsi="Verdana"/>
          <w:sz w:val="20"/>
          <w:szCs w:val="20"/>
          <w:lang w:val="es-CR"/>
        </w:rPr>
        <w:tab/>
        <w:t xml:space="preserve">La Corte considera que no se desprende del contenido de los referidos discursos o declaraciones que se haya autorizado, instigado, instruido u ordenado, o de algún modo promovido, actos de agresión o violencia contra las presuntas víctimas, por parte de órganos estatales, funcionarios públicos o grupos de personas o individuos específicos. Tampoco surge de tales declaraciones que aquellos funcionarios hayan asumido como actos propios, “justificado” o “considerado legítimas”, o siquiera apoyado o congratulado, acciones que pusieron en riesgo o que ocasionaron daños a las presuntas víctimas, luego de producidos los ataques en su contra. </w:t>
      </w:r>
      <w:r w:rsidR="00480384">
        <w:rPr>
          <w:rFonts w:ascii="Verdana" w:hAnsi="Verdana"/>
          <w:b/>
          <w:sz w:val="18"/>
          <w:szCs w:val="18"/>
          <w:lang w:val="es-CR"/>
        </w:rPr>
        <w:t>[</w:t>
      </w:r>
      <w:r w:rsidR="002A5747">
        <w:rPr>
          <w:rFonts w:ascii="Verdana" w:hAnsi="Verdana"/>
          <w:b/>
          <w:sz w:val="18"/>
          <w:szCs w:val="18"/>
          <w:lang w:val="es-CR"/>
        </w:rPr>
        <w:t>En similar sentido, ver entre otros:</w:t>
      </w:r>
      <w:r w:rsidR="0022789C" w:rsidRPr="00D86945">
        <w:rPr>
          <w:rFonts w:ascii="Verdana" w:hAnsi="Verdana"/>
          <w:b/>
          <w:sz w:val="18"/>
          <w:szCs w:val="18"/>
          <w:lang w:val="es-CR"/>
        </w:rPr>
        <w:t xml:space="preserve"> Caso Perozo y otros Vs. Venezuela. Excepciones Preliminares, Fondo, Reparaciones y Costas. Sentencia de 28 de enero de 2009. Serie C No. 195, párr.156</w:t>
      </w:r>
      <w:r w:rsidR="00480384">
        <w:rPr>
          <w:rFonts w:ascii="Verdana" w:hAnsi="Verdana"/>
          <w:b/>
          <w:sz w:val="18"/>
          <w:szCs w:val="18"/>
          <w:lang w:val="es-CR"/>
        </w:rPr>
        <w:t>]</w:t>
      </w:r>
      <w:r w:rsidR="0022789C" w:rsidRPr="00D86945">
        <w:rPr>
          <w:rFonts w:ascii="Verdana" w:hAnsi="Verdana"/>
          <w:b/>
          <w:sz w:val="18"/>
          <w:szCs w:val="18"/>
          <w:lang w:val="es-CR"/>
        </w:rPr>
        <w:t>.</w:t>
      </w:r>
    </w:p>
    <w:p w14:paraId="72C500AE" w14:textId="0A654842" w:rsidR="000631B4" w:rsidRPr="00D86945" w:rsidRDefault="000631B4" w:rsidP="004F4FE7">
      <w:pPr>
        <w:autoSpaceDE w:val="0"/>
        <w:autoSpaceDN w:val="0"/>
        <w:adjustRightInd w:val="0"/>
        <w:spacing w:line="240" w:lineRule="auto"/>
        <w:ind w:right="49"/>
        <w:jc w:val="both"/>
        <w:rPr>
          <w:rFonts w:ascii="Verdana" w:hAnsi="Verdana"/>
          <w:sz w:val="18"/>
          <w:szCs w:val="18"/>
          <w:lang w:val="es-CR"/>
        </w:rPr>
      </w:pPr>
      <w:r w:rsidRPr="00D86945">
        <w:rPr>
          <w:rFonts w:ascii="Verdana" w:hAnsi="Verdana"/>
          <w:sz w:val="20"/>
          <w:szCs w:val="20"/>
          <w:lang w:val="es-CR"/>
        </w:rPr>
        <w:t>145.</w:t>
      </w:r>
      <w:r w:rsidRPr="00D86945">
        <w:rPr>
          <w:rFonts w:ascii="Verdana" w:hAnsi="Verdana"/>
          <w:sz w:val="20"/>
          <w:szCs w:val="20"/>
          <w:lang w:val="es-CR"/>
        </w:rPr>
        <w:tab/>
        <w:t xml:space="preserve">Sin embargo, el hecho de que en diversos discursos oficiales de altos funcionarios estatales se relacionara a RCTV, en particular a sus dueños y directivos, con planes de desestabilización política, actividades terroristas o con el golpe de Estado de 2002, colocó a quienes trabajaban para este medio particular de comunicación en una posición de mayor vulnerabilidad relativa frente al Estado y determinados sectores de la sociedad. </w:t>
      </w:r>
      <w:r w:rsidR="00480384">
        <w:rPr>
          <w:rFonts w:ascii="Verdana" w:hAnsi="Verdana"/>
          <w:b/>
          <w:sz w:val="18"/>
          <w:szCs w:val="18"/>
          <w:lang w:val="es-CR"/>
        </w:rPr>
        <w:t>[</w:t>
      </w:r>
      <w:r w:rsidR="002A5747">
        <w:rPr>
          <w:rFonts w:ascii="Verdana" w:hAnsi="Verdana"/>
          <w:b/>
          <w:sz w:val="18"/>
          <w:szCs w:val="18"/>
          <w:lang w:val="es-CR"/>
        </w:rPr>
        <w:t>En similar sentido, ver entre otros:</w:t>
      </w:r>
      <w:r w:rsidR="00DB7BD4" w:rsidRPr="00D86945">
        <w:rPr>
          <w:rFonts w:ascii="Verdana" w:hAnsi="Verdana"/>
          <w:sz w:val="18"/>
          <w:szCs w:val="18"/>
          <w:lang w:val="es-CR"/>
        </w:rPr>
        <w:t xml:space="preserve"> </w:t>
      </w:r>
      <w:r w:rsidR="00DB7BD4" w:rsidRPr="00D86945">
        <w:rPr>
          <w:rFonts w:ascii="Verdana" w:hAnsi="Verdana"/>
          <w:b/>
          <w:sz w:val="18"/>
          <w:szCs w:val="18"/>
          <w:lang w:val="es-CR"/>
        </w:rPr>
        <w:t>Caso Perozo y otros Vs. Venezuela. Excepciones Preliminares, Fondo, Reparaciones y Costas. Sentencia de 28 de enero de 2009. Serie C No. 195, párr.157</w:t>
      </w:r>
      <w:r w:rsidR="00480384">
        <w:rPr>
          <w:rFonts w:ascii="Verdana" w:hAnsi="Verdana"/>
          <w:b/>
          <w:sz w:val="18"/>
          <w:szCs w:val="18"/>
          <w:lang w:val="es-CR"/>
        </w:rPr>
        <w:t>]</w:t>
      </w:r>
      <w:r w:rsidR="00DB7BD4" w:rsidRPr="00D86945">
        <w:rPr>
          <w:rFonts w:ascii="Verdana" w:hAnsi="Verdana"/>
          <w:b/>
          <w:sz w:val="18"/>
          <w:szCs w:val="18"/>
          <w:lang w:val="es-CR"/>
        </w:rPr>
        <w:t>.</w:t>
      </w:r>
    </w:p>
    <w:p w14:paraId="4F1625FC" w14:textId="770578CE" w:rsidR="000631B4" w:rsidRPr="00D86945" w:rsidRDefault="000631B4" w:rsidP="004F4FE7">
      <w:pPr>
        <w:autoSpaceDE w:val="0"/>
        <w:autoSpaceDN w:val="0"/>
        <w:adjustRightInd w:val="0"/>
        <w:spacing w:line="240" w:lineRule="auto"/>
        <w:ind w:right="49"/>
        <w:jc w:val="both"/>
        <w:rPr>
          <w:rFonts w:ascii="Verdana" w:hAnsi="Verdana"/>
          <w:sz w:val="18"/>
          <w:szCs w:val="18"/>
          <w:lang w:val="es-CR"/>
        </w:rPr>
      </w:pPr>
      <w:r w:rsidRPr="00D86945">
        <w:rPr>
          <w:rFonts w:ascii="Verdana" w:hAnsi="Verdana"/>
          <w:sz w:val="20"/>
          <w:szCs w:val="20"/>
          <w:lang w:val="es-CR"/>
        </w:rPr>
        <w:t>147.</w:t>
      </w:r>
      <w:r w:rsidRPr="00D86945">
        <w:rPr>
          <w:rFonts w:ascii="Verdana" w:hAnsi="Verdana"/>
          <w:sz w:val="20"/>
          <w:szCs w:val="20"/>
          <w:lang w:val="es-CR"/>
        </w:rPr>
        <w:tab/>
        <w:t xml:space="preserve">No ha sido demostrado que los particulares involucrados en actos de agresión contra las presuntas víctimas hubiesen reivindicado o proclamado, de algún modo, contar con apoyo oficial o instrucciones de algún órgano o funcionario estatal para cometerlos, aún en los casos en que utilizaban determinados signos externos (vestimenta o indumentaria alusiva al gobierno). Además, no fue aportada prueba acerca de la identidad de esas personas, ni de su motivación para cometer tales </w:t>
      </w:r>
      <w:r w:rsidRPr="00D86945">
        <w:rPr>
          <w:rFonts w:ascii="Verdana" w:hAnsi="Verdana"/>
          <w:sz w:val="20"/>
          <w:szCs w:val="20"/>
          <w:lang w:val="es-CR"/>
        </w:rPr>
        <w:lastRenderedPageBreak/>
        <w:t>hechos, por lo que no hay elementos para considerar que sus acciones no les fueran atribuibles a ellos mismos, en su condición de individuos.</w:t>
      </w:r>
      <w:r w:rsidR="00D35646" w:rsidRPr="00D86945">
        <w:rPr>
          <w:rFonts w:ascii="Verdana" w:hAnsi="Verdana"/>
          <w:sz w:val="20"/>
          <w:szCs w:val="20"/>
          <w:lang w:val="es-CR"/>
        </w:rPr>
        <w:t xml:space="preserve"> </w:t>
      </w:r>
      <w:r w:rsidR="00480384">
        <w:rPr>
          <w:rFonts w:ascii="Verdana" w:hAnsi="Verdana"/>
          <w:b/>
          <w:sz w:val="18"/>
          <w:szCs w:val="18"/>
          <w:lang w:val="es-CR"/>
        </w:rPr>
        <w:t>[</w:t>
      </w:r>
      <w:r w:rsidR="002A5747">
        <w:rPr>
          <w:rFonts w:ascii="Verdana" w:hAnsi="Verdana"/>
          <w:b/>
          <w:sz w:val="18"/>
          <w:szCs w:val="18"/>
          <w:lang w:val="es-CR"/>
        </w:rPr>
        <w:t>En similar sentido, ver entre otros:</w:t>
      </w:r>
      <w:r w:rsidR="00DB7BD4" w:rsidRPr="00D86945">
        <w:rPr>
          <w:rFonts w:ascii="Verdana" w:hAnsi="Verdana"/>
          <w:sz w:val="18"/>
          <w:szCs w:val="18"/>
          <w:lang w:val="es-CR"/>
        </w:rPr>
        <w:t xml:space="preserve"> </w:t>
      </w:r>
      <w:r w:rsidR="00DB7BD4" w:rsidRPr="00D86945">
        <w:rPr>
          <w:rFonts w:ascii="Verdana" w:hAnsi="Verdana"/>
          <w:b/>
          <w:sz w:val="18"/>
          <w:szCs w:val="18"/>
          <w:lang w:val="es-CR"/>
        </w:rPr>
        <w:t>Caso Perozo y otros Vs. Venezuela. Excepciones Preliminares, Fondo, Reparaciones y Costas. Sentencia de 28 de enero de 2009. Serie C No. 195, párr.159</w:t>
      </w:r>
      <w:r w:rsidR="00480384">
        <w:rPr>
          <w:rFonts w:ascii="Verdana" w:hAnsi="Verdana"/>
          <w:b/>
          <w:sz w:val="18"/>
          <w:szCs w:val="18"/>
          <w:vertAlign w:val="subscript"/>
          <w:lang w:val="es-CR"/>
        </w:rPr>
        <w:t>]</w:t>
      </w:r>
      <w:r w:rsidR="00DB7BD4" w:rsidRPr="00D86945">
        <w:rPr>
          <w:rFonts w:ascii="Verdana" w:hAnsi="Verdana"/>
          <w:b/>
          <w:sz w:val="18"/>
          <w:szCs w:val="18"/>
          <w:lang w:val="es-CR"/>
        </w:rPr>
        <w:t>.</w:t>
      </w:r>
    </w:p>
    <w:p w14:paraId="6D077C4F" w14:textId="025D47FD" w:rsidR="009B449F" w:rsidRPr="004F4FE7" w:rsidRDefault="000631B4" w:rsidP="004F4FE7">
      <w:pPr>
        <w:autoSpaceDE w:val="0"/>
        <w:autoSpaceDN w:val="0"/>
        <w:adjustRightInd w:val="0"/>
        <w:spacing w:line="240" w:lineRule="auto"/>
        <w:ind w:right="49"/>
        <w:jc w:val="both"/>
        <w:rPr>
          <w:rFonts w:ascii="Verdana" w:hAnsi="Verdana"/>
          <w:sz w:val="18"/>
          <w:szCs w:val="18"/>
          <w:lang w:val="es-CR"/>
        </w:rPr>
      </w:pPr>
      <w:r w:rsidRPr="00D86945">
        <w:rPr>
          <w:rFonts w:ascii="Verdana" w:hAnsi="Verdana"/>
          <w:sz w:val="20"/>
          <w:szCs w:val="20"/>
          <w:lang w:val="es-CR"/>
        </w:rPr>
        <w:t>148.</w:t>
      </w:r>
      <w:r w:rsidRPr="00D86945">
        <w:rPr>
          <w:rFonts w:ascii="Verdana" w:hAnsi="Verdana"/>
          <w:sz w:val="20"/>
          <w:szCs w:val="20"/>
          <w:lang w:val="es-CR"/>
        </w:rPr>
        <w:tab/>
        <w:t xml:space="preserve">No obstante, en los contextos en que ocurrieron los hechos del presente caso </w:t>
      </w:r>
      <w:r w:rsidR="005E0C2B">
        <w:rPr>
          <w:rFonts w:ascii="Verdana" w:hAnsi="Verdana"/>
          <w:sz w:val="20"/>
          <w:szCs w:val="20"/>
          <w:lang w:val="es-CR"/>
        </w:rPr>
        <w:t>[...]</w:t>
      </w:r>
      <w:r w:rsidRPr="00D86945">
        <w:rPr>
          <w:rFonts w:ascii="Verdana" w:hAnsi="Verdana"/>
          <w:sz w:val="20"/>
          <w:szCs w:val="20"/>
          <w:lang w:val="es-CR"/>
        </w:rPr>
        <w:t>, y al observar la percepción que de ese medio de comunicación han expresado tener autoridades estatales y ciertos sectores de la sociedad, es posible considerar que dichos pronunciamientos de altos funcionarios públicos crearon, o al menos contribuyeron a acentuar o exacerbar, situaciones de hostilidad, intolerancia o animadversión por parte de sectores de la población hacia las personas vinculadas con ese medio de comunicación. El contenido de algunos discursos, por la alta investidura de quienes los pronunciaron y su reiteración, implica una omisión de las autoridades estatales en su deber de prevenir los hechos, pues pudo ser interpretado por individuos y grupos de particulares de forma tal que derivaran en actos de violencia contra las presuntas víctimas, así como en obstaculizaciones a su labor periodística.</w:t>
      </w:r>
      <w:r w:rsidR="00DB7BD4" w:rsidRPr="00D86945">
        <w:rPr>
          <w:rFonts w:ascii="Verdana" w:hAnsi="Verdana"/>
          <w:sz w:val="20"/>
          <w:szCs w:val="20"/>
          <w:lang w:val="es-CR"/>
        </w:rPr>
        <w:t xml:space="preserve"> </w:t>
      </w:r>
      <w:r w:rsidR="00480384">
        <w:rPr>
          <w:rFonts w:ascii="Verdana" w:hAnsi="Verdana"/>
          <w:b/>
          <w:sz w:val="18"/>
          <w:szCs w:val="18"/>
          <w:lang w:val="es-CR"/>
        </w:rPr>
        <w:t>[</w:t>
      </w:r>
      <w:r w:rsidR="002A5747">
        <w:rPr>
          <w:rFonts w:ascii="Verdana" w:hAnsi="Verdana"/>
          <w:b/>
          <w:sz w:val="18"/>
          <w:szCs w:val="18"/>
          <w:lang w:val="es-CR"/>
        </w:rPr>
        <w:t>En similar sentido, ver entre otros:</w:t>
      </w:r>
      <w:r w:rsidR="00DB7BD4" w:rsidRPr="00D86945">
        <w:rPr>
          <w:rFonts w:ascii="Verdana" w:hAnsi="Verdana"/>
          <w:sz w:val="18"/>
          <w:szCs w:val="18"/>
          <w:lang w:val="es-CR"/>
        </w:rPr>
        <w:t xml:space="preserve"> </w:t>
      </w:r>
      <w:r w:rsidR="00DB7BD4" w:rsidRPr="00D86945">
        <w:rPr>
          <w:rFonts w:ascii="Verdana" w:hAnsi="Verdana"/>
          <w:b/>
          <w:sz w:val="18"/>
          <w:szCs w:val="18"/>
          <w:lang w:val="es-CR"/>
        </w:rPr>
        <w:t>Caso Perozo y otros Vs. Venezuela. Excepciones Preliminares, Fondo, Reparaciones y Costas. Sentencia de 28 de enero de 2009. Serie C No. 195, párr.160</w:t>
      </w:r>
      <w:r w:rsidR="00480384">
        <w:rPr>
          <w:rFonts w:ascii="Verdana" w:hAnsi="Verdana"/>
          <w:b/>
          <w:sz w:val="18"/>
          <w:szCs w:val="18"/>
          <w:lang w:val="es-CR"/>
        </w:rPr>
        <w:t>]</w:t>
      </w:r>
      <w:r w:rsidR="00DB7BD4" w:rsidRPr="00D86945">
        <w:rPr>
          <w:rFonts w:ascii="Verdana" w:hAnsi="Verdana"/>
          <w:b/>
          <w:sz w:val="18"/>
          <w:szCs w:val="18"/>
          <w:lang w:val="es-CR"/>
        </w:rPr>
        <w:t>.</w:t>
      </w:r>
    </w:p>
    <w:p w14:paraId="40D18955" w14:textId="486530A1" w:rsidR="000548A6" w:rsidRPr="00D86945" w:rsidRDefault="000548A6" w:rsidP="00BF3BF6">
      <w:pPr>
        <w:pStyle w:val="Ttulo2"/>
      </w:pPr>
      <w:bookmarkStart w:id="26" w:name="_Toc89691478"/>
      <w:r w:rsidRPr="00D86945">
        <w:t>Adopción de disposiciones de derecho interno (artículo 2 CADH)</w:t>
      </w:r>
      <w:bookmarkEnd w:id="26"/>
    </w:p>
    <w:p w14:paraId="5A1B06F8" w14:textId="325063B7" w:rsidR="000548A6" w:rsidRPr="00D86945" w:rsidRDefault="000548A6" w:rsidP="004F4FE7">
      <w:pPr>
        <w:spacing w:line="240" w:lineRule="auto"/>
        <w:ind w:right="49"/>
        <w:jc w:val="both"/>
        <w:rPr>
          <w:rFonts w:ascii="Verdana" w:eastAsia="Times New Roman" w:hAnsi="Verdana" w:cs="Times New Roman"/>
          <w:sz w:val="20"/>
          <w:szCs w:val="20"/>
          <w:lang w:eastAsia="es-ES_tradnl"/>
        </w:rPr>
      </w:pPr>
      <w:r w:rsidRPr="00D86945">
        <w:rPr>
          <w:rFonts w:ascii="Verdana" w:eastAsia="Times New Roman" w:hAnsi="Verdana" w:cs="Times New Roman"/>
          <w:b/>
          <w:bCs/>
          <w:sz w:val="20"/>
          <w:szCs w:val="20"/>
          <w:shd w:val="clear" w:color="auto" w:fill="FFFFFF"/>
          <w:lang w:eastAsia="es-ES_tradnl"/>
        </w:rPr>
        <w:t>Corte IDH. Caso Palamara Iribarne Vs. Chile. Fondo, Reparaciones y Costas. Sentencia de 22 de noviembre de 2005. Serie C No. 135</w:t>
      </w:r>
      <w:r w:rsidR="00EB1BB2" w:rsidRPr="00D86945">
        <w:rPr>
          <w:rFonts w:ascii="Verdana" w:eastAsia="Times New Roman" w:hAnsi="Verdana" w:cs="Times New Roman"/>
          <w:b/>
          <w:bCs/>
          <w:sz w:val="20"/>
          <w:szCs w:val="20"/>
          <w:shd w:val="clear" w:color="auto" w:fill="FFFFFF"/>
          <w:lang w:eastAsia="es-ES_tradnl"/>
        </w:rPr>
        <w:t>.</w:t>
      </w:r>
    </w:p>
    <w:p w14:paraId="6FEAFAA0" w14:textId="510E3779" w:rsidR="000548A6" w:rsidRPr="00D86945" w:rsidRDefault="000548A6" w:rsidP="004F4FE7">
      <w:pPr>
        <w:tabs>
          <w:tab w:val="left" w:pos="360"/>
        </w:tabs>
        <w:spacing w:line="240" w:lineRule="auto"/>
        <w:ind w:right="49"/>
        <w:jc w:val="both"/>
        <w:rPr>
          <w:rFonts w:ascii="Verdana" w:hAnsi="Verdana" w:cs="Times New Roman"/>
          <w:sz w:val="20"/>
          <w:szCs w:val="20"/>
        </w:rPr>
      </w:pPr>
      <w:r w:rsidRPr="00D86945">
        <w:rPr>
          <w:rFonts w:ascii="Verdana" w:hAnsi="Verdana" w:cs="Times New Roman"/>
          <w:sz w:val="20"/>
          <w:szCs w:val="20"/>
        </w:rPr>
        <w:t>89.</w:t>
      </w:r>
      <w:r w:rsidRPr="00D86945">
        <w:rPr>
          <w:rFonts w:ascii="Verdana" w:hAnsi="Verdana" w:cs="Times New Roman"/>
          <w:sz w:val="20"/>
          <w:szCs w:val="20"/>
        </w:rPr>
        <w:tab/>
        <w:t>El artículo 2 de la Convención Americana obliga a los Estados Partes a adoptar, con arreglo a sus procedimientos constitucionales y a las disposiciones de la Convención, las medidas legislativas o de otro carácter que fueren necesarias para hacer efectivos los derechos y libertades protegidos por aquélla. Es necesario reafirmar que la obligación de adaptar la legislación interna sólo se satisface cuando efectivamente se realiza la reforma y cuando dicha reforma abarca todas las normas que impiden el ejercicio de los referidos derechos y libertades.</w:t>
      </w:r>
    </w:p>
    <w:p w14:paraId="28B62D0C" w14:textId="5DE4A1D8" w:rsidR="000548A6" w:rsidRPr="00D86945" w:rsidRDefault="000548A6" w:rsidP="004F4FE7">
      <w:pPr>
        <w:tabs>
          <w:tab w:val="left" w:pos="360"/>
        </w:tabs>
        <w:spacing w:line="240" w:lineRule="auto"/>
        <w:ind w:right="49"/>
        <w:jc w:val="both"/>
        <w:rPr>
          <w:rFonts w:ascii="Verdana" w:hAnsi="Verdana" w:cs="Times New Roman"/>
          <w:sz w:val="20"/>
          <w:szCs w:val="20"/>
        </w:rPr>
      </w:pPr>
      <w:r w:rsidRPr="00D86945">
        <w:rPr>
          <w:rFonts w:ascii="Verdana" w:hAnsi="Verdana" w:cs="Times New Roman"/>
          <w:sz w:val="20"/>
          <w:szCs w:val="20"/>
        </w:rPr>
        <w:t>90.</w:t>
      </w:r>
      <w:r w:rsidRPr="00D86945">
        <w:rPr>
          <w:rFonts w:ascii="Verdana" w:hAnsi="Verdana" w:cs="Times New Roman"/>
          <w:sz w:val="20"/>
          <w:szCs w:val="20"/>
        </w:rPr>
        <w:tab/>
        <w:t xml:space="preserve">Ahora, en lo que respecta al delito de desacato, por el cual el señor Palamara Iribarne fue condenado, la Corte observa que el 31 de agosto de 2005 el Estado publicó la Ley No. 20.048 que modifica el Código Penal y el Código de Justicia Militar, derogando o modificando las normas del Código Penal que le fueron aplicadas </w:t>
      </w:r>
      <w:r w:rsidR="005E0C2B">
        <w:rPr>
          <w:rFonts w:ascii="Verdana" w:hAnsi="Verdana" w:cs="Times New Roman"/>
          <w:sz w:val="20"/>
          <w:szCs w:val="20"/>
        </w:rPr>
        <w:t>[...]</w:t>
      </w:r>
      <w:r w:rsidRPr="00D86945">
        <w:rPr>
          <w:rFonts w:ascii="Verdana" w:hAnsi="Verdana" w:cs="Times New Roman"/>
          <w:sz w:val="20"/>
          <w:szCs w:val="20"/>
        </w:rPr>
        <w:t>.</w:t>
      </w:r>
      <w:r w:rsidR="00D35646" w:rsidRPr="00D86945">
        <w:rPr>
          <w:rFonts w:ascii="Verdana" w:hAnsi="Verdana" w:cs="Times New Roman"/>
          <w:sz w:val="20"/>
          <w:szCs w:val="20"/>
        </w:rPr>
        <w:t xml:space="preserve"> </w:t>
      </w:r>
      <w:r w:rsidRPr="00D86945">
        <w:rPr>
          <w:rFonts w:ascii="Verdana" w:hAnsi="Verdana" w:cs="Times New Roman"/>
          <w:sz w:val="20"/>
          <w:szCs w:val="20"/>
        </w:rPr>
        <w:t>Al respecto, los representantes de la presunta víctima, al presentar sus observaciones a la referida Ley, afirmaron que “no ten[</w:t>
      </w:r>
      <w:proofErr w:type="spellStart"/>
      <w:r w:rsidRPr="00D86945">
        <w:rPr>
          <w:rFonts w:ascii="Verdana" w:hAnsi="Verdana" w:cs="Times New Roman"/>
          <w:sz w:val="20"/>
          <w:szCs w:val="20"/>
        </w:rPr>
        <w:t>ían</w:t>
      </w:r>
      <w:proofErr w:type="spellEnd"/>
      <w:r w:rsidRPr="00D86945">
        <w:rPr>
          <w:rFonts w:ascii="Verdana" w:hAnsi="Verdana" w:cs="Times New Roman"/>
          <w:sz w:val="20"/>
          <w:szCs w:val="20"/>
        </w:rPr>
        <w:t xml:space="preserve">] objeciones a la reforma legislativa notificada por el Estado” e indicaron que la referida “modificación legal […] sólo </w:t>
      </w:r>
      <w:proofErr w:type="spellStart"/>
      <w:r w:rsidRPr="00D86945">
        <w:rPr>
          <w:rFonts w:ascii="Verdana" w:hAnsi="Verdana" w:cs="Times New Roman"/>
          <w:sz w:val="20"/>
          <w:szCs w:val="20"/>
        </w:rPr>
        <w:t>comprend</w:t>
      </w:r>
      <w:proofErr w:type="spellEnd"/>
      <w:r w:rsidRPr="00D86945">
        <w:rPr>
          <w:rFonts w:ascii="Verdana" w:hAnsi="Verdana" w:cs="Times New Roman"/>
          <w:sz w:val="20"/>
          <w:szCs w:val="20"/>
        </w:rPr>
        <w:t>[</w:t>
      </w:r>
      <w:proofErr w:type="spellStart"/>
      <w:r w:rsidRPr="00D86945">
        <w:rPr>
          <w:rFonts w:ascii="Verdana" w:hAnsi="Verdana" w:cs="Times New Roman"/>
          <w:sz w:val="20"/>
          <w:szCs w:val="20"/>
        </w:rPr>
        <w:t>ía</w:t>
      </w:r>
      <w:proofErr w:type="spellEnd"/>
      <w:r w:rsidRPr="00D86945">
        <w:rPr>
          <w:rFonts w:ascii="Verdana" w:hAnsi="Verdana" w:cs="Times New Roman"/>
          <w:sz w:val="20"/>
          <w:szCs w:val="20"/>
        </w:rPr>
        <w:t>] la reparación parcial de una de las violaciones a la Convención”. Por su parte, la Comisión señaló que “no t[e]n[</w:t>
      </w:r>
      <w:proofErr w:type="spellStart"/>
      <w:r w:rsidRPr="00D86945">
        <w:rPr>
          <w:rFonts w:ascii="Verdana" w:hAnsi="Verdana" w:cs="Times New Roman"/>
          <w:sz w:val="20"/>
          <w:szCs w:val="20"/>
        </w:rPr>
        <w:t>ía</w:t>
      </w:r>
      <w:proofErr w:type="spellEnd"/>
      <w:r w:rsidRPr="00D86945">
        <w:rPr>
          <w:rFonts w:ascii="Verdana" w:hAnsi="Verdana" w:cs="Times New Roman"/>
          <w:sz w:val="20"/>
          <w:szCs w:val="20"/>
        </w:rPr>
        <w:t>] mayores observaciones que formular y […] que la eliminación del desacato se efectúa solamente para efectos del Código Penal y no del Código de Justicia Militar”.</w:t>
      </w:r>
      <w:r w:rsidR="00D35646" w:rsidRPr="00D86945">
        <w:rPr>
          <w:rFonts w:ascii="Verdana" w:hAnsi="Verdana" w:cs="Times New Roman"/>
          <w:sz w:val="20"/>
          <w:szCs w:val="20"/>
        </w:rPr>
        <w:t xml:space="preserve"> </w:t>
      </w:r>
      <w:r w:rsidRPr="00D86945">
        <w:rPr>
          <w:rFonts w:ascii="Verdana" w:hAnsi="Verdana" w:cs="Times New Roman"/>
          <w:sz w:val="20"/>
          <w:szCs w:val="20"/>
        </w:rPr>
        <w:t>Además, la Comisión indicó que “</w:t>
      </w:r>
      <w:proofErr w:type="spellStart"/>
      <w:r w:rsidRPr="00D86945">
        <w:rPr>
          <w:rFonts w:ascii="Verdana" w:hAnsi="Verdana" w:cs="Times New Roman"/>
          <w:sz w:val="20"/>
          <w:szCs w:val="20"/>
        </w:rPr>
        <w:t>compart</w:t>
      </w:r>
      <w:proofErr w:type="spellEnd"/>
      <w:r w:rsidRPr="00D86945">
        <w:rPr>
          <w:rFonts w:ascii="Verdana" w:hAnsi="Verdana" w:cs="Times New Roman"/>
          <w:sz w:val="20"/>
          <w:szCs w:val="20"/>
        </w:rPr>
        <w:t>[</w:t>
      </w:r>
      <w:proofErr w:type="spellStart"/>
      <w:r w:rsidRPr="00D86945">
        <w:rPr>
          <w:rFonts w:ascii="Verdana" w:hAnsi="Verdana" w:cs="Times New Roman"/>
          <w:sz w:val="20"/>
          <w:szCs w:val="20"/>
        </w:rPr>
        <w:t>ía</w:t>
      </w:r>
      <w:proofErr w:type="spellEnd"/>
      <w:r w:rsidRPr="00D86945">
        <w:rPr>
          <w:rFonts w:ascii="Verdana" w:hAnsi="Verdana" w:cs="Times New Roman"/>
          <w:sz w:val="20"/>
          <w:szCs w:val="20"/>
        </w:rPr>
        <w:t>] las observaciones prestadas por los representantes de la [presunta] víctima” en el sentido de que el señor Palamara Iribarne debía ser reparado íntegramente por el daño sufrido.</w:t>
      </w:r>
    </w:p>
    <w:p w14:paraId="4D268F4A" w14:textId="0AA616D0" w:rsidR="00B52D0E" w:rsidRPr="00D86945" w:rsidRDefault="000548A6" w:rsidP="004F4FE7">
      <w:pPr>
        <w:tabs>
          <w:tab w:val="left" w:pos="360"/>
        </w:tabs>
        <w:spacing w:line="240" w:lineRule="auto"/>
        <w:ind w:right="49"/>
        <w:jc w:val="both"/>
        <w:rPr>
          <w:rFonts w:ascii="Verdana" w:hAnsi="Verdana" w:cs="Times New Roman"/>
          <w:sz w:val="20"/>
          <w:szCs w:val="20"/>
        </w:rPr>
      </w:pPr>
      <w:r w:rsidRPr="00D86945">
        <w:rPr>
          <w:rFonts w:ascii="Verdana" w:hAnsi="Verdana" w:cs="Times New Roman"/>
          <w:sz w:val="20"/>
          <w:szCs w:val="20"/>
        </w:rPr>
        <w:t>93.</w:t>
      </w:r>
      <w:r w:rsidRPr="00D86945">
        <w:rPr>
          <w:rFonts w:ascii="Verdana" w:hAnsi="Verdana" w:cs="Times New Roman"/>
          <w:sz w:val="20"/>
          <w:szCs w:val="20"/>
        </w:rPr>
        <w:tab/>
        <w:t>Además, este Tribunal observa que la modificación legislativa establecida por medio de la Ley No. 20.048 no abarcó todas las normas que contemplan el delito de desacato, ya que se conserva su tipificación en el Código de Justicia Militar. De esta forma se continúan estableciendo sanciones desproporcionadas por realizar críticas sobre el funcionamiento de las instituciones estatales y sus miembros y se contempla una protección mayor a las instituciones militares y sus miembros de la que no gozan las instituciones civiles en una sociedad democrática, lo cual no es compatible con el artículo 13 de la Convención Americana.</w:t>
      </w:r>
    </w:p>
    <w:p w14:paraId="0CC7A6F5" w14:textId="5B53F913" w:rsidR="00B4484A" w:rsidRPr="00D86945" w:rsidRDefault="00B4484A" w:rsidP="004F4FE7">
      <w:pPr>
        <w:spacing w:line="240" w:lineRule="auto"/>
        <w:jc w:val="both"/>
        <w:rPr>
          <w:rFonts w:ascii="Verdana" w:eastAsia="Times New Roman" w:hAnsi="Verdana" w:cs="Times New Roman"/>
          <w:sz w:val="20"/>
          <w:szCs w:val="20"/>
          <w:lang w:eastAsia="es-ES_tradnl"/>
        </w:rPr>
      </w:pPr>
      <w:r w:rsidRPr="00D86945">
        <w:rPr>
          <w:rFonts w:ascii="Verdana" w:eastAsia="Times New Roman" w:hAnsi="Verdana" w:cs="Times New Roman"/>
          <w:b/>
          <w:bCs/>
          <w:sz w:val="20"/>
          <w:szCs w:val="20"/>
          <w:shd w:val="clear" w:color="auto" w:fill="FFFFFF"/>
          <w:lang w:eastAsia="es-ES_tradnl"/>
        </w:rPr>
        <w:lastRenderedPageBreak/>
        <w:t>Corte IDH. Caso Claude Reyes y otros Vs. Chile. Fondo, Reparaciones y Costas. Sentencia de 19 de septiembre de 2006. Serie C No. 151</w:t>
      </w:r>
      <w:r w:rsidR="00EB1BB2" w:rsidRPr="00D86945">
        <w:rPr>
          <w:rFonts w:ascii="Verdana" w:eastAsia="Times New Roman" w:hAnsi="Verdana" w:cs="Times New Roman"/>
          <w:b/>
          <w:bCs/>
          <w:sz w:val="20"/>
          <w:szCs w:val="20"/>
          <w:shd w:val="clear" w:color="auto" w:fill="FFFFFF"/>
          <w:lang w:eastAsia="es-ES_tradnl"/>
        </w:rPr>
        <w:t>.</w:t>
      </w:r>
    </w:p>
    <w:p w14:paraId="1A91132F" w14:textId="56126864" w:rsidR="00B4484A" w:rsidRPr="00D86945" w:rsidRDefault="00B4484A" w:rsidP="004F4FE7">
      <w:pPr>
        <w:pStyle w:val="Textoindependiente3"/>
        <w:tabs>
          <w:tab w:val="left" w:pos="720"/>
        </w:tabs>
        <w:spacing w:line="240" w:lineRule="auto"/>
        <w:ind w:right="49"/>
        <w:jc w:val="both"/>
        <w:rPr>
          <w:rFonts w:ascii="Verdana" w:hAnsi="Verdana" w:cs="Times New Roman"/>
          <w:sz w:val="20"/>
          <w:szCs w:val="20"/>
        </w:rPr>
      </w:pPr>
      <w:r w:rsidRPr="00D86945">
        <w:rPr>
          <w:rFonts w:ascii="Verdana" w:hAnsi="Verdana" w:cs="Times New Roman"/>
          <w:sz w:val="20"/>
          <w:szCs w:val="20"/>
        </w:rPr>
        <w:t>100.</w:t>
      </w:r>
      <w:r w:rsidRPr="00D86945">
        <w:rPr>
          <w:rFonts w:ascii="Verdana" w:hAnsi="Verdana" w:cs="Times New Roman"/>
          <w:sz w:val="20"/>
          <w:szCs w:val="20"/>
        </w:rPr>
        <w:tab/>
        <w:t xml:space="preserve">La Corte valora los esfuerzos realizados por Chile con el fin de adecuar su normativa a la Convención Americana en materia de acceso a información bajo el control del Estado, en particular la reciente reforma a la Constitución Política realizada en el año 2005 que dispone que la reserva o secreto de la información debe establecerse por ley </w:t>
      </w:r>
      <w:r w:rsidR="005E0C2B">
        <w:rPr>
          <w:rFonts w:ascii="Verdana" w:hAnsi="Verdana" w:cs="Times New Roman"/>
          <w:sz w:val="20"/>
          <w:szCs w:val="20"/>
        </w:rPr>
        <w:t>[...]</w:t>
      </w:r>
      <w:r w:rsidRPr="00D86945">
        <w:rPr>
          <w:rFonts w:ascii="Verdana" w:hAnsi="Verdana" w:cs="Times New Roman"/>
          <w:sz w:val="20"/>
          <w:szCs w:val="20"/>
        </w:rPr>
        <w:t>, disposición que no existía en la época de los hechos de este caso.</w:t>
      </w:r>
      <w:r w:rsidR="00D35646" w:rsidRPr="00D86945">
        <w:rPr>
          <w:rFonts w:ascii="Verdana" w:hAnsi="Verdana" w:cs="Times New Roman"/>
          <w:sz w:val="20"/>
          <w:szCs w:val="20"/>
        </w:rPr>
        <w:t xml:space="preserve"> </w:t>
      </w:r>
    </w:p>
    <w:p w14:paraId="2240034B" w14:textId="5C9C61D9" w:rsidR="00D27487" w:rsidRPr="00D86945" w:rsidRDefault="00B4484A" w:rsidP="004F4FE7">
      <w:pPr>
        <w:pStyle w:val="Textoindependiente3"/>
        <w:tabs>
          <w:tab w:val="left" w:pos="720"/>
        </w:tabs>
        <w:spacing w:line="240" w:lineRule="auto"/>
        <w:ind w:right="49"/>
        <w:jc w:val="both"/>
        <w:rPr>
          <w:rFonts w:ascii="Verdana" w:hAnsi="Verdana" w:cs="Times New Roman"/>
          <w:sz w:val="20"/>
          <w:szCs w:val="20"/>
        </w:rPr>
      </w:pPr>
      <w:r w:rsidRPr="00D86945">
        <w:rPr>
          <w:rFonts w:ascii="Verdana" w:hAnsi="Verdana" w:cs="Times New Roman"/>
          <w:sz w:val="20"/>
          <w:szCs w:val="20"/>
        </w:rPr>
        <w:t>101.</w:t>
      </w:r>
      <w:r w:rsidRPr="00D86945">
        <w:rPr>
          <w:rFonts w:ascii="Verdana" w:hAnsi="Verdana" w:cs="Times New Roman"/>
          <w:sz w:val="20"/>
          <w:szCs w:val="20"/>
        </w:rPr>
        <w:tab/>
        <w:t>Sin embargo, la Corte considera necesario reiterar que, de conformidad con el deber dispuesto en el artículo 2 de la Convención, el Estado tiene que adoptar las medidas necesarias para garantizar los derechos protegidos en la Convención, lo cual implica la supresión tanto de las normas y prácticas que entrañen violaciones a tales derechos, así como la expedición de normas y el desarrollo de prácticas conducentes a la efectiva observancia de dichas garantías.</w:t>
      </w:r>
      <w:r w:rsidR="00D35646" w:rsidRPr="00D86945">
        <w:rPr>
          <w:rFonts w:ascii="Verdana" w:hAnsi="Verdana" w:cs="Times New Roman"/>
          <w:sz w:val="20"/>
          <w:szCs w:val="20"/>
        </w:rPr>
        <w:t xml:space="preserve"> </w:t>
      </w:r>
      <w:r w:rsidRPr="00D86945">
        <w:rPr>
          <w:rFonts w:ascii="Verdana" w:hAnsi="Verdana" w:cs="Times New Roman"/>
          <w:sz w:val="20"/>
          <w:szCs w:val="20"/>
        </w:rPr>
        <w:t xml:space="preserve">En particular, ello implica que la normativa que regule restricciones al acceso a la información bajo el control del Estado debe cumplir con los parámetros convencionales y sólo pueden realizarse restricciones por las razones permitidas por la Convención </w:t>
      </w:r>
      <w:r w:rsidR="005E0C2B">
        <w:rPr>
          <w:rFonts w:ascii="Verdana" w:hAnsi="Verdana" w:cs="Times New Roman"/>
          <w:i/>
          <w:sz w:val="20"/>
          <w:szCs w:val="20"/>
        </w:rPr>
        <w:t>[...]</w:t>
      </w:r>
      <w:r w:rsidRPr="00D86945">
        <w:rPr>
          <w:rFonts w:ascii="Verdana" w:hAnsi="Verdana" w:cs="Times New Roman"/>
          <w:sz w:val="20"/>
          <w:szCs w:val="20"/>
        </w:rPr>
        <w:t>, lo cual es también aplicable a las decisiones que adopten los órganos internos en dicha materia.</w:t>
      </w:r>
      <w:r w:rsidR="00D35646" w:rsidRPr="00D86945">
        <w:rPr>
          <w:rFonts w:ascii="Verdana" w:hAnsi="Verdana" w:cs="Times New Roman"/>
          <w:sz w:val="20"/>
          <w:szCs w:val="20"/>
        </w:rPr>
        <w:t xml:space="preserve"> </w:t>
      </w:r>
    </w:p>
    <w:p w14:paraId="265F61C8" w14:textId="32298001" w:rsidR="00D27487" w:rsidRPr="00D86945" w:rsidRDefault="00D27487" w:rsidP="004F4FE7">
      <w:pPr>
        <w:spacing w:line="240" w:lineRule="auto"/>
        <w:ind w:right="49"/>
        <w:jc w:val="both"/>
        <w:rPr>
          <w:rFonts w:ascii="Verdana" w:hAnsi="Verdana"/>
          <w:b/>
          <w:bCs/>
          <w:sz w:val="20"/>
          <w:szCs w:val="20"/>
        </w:rPr>
      </w:pPr>
      <w:r w:rsidRPr="00D86945">
        <w:rPr>
          <w:rFonts w:ascii="Verdana" w:hAnsi="Verdana"/>
          <w:b/>
          <w:bCs/>
          <w:sz w:val="20"/>
          <w:szCs w:val="20"/>
        </w:rPr>
        <w:t xml:space="preserve">Corte IDH. Caso </w:t>
      </w:r>
      <w:proofErr w:type="spellStart"/>
      <w:r w:rsidRPr="00D86945">
        <w:rPr>
          <w:rFonts w:ascii="Verdana" w:hAnsi="Verdana"/>
          <w:b/>
          <w:bCs/>
          <w:sz w:val="20"/>
          <w:szCs w:val="20"/>
        </w:rPr>
        <w:t>Fontevecchia</w:t>
      </w:r>
      <w:proofErr w:type="spellEnd"/>
      <w:r w:rsidRPr="00D86945">
        <w:rPr>
          <w:rFonts w:ascii="Verdana" w:hAnsi="Verdana"/>
          <w:b/>
          <w:bCs/>
          <w:sz w:val="20"/>
          <w:szCs w:val="20"/>
        </w:rPr>
        <w:t xml:space="preserve"> y </w:t>
      </w:r>
      <w:proofErr w:type="spellStart"/>
      <w:r w:rsidRPr="00D86945">
        <w:rPr>
          <w:rFonts w:ascii="Verdana" w:hAnsi="Verdana"/>
          <w:b/>
          <w:bCs/>
          <w:sz w:val="20"/>
          <w:szCs w:val="20"/>
        </w:rPr>
        <w:t>D`Amico</w:t>
      </w:r>
      <w:proofErr w:type="spellEnd"/>
      <w:r w:rsidRPr="00D86945">
        <w:rPr>
          <w:rFonts w:ascii="Verdana" w:hAnsi="Verdana"/>
          <w:b/>
          <w:bCs/>
          <w:sz w:val="20"/>
          <w:szCs w:val="20"/>
        </w:rPr>
        <w:t xml:space="preserve"> Vs. Argentina. Fondo, Reparaciones y Costas. Sentencia de 29 de noviembre de 2011. Serie C No. 238.</w:t>
      </w:r>
    </w:p>
    <w:p w14:paraId="6FA19F0B" w14:textId="2F994444" w:rsidR="00D27487" w:rsidRPr="00D86945" w:rsidRDefault="00D27487" w:rsidP="004F4FE7">
      <w:pPr>
        <w:spacing w:line="240" w:lineRule="auto"/>
        <w:ind w:right="49"/>
        <w:jc w:val="both"/>
        <w:rPr>
          <w:rFonts w:ascii="Verdana" w:hAnsi="Verdana"/>
          <w:sz w:val="20"/>
          <w:szCs w:val="20"/>
        </w:rPr>
      </w:pPr>
      <w:r w:rsidRPr="00D86945">
        <w:rPr>
          <w:rFonts w:ascii="Verdana" w:hAnsi="Verdana"/>
          <w:sz w:val="20"/>
          <w:szCs w:val="20"/>
        </w:rPr>
        <w:t>93.</w:t>
      </w:r>
      <w:r w:rsidRPr="00D86945">
        <w:rPr>
          <w:rFonts w:ascii="Verdana" w:hAnsi="Verdana"/>
          <w:sz w:val="20"/>
          <w:szCs w:val="20"/>
        </w:rPr>
        <w:tab/>
        <w:t xml:space="preserve">Este Tribunal ha establecido en su jurisprudencia que es consciente que las autoridades internas están sujetas al imperio de la ley y, por ello, están obligadas a aplicar las disposiciones vigentes en el ordenamiento jurídico. Pero cuando un Estado es parte de un tratado internacional como la Convención Americana, dicho tratado obliga a todos sus órganos, incluidos sus jueces, quienes deben velar por que los efectos de las disposiciones de la Convención no se vean mermados por la aplicación de normas o interpretaciones contrarias a su objeto y fin. Los jueces y órganos vinculados a la administración de justicia en todos los niveles están en la obligación de ejercer ex officio un “control de convencionalidad” entre las normas internas y la Convención Americana, evidentemente en el marco de sus respectivas competencias y de las regulaciones procesales correspondientes. En esta tarea, los jueces y órganos vinculados a la administración de justicia deben tener en cuenta no solamente el tratado, sino también la interpretación que del mismo ha hecho la Corte Interamericana. </w:t>
      </w:r>
    </w:p>
    <w:p w14:paraId="42D7E60F" w14:textId="5FD81F9C" w:rsidR="00D27487" w:rsidRPr="00D86945" w:rsidRDefault="00D27487" w:rsidP="004F4FE7">
      <w:pPr>
        <w:spacing w:line="240" w:lineRule="auto"/>
        <w:ind w:right="49"/>
        <w:jc w:val="both"/>
        <w:rPr>
          <w:rFonts w:ascii="Verdana" w:hAnsi="Verdana"/>
          <w:sz w:val="20"/>
          <w:szCs w:val="20"/>
        </w:rPr>
      </w:pPr>
      <w:r w:rsidRPr="00D86945">
        <w:rPr>
          <w:rFonts w:ascii="Verdana" w:hAnsi="Verdana"/>
          <w:sz w:val="20"/>
          <w:szCs w:val="20"/>
        </w:rPr>
        <w:t>94.</w:t>
      </w:r>
      <w:r w:rsidRPr="00D86945">
        <w:rPr>
          <w:rFonts w:ascii="Verdana" w:hAnsi="Verdana"/>
          <w:sz w:val="20"/>
          <w:szCs w:val="20"/>
        </w:rPr>
        <w:tab/>
        <w:t>Al respecto, la Corte destaca la importancia de que los órganos judiciales argentinos aseguren que los procedimientos internos en los cuales se debate el ejercicio del derecho a la libertad de expresión, cumplan con el propósito y fin así como las demás obligaciones derivadas de la Convención Americana. De tal modo, es preciso que en el análisis de casos como el presente tengan en cuenta el umbral diferenciado de protección al derecho a la vida privada consecuencia de la condición de funcionario público, la existencia de interés público de la información y la eventualidad que las indemnizaciones civiles no impliquen una inhibición o autocensura de quienes ejercen el derecho a la libre expresión y de la ciudadanía, lo cual restringiría ilegítimamente el debate público y limitaría el pluralismo informativo, necesario en toda sociedad democrática.</w:t>
      </w:r>
    </w:p>
    <w:p w14:paraId="7DC327B9" w14:textId="01418169" w:rsidR="00D27487" w:rsidRPr="00D86945" w:rsidRDefault="00D27487" w:rsidP="004F4FE7">
      <w:pPr>
        <w:spacing w:line="240" w:lineRule="auto"/>
        <w:ind w:right="49"/>
        <w:jc w:val="both"/>
        <w:rPr>
          <w:rFonts w:ascii="Verdana" w:hAnsi="Verdana"/>
          <w:sz w:val="20"/>
          <w:szCs w:val="20"/>
        </w:rPr>
      </w:pPr>
      <w:r w:rsidRPr="00D86945">
        <w:rPr>
          <w:rFonts w:ascii="Verdana" w:hAnsi="Verdana"/>
          <w:sz w:val="20"/>
          <w:szCs w:val="20"/>
        </w:rPr>
        <w:t>95.</w:t>
      </w:r>
      <w:r w:rsidRPr="00D86945">
        <w:rPr>
          <w:rFonts w:ascii="Verdana" w:hAnsi="Verdana"/>
          <w:sz w:val="20"/>
          <w:szCs w:val="20"/>
        </w:rPr>
        <w:tab/>
        <w:t>Por otra parte, el Tribunal toma nota de los cambios que se han producido a nivel interno en materia de libertad de expresión, tales como la reforma legislativa derivada del caso Kimel, que modificó el código penal argentino eliminando la posibilidad que las expresiones u opiniones relacionadas con asuntos de interés público configuren supuestos de calumnia o injuria, la sanción de la Ley 26.522 de Servicios de Comunicación Audiovisual, así como los cambios institucionales y jurisprudenciales ocurridos en la Corte Suprema en materia de libertad de expresión.</w:t>
      </w:r>
    </w:p>
    <w:p w14:paraId="65AECB89" w14:textId="77777777" w:rsidR="00D27487" w:rsidRPr="00D86945" w:rsidRDefault="00D27487" w:rsidP="004F4FE7">
      <w:pPr>
        <w:spacing w:line="240" w:lineRule="auto"/>
        <w:ind w:right="49"/>
        <w:jc w:val="both"/>
        <w:rPr>
          <w:rFonts w:ascii="Verdana" w:hAnsi="Verdana"/>
          <w:sz w:val="20"/>
          <w:szCs w:val="20"/>
        </w:rPr>
      </w:pPr>
      <w:r w:rsidRPr="00D86945">
        <w:rPr>
          <w:rFonts w:ascii="Verdana" w:hAnsi="Verdana"/>
          <w:sz w:val="20"/>
          <w:szCs w:val="20"/>
        </w:rPr>
        <w:lastRenderedPageBreak/>
        <w:t>96.</w:t>
      </w:r>
      <w:r w:rsidRPr="00D86945">
        <w:rPr>
          <w:rFonts w:ascii="Verdana" w:hAnsi="Verdana"/>
          <w:sz w:val="20"/>
          <w:szCs w:val="20"/>
        </w:rPr>
        <w:tab/>
        <w:t>Con base en las consideraciones anteriores, el Tribunal concluye que el Estado no incumplió la obligación general de adoptar disposiciones de derecho interno establecida en el artículo 2 de la Convención Americana, en relación con el derecho a la libertad de expresión, respecto de la legislación civil.</w:t>
      </w:r>
    </w:p>
    <w:p w14:paraId="27C7A04C" w14:textId="490E5589" w:rsidR="002420EC" w:rsidRPr="00D86945" w:rsidRDefault="002420EC" w:rsidP="004F4FE7">
      <w:pPr>
        <w:spacing w:line="240" w:lineRule="auto"/>
        <w:ind w:right="49"/>
        <w:jc w:val="both"/>
        <w:rPr>
          <w:rFonts w:ascii="Verdana" w:hAnsi="Verdana"/>
          <w:sz w:val="20"/>
          <w:szCs w:val="20"/>
          <w:lang w:val="es-CR"/>
        </w:rPr>
      </w:pPr>
      <w:r w:rsidRPr="00D86945">
        <w:rPr>
          <w:rFonts w:ascii="Verdana" w:hAnsi="Verdana"/>
          <w:b/>
          <w:sz w:val="20"/>
          <w:szCs w:val="20"/>
          <w:lang w:val="es-CR"/>
        </w:rPr>
        <w:t xml:space="preserve">Corte IDH. Caso </w:t>
      </w:r>
      <w:proofErr w:type="spellStart"/>
      <w:r w:rsidRPr="00D86945">
        <w:rPr>
          <w:rFonts w:ascii="Verdana" w:hAnsi="Verdana"/>
          <w:b/>
          <w:sz w:val="20"/>
          <w:szCs w:val="20"/>
          <w:lang w:val="es-CR"/>
        </w:rPr>
        <w:t>Granier</w:t>
      </w:r>
      <w:proofErr w:type="spellEnd"/>
      <w:r w:rsidRPr="00D86945">
        <w:rPr>
          <w:rFonts w:ascii="Verdana" w:hAnsi="Verdana"/>
          <w:b/>
          <w:sz w:val="20"/>
          <w:szCs w:val="20"/>
          <w:lang w:val="es-CR"/>
        </w:rPr>
        <w:t xml:space="preserve"> y otros (Radio Caracas Televisión) Vs. Venezuela. Excepciones Preliminares, Fondo, Reparaciones y Costas. Sentencia de 22 de junio de 2015. Serie C No. 293</w:t>
      </w:r>
      <w:r w:rsidRPr="00D86945">
        <w:rPr>
          <w:rFonts w:ascii="Verdana" w:hAnsi="Verdana"/>
          <w:sz w:val="20"/>
          <w:szCs w:val="20"/>
          <w:lang w:val="es-CR"/>
        </w:rPr>
        <w:t>.</w:t>
      </w:r>
    </w:p>
    <w:p w14:paraId="04F72312" w14:textId="77777777" w:rsidR="002420EC" w:rsidRPr="00D86945" w:rsidRDefault="002420EC" w:rsidP="004F4FE7">
      <w:pPr>
        <w:spacing w:line="240" w:lineRule="auto"/>
        <w:ind w:right="49"/>
        <w:jc w:val="both"/>
        <w:rPr>
          <w:rFonts w:ascii="Verdana" w:hAnsi="Verdana"/>
          <w:sz w:val="20"/>
          <w:szCs w:val="20"/>
          <w:lang w:val="es-CR"/>
        </w:rPr>
      </w:pPr>
      <w:r w:rsidRPr="00D86945">
        <w:rPr>
          <w:rFonts w:ascii="Verdana" w:hAnsi="Verdana"/>
          <w:sz w:val="20"/>
          <w:szCs w:val="20"/>
          <w:lang w:val="es-CR"/>
        </w:rPr>
        <w:t>145.</w:t>
      </w:r>
      <w:r w:rsidRPr="00D86945">
        <w:rPr>
          <w:rFonts w:ascii="Verdana" w:hAnsi="Verdana"/>
          <w:sz w:val="20"/>
          <w:szCs w:val="20"/>
          <w:lang w:val="es-CR"/>
        </w:rPr>
        <w:tab/>
        <w:t xml:space="preserve">En concordancia con todo lo anterior, los Estados están internacionalmente obligados a adoptar las medidas que fueren necesarias “para hacer efectivos” los derechos y principios establecidos en la Convención, como se estipula en el artículo 2 de dicho instrumento interamericano, para lo cual deberán establecer leyes y políticas públicas que garanticen el pluralismo de medios o informativo en las distintas aéreas comunicacionales, tales como, por ejemplo, la prensa, radio, y televisión. </w:t>
      </w:r>
    </w:p>
    <w:p w14:paraId="7CA9774A" w14:textId="77777777" w:rsidR="00A55D6C" w:rsidRPr="00D86945" w:rsidRDefault="00A55D6C" w:rsidP="004F4FE7">
      <w:pPr>
        <w:pStyle w:val="Prrafodelista"/>
        <w:spacing w:line="240" w:lineRule="auto"/>
        <w:ind w:left="0" w:right="51"/>
        <w:jc w:val="both"/>
        <w:rPr>
          <w:rFonts w:ascii="Verdana" w:hAnsi="Verdana"/>
          <w:sz w:val="20"/>
          <w:szCs w:val="20"/>
        </w:rPr>
      </w:pPr>
    </w:p>
    <w:p w14:paraId="0C523DC8" w14:textId="7E291C27" w:rsidR="006A6F97" w:rsidRPr="00D86945" w:rsidRDefault="006A6F97" w:rsidP="004F4FE7">
      <w:pPr>
        <w:pStyle w:val="Prrafodelista"/>
        <w:spacing w:line="240" w:lineRule="auto"/>
        <w:ind w:left="0" w:right="49"/>
        <w:jc w:val="both"/>
        <w:outlineLvl w:val="0"/>
        <w:rPr>
          <w:rFonts w:ascii="Verdana" w:hAnsi="Verdana"/>
          <w:sz w:val="20"/>
          <w:szCs w:val="20"/>
        </w:rPr>
      </w:pPr>
      <w:r w:rsidRPr="00D86945">
        <w:rPr>
          <w:rFonts w:ascii="Verdana" w:hAnsi="Verdana"/>
          <w:sz w:val="20"/>
          <w:szCs w:val="20"/>
        </w:rPr>
        <w:br w:type="page"/>
      </w:r>
    </w:p>
    <w:p w14:paraId="5C0125D0" w14:textId="77777777" w:rsidR="00886462" w:rsidRDefault="00886462" w:rsidP="004F4FE7">
      <w:pPr>
        <w:pStyle w:val="Ttulo1"/>
      </w:pPr>
    </w:p>
    <w:p w14:paraId="46E262F7" w14:textId="13F04461" w:rsidR="009B50EE" w:rsidRPr="005E0C2B" w:rsidRDefault="005E0C2B" w:rsidP="004F4FE7">
      <w:pPr>
        <w:pStyle w:val="Ttulo1"/>
        <w:rPr>
          <w:u w:val="none"/>
        </w:rPr>
      </w:pPr>
      <w:bookmarkStart w:id="27" w:name="_Toc89691479"/>
      <w:r w:rsidRPr="005E0C2B">
        <w:rPr>
          <w:u w:val="none"/>
        </w:rPr>
        <w:t>6</w:t>
      </w:r>
      <w:r w:rsidR="00A55D6C" w:rsidRPr="005E0C2B">
        <w:rPr>
          <w:u w:val="none"/>
        </w:rPr>
        <w:t>.</w:t>
      </w:r>
      <w:r w:rsidR="00A55D6C" w:rsidRPr="005E0C2B">
        <w:rPr>
          <w:u w:val="none"/>
        </w:rPr>
        <w:tab/>
        <w:t>Medidas de R</w:t>
      </w:r>
      <w:r w:rsidR="00805A05" w:rsidRPr="005E0C2B">
        <w:rPr>
          <w:u w:val="none"/>
        </w:rPr>
        <w:t>eparación</w:t>
      </w:r>
      <w:bookmarkEnd w:id="27"/>
    </w:p>
    <w:p w14:paraId="72CFE083" w14:textId="77777777" w:rsidR="000548A6" w:rsidRPr="00D86945" w:rsidRDefault="000548A6" w:rsidP="004F4FE7">
      <w:pPr>
        <w:pStyle w:val="Prrafodelista"/>
        <w:spacing w:line="240" w:lineRule="auto"/>
        <w:ind w:left="0" w:right="51"/>
        <w:jc w:val="both"/>
        <w:rPr>
          <w:rFonts w:ascii="Verdana" w:hAnsi="Verdana" w:cs="Times New Roman"/>
          <w:b/>
          <w:sz w:val="20"/>
          <w:szCs w:val="20"/>
          <w:lang w:val="es-ES"/>
        </w:rPr>
      </w:pPr>
    </w:p>
    <w:p w14:paraId="3239915E" w14:textId="77777777" w:rsidR="004D0F79" w:rsidRPr="00D86945" w:rsidRDefault="004D0F79" w:rsidP="004F4FE7">
      <w:pPr>
        <w:pStyle w:val="Prrafodelista"/>
        <w:spacing w:line="240" w:lineRule="auto"/>
        <w:ind w:left="0" w:right="51"/>
        <w:jc w:val="both"/>
        <w:rPr>
          <w:rFonts w:ascii="Verdana" w:hAnsi="Verdana" w:cs="Times New Roman"/>
          <w:sz w:val="20"/>
          <w:szCs w:val="20"/>
          <w:lang w:val="es-ES"/>
        </w:rPr>
      </w:pPr>
      <w:r w:rsidRPr="00D86945">
        <w:rPr>
          <w:rFonts w:ascii="Verdana" w:hAnsi="Verdana" w:cs="Times New Roman"/>
          <w:sz w:val="20"/>
          <w:szCs w:val="20"/>
          <w:lang w:val="es-ES"/>
        </w:rPr>
        <w:t>En este último apartado se reseñan algunas de las medidas de reparación que ha dictado la Corte en casos vinculados con libertad de expresión. Se han seleccionado aquellas que son útiles para configurar el contenido y alcance del derecho en la jurisprudencia de la Corte.</w:t>
      </w:r>
    </w:p>
    <w:p w14:paraId="05F61747" w14:textId="77777777" w:rsidR="004D0F79" w:rsidRPr="00D86945" w:rsidRDefault="004D0F79" w:rsidP="004F4FE7">
      <w:pPr>
        <w:pStyle w:val="Prrafodelista"/>
        <w:spacing w:line="240" w:lineRule="auto"/>
        <w:ind w:left="0" w:right="51"/>
        <w:jc w:val="both"/>
        <w:rPr>
          <w:rFonts w:ascii="Verdana" w:hAnsi="Verdana" w:cs="Times New Roman"/>
          <w:b/>
          <w:sz w:val="20"/>
          <w:szCs w:val="20"/>
          <w:lang w:val="es-ES"/>
        </w:rPr>
      </w:pPr>
    </w:p>
    <w:p w14:paraId="7EABC3F4" w14:textId="782FA8B5" w:rsidR="00146C3F" w:rsidRPr="00D86945" w:rsidRDefault="00F77BE1" w:rsidP="00BF3BF6">
      <w:pPr>
        <w:pStyle w:val="Ttulo2"/>
      </w:pPr>
      <w:bookmarkStart w:id="28" w:name="_Toc89691480"/>
      <w:r w:rsidRPr="00D86945">
        <w:t>Restablecimiento del derecho</w:t>
      </w:r>
      <w:bookmarkEnd w:id="28"/>
    </w:p>
    <w:p w14:paraId="6088FDD7" w14:textId="6608FB78" w:rsidR="00146C3F" w:rsidRPr="00D86945" w:rsidRDefault="00146C3F" w:rsidP="004F4FE7">
      <w:pPr>
        <w:spacing w:line="240" w:lineRule="auto"/>
        <w:ind w:right="49"/>
        <w:jc w:val="both"/>
        <w:rPr>
          <w:rFonts w:ascii="Verdana" w:hAnsi="Verdana" w:cs="Times New Roman"/>
          <w:sz w:val="20"/>
          <w:szCs w:val="20"/>
        </w:rPr>
      </w:pPr>
      <w:r w:rsidRPr="00D86945">
        <w:rPr>
          <w:rFonts w:ascii="Verdana" w:hAnsi="Verdana" w:cs="Times New Roman"/>
          <w:b/>
          <w:sz w:val="20"/>
          <w:szCs w:val="20"/>
        </w:rPr>
        <w:t xml:space="preserve">Corte IDH. Caso </w:t>
      </w:r>
      <w:proofErr w:type="spellStart"/>
      <w:r w:rsidRPr="00D86945">
        <w:rPr>
          <w:rFonts w:ascii="Verdana" w:hAnsi="Verdana" w:cs="Times New Roman"/>
          <w:b/>
          <w:sz w:val="20"/>
          <w:szCs w:val="20"/>
        </w:rPr>
        <w:t>Ivcher</w:t>
      </w:r>
      <w:proofErr w:type="spellEnd"/>
      <w:r w:rsidRPr="00D86945">
        <w:rPr>
          <w:rFonts w:ascii="Verdana" w:hAnsi="Verdana" w:cs="Times New Roman"/>
          <w:b/>
          <w:sz w:val="20"/>
          <w:szCs w:val="20"/>
        </w:rPr>
        <w:t xml:space="preserve"> </w:t>
      </w:r>
      <w:proofErr w:type="spellStart"/>
      <w:r w:rsidRPr="00D86945">
        <w:rPr>
          <w:rFonts w:ascii="Verdana" w:hAnsi="Verdana" w:cs="Times New Roman"/>
          <w:b/>
          <w:sz w:val="20"/>
          <w:szCs w:val="20"/>
        </w:rPr>
        <w:t>Bronstein</w:t>
      </w:r>
      <w:proofErr w:type="spellEnd"/>
      <w:r w:rsidRPr="00D86945">
        <w:rPr>
          <w:rFonts w:ascii="Verdana" w:hAnsi="Verdana" w:cs="Times New Roman"/>
          <w:b/>
          <w:sz w:val="20"/>
          <w:szCs w:val="20"/>
        </w:rPr>
        <w:t xml:space="preserve"> Vs. Perú. Fondo, Reparaciones y Costas. Sentencia de 6 de febrero de 2001. Serie C No. 74</w:t>
      </w:r>
      <w:r w:rsidRPr="00D86945">
        <w:rPr>
          <w:rFonts w:ascii="Verdana" w:hAnsi="Verdana" w:cs="Times New Roman"/>
          <w:sz w:val="20"/>
          <w:szCs w:val="20"/>
        </w:rPr>
        <w:t>.</w:t>
      </w:r>
    </w:p>
    <w:p w14:paraId="4CD5E192" w14:textId="77777777" w:rsidR="00146C3F" w:rsidRPr="00D86945" w:rsidRDefault="00146C3F" w:rsidP="004F4FE7">
      <w:pPr>
        <w:pStyle w:val="Textoindependiente2"/>
        <w:spacing w:line="240" w:lineRule="auto"/>
        <w:ind w:right="49"/>
        <w:rPr>
          <w:rFonts w:ascii="Verdana" w:hAnsi="Verdana"/>
          <w:b w:val="0"/>
          <w:sz w:val="20"/>
        </w:rPr>
      </w:pPr>
      <w:r w:rsidRPr="00D86945">
        <w:rPr>
          <w:rFonts w:ascii="Verdana" w:hAnsi="Verdana"/>
          <w:b w:val="0"/>
          <w:sz w:val="20"/>
        </w:rPr>
        <w:t>182.</w:t>
      </w:r>
      <w:r w:rsidRPr="00D86945">
        <w:rPr>
          <w:rFonts w:ascii="Verdana" w:hAnsi="Verdana"/>
          <w:b w:val="0"/>
          <w:sz w:val="20"/>
        </w:rPr>
        <w:tab/>
        <w:t xml:space="preserve">En lo que concierne al artículo 13 de la Convención, la Corte considera que el Estado debe garantizar al señor </w:t>
      </w:r>
      <w:proofErr w:type="spellStart"/>
      <w:r w:rsidRPr="00D86945">
        <w:rPr>
          <w:rFonts w:ascii="Verdana" w:hAnsi="Verdana"/>
          <w:b w:val="0"/>
          <w:sz w:val="20"/>
        </w:rPr>
        <w:t>Ivcher</w:t>
      </w:r>
      <w:proofErr w:type="spellEnd"/>
      <w:r w:rsidRPr="00D86945">
        <w:rPr>
          <w:rFonts w:ascii="Verdana" w:hAnsi="Verdana"/>
          <w:b w:val="0"/>
          <w:sz w:val="20"/>
        </w:rPr>
        <w:t xml:space="preserve"> el derecho a buscar, investigar y difundir información e ideas a través del Canal 2-Frecuencia Latina de la televisión peruana.</w:t>
      </w:r>
    </w:p>
    <w:p w14:paraId="359BB1B0" w14:textId="01A4252E" w:rsidR="000548A6" w:rsidRPr="00D86945" w:rsidRDefault="000548A6" w:rsidP="004F4FE7">
      <w:pPr>
        <w:spacing w:line="240" w:lineRule="auto"/>
        <w:ind w:right="49"/>
        <w:jc w:val="both"/>
        <w:rPr>
          <w:rFonts w:ascii="Verdana" w:eastAsia="Times New Roman" w:hAnsi="Verdana" w:cs="Times New Roman"/>
          <w:sz w:val="20"/>
          <w:szCs w:val="20"/>
          <w:lang w:eastAsia="es-ES_tradnl"/>
        </w:rPr>
      </w:pPr>
      <w:r w:rsidRPr="00D86945">
        <w:rPr>
          <w:rFonts w:ascii="Verdana" w:eastAsia="Times New Roman" w:hAnsi="Verdana" w:cs="Times New Roman"/>
          <w:b/>
          <w:bCs/>
          <w:sz w:val="20"/>
          <w:szCs w:val="20"/>
          <w:shd w:val="clear" w:color="auto" w:fill="FFFFFF"/>
          <w:lang w:eastAsia="es-ES_tradnl"/>
        </w:rPr>
        <w:t>Corte IDH. Caso Palamara Iribarne Vs. Chile. Fondo, Reparaciones y Costas. Sentencia de 22 de noviembre de 2005. Serie C No. 135</w:t>
      </w:r>
      <w:r w:rsidR="00EB1BB2" w:rsidRPr="00D86945">
        <w:rPr>
          <w:rFonts w:ascii="Verdana" w:eastAsia="Times New Roman" w:hAnsi="Verdana" w:cs="Times New Roman"/>
          <w:b/>
          <w:bCs/>
          <w:sz w:val="20"/>
          <w:szCs w:val="20"/>
          <w:shd w:val="clear" w:color="auto" w:fill="FFFFFF"/>
          <w:lang w:eastAsia="es-ES_tradnl"/>
        </w:rPr>
        <w:t>.</w:t>
      </w:r>
    </w:p>
    <w:p w14:paraId="3EA3EB40" w14:textId="09C78D27" w:rsidR="000548A6" w:rsidRPr="00D86945" w:rsidRDefault="000548A6" w:rsidP="004F4FE7">
      <w:pPr>
        <w:pStyle w:val="Textoindependiente"/>
        <w:spacing w:line="240" w:lineRule="auto"/>
        <w:ind w:right="49"/>
        <w:rPr>
          <w:rFonts w:ascii="Verdana" w:hAnsi="Verdana"/>
          <w:sz w:val="20"/>
          <w:lang w:val="es-ES_tradnl"/>
        </w:rPr>
      </w:pPr>
      <w:r w:rsidRPr="00D86945">
        <w:rPr>
          <w:rFonts w:ascii="Verdana" w:hAnsi="Verdana"/>
          <w:sz w:val="20"/>
          <w:lang w:val="es-ES_tradnl"/>
        </w:rPr>
        <w:t>250.</w:t>
      </w:r>
      <w:r w:rsidRPr="00D86945">
        <w:rPr>
          <w:rFonts w:ascii="Verdana" w:hAnsi="Verdana"/>
          <w:sz w:val="20"/>
          <w:lang w:val="es-ES_tradnl"/>
        </w:rPr>
        <w:tab/>
        <w:t>El Estado debe permitir al señor Palamara Iribarne la publicación de su libro.</w:t>
      </w:r>
      <w:r w:rsidR="00D35646" w:rsidRPr="00D86945">
        <w:rPr>
          <w:rFonts w:ascii="Verdana" w:hAnsi="Verdana"/>
          <w:sz w:val="20"/>
          <w:lang w:val="es-ES_tradnl"/>
        </w:rPr>
        <w:t xml:space="preserve"> </w:t>
      </w:r>
      <w:r w:rsidRPr="00D86945">
        <w:rPr>
          <w:rFonts w:ascii="Verdana" w:hAnsi="Verdana"/>
          <w:sz w:val="20"/>
          <w:lang w:val="es-ES_tradnl"/>
        </w:rPr>
        <w:t xml:space="preserve">Asimismo, debe restituir, en el plazo de seis meses, todo el material del que fue privado el mencionado señor </w:t>
      </w:r>
      <w:r w:rsidR="005E0C2B">
        <w:rPr>
          <w:rFonts w:ascii="Verdana" w:hAnsi="Verdana"/>
          <w:sz w:val="20"/>
          <w:lang w:val="es-ES_tradnl"/>
        </w:rPr>
        <w:t>[...]</w:t>
      </w:r>
      <w:r w:rsidRPr="00D86945">
        <w:rPr>
          <w:rFonts w:ascii="Verdana" w:hAnsi="Verdana"/>
          <w:sz w:val="20"/>
          <w:lang w:val="es-ES_tradnl"/>
        </w:rPr>
        <w:t xml:space="preserve">. Los ejemplares del libro y el material relacionado fueron incautados por el Estado el 1 de marzo de 1993 en la imprenta </w:t>
      </w:r>
      <w:proofErr w:type="spellStart"/>
      <w:r w:rsidRPr="00D86945">
        <w:rPr>
          <w:rFonts w:ascii="Verdana" w:hAnsi="Verdana"/>
          <w:sz w:val="20"/>
          <w:lang w:val="es-ES_tradnl"/>
        </w:rPr>
        <w:t>Ateli</w:t>
      </w:r>
      <w:proofErr w:type="spellEnd"/>
      <w:r w:rsidRPr="00D86945">
        <w:rPr>
          <w:rFonts w:ascii="Verdana" w:hAnsi="Verdana"/>
          <w:sz w:val="20"/>
          <w:lang w:val="es-ES_tradnl"/>
        </w:rPr>
        <w:t xml:space="preserve"> y en el domicilio del señor Palamara Iribarne, y después se dictó la orden de comiso en la sentencia condenatoria por los delitos de desobediencia e incumplimiento de deberes militares </w:t>
      </w:r>
      <w:r w:rsidR="005E0C2B">
        <w:rPr>
          <w:rFonts w:ascii="Verdana" w:hAnsi="Verdana"/>
          <w:sz w:val="20"/>
          <w:lang w:val="es-ES_tradnl"/>
        </w:rPr>
        <w:t>[...]</w:t>
      </w:r>
      <w:r w:rsidRPr="00D86945">
        <w:rPr>
          <w:rFonts w:ascii="Verdana" w:hAnsi="Verdana"/>
          <w:sz w:val="20"/>
          <w:lang w:val="es-ES_tradnl"/>
        </w:rPr>
        <w:t>.</w:t>
      </w:r>
    </w:p>
    <w:p w14:paraId="71EC7B6A" w14:textId="0BBC4FBB" w:rsidR="00B4484A" w:rsidRPr="00D86945" w:rsidRDefault="000548A6" w:rsidP="004F4FE7">
      <w:pPr>
        <w:pStyle w:val="Textoindependiente"/>
        <w:spacing w:line="240" w:lineRule="auto"/>
        <w:ind w:right="49"/>
        <w:rPr>
          <w:rFonts w:ascii="Verdana" w:hAnsi="Verdana"/>
          <w:sz w:val="20"/>
          <w:lang w:val="es-ES_tradnl"/>
        </w:rPr>
      </w:pPr>
      <w:r w:rsidRPr="00D86945">
        <w:rPr>
          <w:rFonts w:ascii="Verdana" w:hAnsi="Verdana"/>
          <w:sz w:val="20"/>
          <w:lang w:val="es-ES_tradnl"/>
        </w:rPr>
        <w:t>251.</w:t>
      </w:r>
      <w:r w:rsidRPr="00D86945">
        <w:rPr>
          <w:rFonts w:ascii="Verdana" w:hAnsi="Verdana"/>
          <w:sz w:val="20"/>
          <w:lang w:val="es-ES_tradnl"/>
        </w:rPr>
        <w:tab/>
        <w:t xml:space="preserve">Debido a la importancia que reviste la versión electrónica de una obra para poder ser actualizada y modificada por su autor, la Corte establece que el Estado debe adoptar todas las medidas necesarias para que, en caso de no contar con el soporte electrónico del libro, rescate toda la información proveniente de la versión impresa y la digite en una versión electrónica, lo cual deberá realizar en el plazo de seis meses. </w:t>
      </w:r>
    </w:p>
    <w:p w14:paraId="33A75D04" w14:textId="6EE5BD3F" w:rsidR="00B4484A" w:rsidRPr="00D86945" w:rsidRDefault="00B4484A" w:rsidP="004F4FE7">
      <w:pPr>
        <w:spacing w:line="240" w:lineRule="auto"/>
        <w:jc w:val="both"/>
        <w:rPr>
          <w:rFonts w:ascii="Verdana" w:eastAsia="Times New Roman" w:hAnsi="Verdana" w:cs="Times New Roman"/>
          <w:sz w:val="20"/>
          <w:szCs w:val="20"/>
          <w:lang w:eastAsia="es-ES_tradnl"/>
        </w:rPr>
      </w:pPr>
      <w:r w:rsidRPr="00D86945">
        <w:rPr>
          <w:rFonts w:ascii="Verdana" w:eastAsia="Times New Roman" w:hAnsi="Verdana" w:cs="Times New Roman"/>
          <w:b/>
          <w:bCs/>
          <w:sz w:val="20"/>
          <w:szCs w:val="20"/>
          <w:shd w:val="clear" w:color="auto" w:fill="FFFFFF"/>
          <w:lang w:eastAsia="es-ES_tradnl"/>
        </w:rPr>
        <w:t>Corte IDH. Caso Claude Reyes y otros Vs. Chile. Fondo, Reparaciones y Costas. Sentencia de 19 de septiembre de 2006. Serie C No. 151</w:t>
      </w:r>
      <w:r w:rsidR="00EB1BB2" w:rsidRPr="00D86945">
        <w:rPr>
          <w:rFonts w:ascii="Verdana" w:eastAsia="Times New Roman" w:hAnsi="Verdana" w:cs="Times New Roman"/>
          <w:b/>
          <w:bCs/>
          <w:sz w:val="20"/>
          <w:szCs w:val="20"/>
          <w:shd w:val="clear" w:color="auto" w:fill="FFFFFF"/>
          <w:lang w:eastAsia="es-ES_tradnl"/>
        </w:rPr>
        <w:t>.</w:t>
      </w:r>
    </w:p>
    <w:p w14:paraId="49227B69" w14:textId="63CA795F" w:rsidR="00B4484A" w:rsidRPr="00D86945" w:rsidRDefault="00B4484A" w:rsidP="004F4FE7">
      <w:pPr>
        <w:pStyle w:val="Textoindependiente"/>
        <w:tabs>
          <w:tab w:val="left" w:pos="0"/>
        </w:tabs>
        <w:spacing w:before="40" w:after="40" w:line="240" w:lineRule="auto"/>
        <w:ind w:right="49"/>
        <w:rPr>
          <w:rFonts w:ascii="Verdana" w:hAnsi="Verdana"/>
          <w:sz w:val="20"/>
          <w:lang w:val="es-ES_tradnl"/>
        </w:rPr>
      </w:pPr>
      <w:r w:rsidRPr="00D86945">
        <w:rPr>
          <w:rFonts w:ascii="Verdana" w:hAnsi="Verdana"/>
          <w:iCs/>
          <w:sz w:val="20"/>
          <w:lang w:val="es-ES_tradnl"/>
        </w:rPr>
        <w:t>158.</w:t>
      </w:r>
      <w:r w:rsidRPr="00D86945">
        <w:rPr>
          <w:rFonts w:ascii="Verdana" w:hAnsi="Verdana"/>
          <w:iCs/>
          <w:sz w:val="20"/>
          <w:lang w:val="es-ES_tradnl"/>
        </w:rPr>
        <w:tab/>
        <w:t xml:space="preserve">Por lo tanto, debido a que en este caso el Estado no ha entregado una parte de la información solicitada y tampoco ha emitido una decisión fundamentada respecto de la petición de información, la Corte considera que </w:t>
      </w:r>
      <w:r w:rsidRPr="00D86945">
        <w:rPr>
          <w:rFonts w:ascii="Verdana" w:hAnsi="Verdana"/>
          <w:sz w:val="20"/>
          <w:lang w:val="es-ES_tradnl"/>
        </w:rPr>
        <w:t xml:space="preserve">el Estado, a través de la entidad correspondiente, debe </w:t>
      </w:r>
      <w:r w:rsidRPr="00D86945">
        <w:rPr>
          <w:rFonts w:ascii="Verdana" w:hAnsi="Verdana"/>
          <w:iCs/>
          <w:sz w:val="20"/>
          <w:lang w:val="es-ES_tradnl"/>
        </w:rPr>
        <w:t>entregar la información solicitada por las víctimas, en su caso, o adoptar una decisión fundamentada al respecto.</w:t>
      </w:r>
      <w:r w:rsidR="00D35646" w:rsidRPr="00D86945">
        <w:rPr>
          <w:rFonts w:ascii="Verdana" w:hAnsi="Verdana"/>
          <w:iCs/>
          <w:sz w:val="20"/>
          <w:lang w:val="es-ES_tradnl"/>
        </w:rPr>
        <w:t xml:space="preserve"> </w:t>
      </w:r>
    </w:p>
    <w:p w14:paraId="4D9430E4" w14:textId="77777777" w:rsidR="004F4FE7" w:rsidRDefault="004F4FE7" w:rsidP="004F4FE7">
      <w:pPr>
        <w:tabs>
          <w:tab w:val="left" w:pos="0"/>
        </w:tabs>
        <w:spacing w:before="40" w:after="40" w:line="240" w:lineRule="auto"/>
        <w:ind w:right="49"/>
        <w:jc w:val="both"/>
        <w:rPr>
          <w:rFonts w:ascii="Verdana" w:hAnsi="Verdana" w:cs="Times New Roman"/>
          <w:sz w:val="20"/>
          <w:szCs w:val="20"/>
        </w:rPr>
      </w:pPr>
    </w:p>
    <w:p w14:paraId="5AA5316C" w14:textId="06D8FDFB" w:rsidR="00B4484A" w:rsidRPr="00D86945" w:rsidRDefault="00B4484A" w:rsidP="004F4FE7">
      <w:pPr>
        <w:tabs>
          <w:tab w:val="left" w:pos="0"/>
        </w:tabs>
        <w:spacing w:before="40" w:after="40" w:line="240" w:lineRule="auto"/>
        <w:ind w:right="49"/>
        <w:jc w:val="both"/>
        <w:rPr>
          <w:rFonts w:ascii="Verdana" w:hAnsi="Verdana" w:cs="Times New Roman"/>
          <w:sz w:val="20"/>
          <w:szCs w:val="20"/>
        </w:rPr>
      </w:pPr>
      <w:r w:rsidRPr="00D86945">
        <w:rPr>
          <w:rFonts w:ascii="Verdana" w:hAnsi="Verdana" w:cs="Times New Roman"/>
          <w:sz w:val="20"/>
          <w:szCs w:val="20"/>
        </w:rPr>
        <w:t>159.</w:t>
      </w:r>
      <w:r w:rsidRPr="00D86945">
        <w:rPr>
          <w:rFonts w:ascii="Verdana" w:hAnsi="Verdana" w:cs="Times New Roman"/>
          <w:sz w:val="20"/>
          <w:szCs w:val="20"/>
        </w:rPr>
        <w:tab/>
        <w:t xml:space="preserve">Si el Estado considera que no correspondía al Comité de Inversiones Extranjeras procurar una parte de la información que fue solicitada por las víctimas de este caso, deberá explicar </w:t>
      </w:r>
      <w:proofErr w:type="spellStart"/>
      <w:r w:rsidRPr="00D86945">
        <w:rPr>
          <w:rFonts w:ascii="Verdana" w:hAnsi="Verdana" w:cs="Times New Roman"/>
          <w:sz w:val="20"/>
          <w:szCs w:val="20"/>
        </w:rPr>
        <w:t>fundamentadamente</w:t>
      </w:r>
      <w:proofErr w:type="spellEnd"/>
      <w:r w:rsidRPr="00D86945">
        <w:rPr>
          <w:rFonts w:ascii="Verdana" w:hAnsi="Verdana" w:cs="Times New Roman"/>
          <w:sz w:val="20"/>
          <w:szCs w:val="20"/>
        </w:rPr>
        <w:t xml:space="preserve"> por qué no dio la información. </w:t>
      </w:r>
    </w:p>
    <w:p w14:paraId="3648F020" w14:textId="74AD76D4" w:rsidR="00F77BE1" w:rsidRPr="00D86945" w:rsidRDefault="00F77BE1" w:rsidP="004F4FE7">
      <w:pPr>
        <w:tabs>
          <w:tab w:val="left" w:pos="0"/>
        </w:tabs>
        <w:spacing w:before="40" w:after="40" w:line="240" w:lineRule="auto"/>
        <w:ind w:right="49"/>
        <w:jc w:val="both"/>
        <w:rPr>
          <w:rFonts w:ascii="Verdana" w:hAnsi="Verdana" w:cs="Times New Roman"/>
          <w:sz w:val="20"/>
          <w:szCs w:val="20"/>
        </w:rPr>
      </w:pPr>
    </w:p>
    <w:p w14:paraId="1D115401" w14:textId="77777777" w:rsidR="00480384" w:rsidRDefault="00480384" w:rsidP="004F4FE7">
      <w:pPr>
        <w:spacing w:line="240" w:lineRule="auto"/>
        <w:ind w:right="49"/>
        <w:jc w:val="both"/>
        <w:rPr>
          <w:rFonts w:ascii="Verdana" w:hAnsi="Verdana"/>
          <w:b/>
          <w:sz w:val="20"/>
          <w:szCs w:val="20"/>
          <w:lang w:val="es-CR"/>
        </w:rPr>
      </w:pPr>
    </w:p>
    <w:p w14:paraId="211A0DDD" w14:textId="77777777" w:rsidR="00480384" w:rsidRDefault="00480384" w:rsidP="004F4FE7">
      <w:pPr>
        <w:spacing w:line="240" w:lineRule="auto"/>
        <w:ind w:right="49"/>
        <w:jc w:val="both"/>
        <w:rPr>
          <w:rFonts w:ascii="Verdana" w:hAnsi="Verdana"/>
          <w:b/>
          <w:sz w:val="20"/>
          <w:szCs w:val="20"/>
          <w:lang w:val="es-CR"/>
        </w:rPr>
      </w:pPr>
    </w:p>
    <w:p w14:paraId="0A9B36F2" w14:textId="3CD060B0" w:rsidR="00F77BE1" w:rsidRPr="00D86945" w:rsidRDefault="00F77BE1" w:rsidP="004F4FE7">
      <w:pPr>
        <w:spacing w:line="240" w:lineRule="auto"/>
        <w:ind w:right="49"/>
        <w:jc w:val="both"/>
        <w:rPr>
          <w:rFonts w:ascii="Verdana" w:hAnsi="Verdana"/>
          <w:sz w:val="20"/>
          <w:szCs w:val="20"/>
          <w:lang w:val="es-CR"/>
        </w:rPr>
      </w:pPr>
      <w:r w:rsidRPr="00D86945">
        <w:rPr>
          <w:rFonts w:ascii="Verdana" w:hAnsi="Verdana"/>
          <w:b/>
          <w:sz w:val="20"/>
          <w:szCs w:val="20"/>
          <w:lang w:val="es-CR"/>
        </w:rPr>
        <w:lastRenderedPageBreak/>
        <w:t xml:space="preserve">Corte IDH. Caso </w:t>
      </w:r>
      <w:proofErr w:type="spellStart"/>
      <w:r w:rsidRPr="00D86945">
        <w:rPr>
          <w:rFonts w:ascii="Verdana" w:hAnsi="Verdana"/>
          <w:b/>
          <w:sz w:val="20"/>
          <w:szCs w:val="20"/>
          <w:lang w:val="es-CR"/>
        </w:rPr>
        <w:t>Granier</w:t>
      </w:r>
      <w:proofErr w:type="spellEnd"/>
      <w:r w:rsidRPr="00D86945">
        <w:rPr>
          <w:rFonts w:ascii="Verdana" w:hAnsi="Verdana"/>
          <w:b/>
          <w:sz w:val="20"/>
          <w:szCs w:val="20"/>
          <w:lang w:val="es-CR"/>
        </w:rPr>
        <w:t xml:space="preserve"> y otros (Radio Caracas Televisión) Vs. Venezuela. Excepciones Preliminares, Fondo, Reparaciones y Costas. Sentencia de 22 de junio de 2015. Serie C No. 293</w:t>
      </w:r>
      <w:r w:rsidRPr="00D86945">
        <w:rPr>
          <w:rFonts w:ascii="Verdana" w:hAnsi="Verdana"/>
          <w:sz w:val="20"/>
          <w:szCs w:val="20"/>
          <w:lang w:val="es-CR"/>
        </w:rPr>
        <w:t>.</w:t>
      </w:r>
    </w:p>
    <w:p w14:paraId="12B37BA5" w14:textId="6081F794" w:rsidR="00F77BE1" w:rsidRPr="00D86945" w:rsidRDefault="00F77BE1" w:rsidP="004F4FE7">
      <w:pPr>
        <w:spacing w:line="240" w:lineRule="auto"/>
        <w:ind w:right="49"/>
        <w:jc w:val="both"/>
        <w:rPr>
          <w:rFonts w:ascii="Verdana" w:hAnsi="Verdana"/>
          <w:sz w:val="20"/>
          <w:szCs w:val="20"/>
        </w:rPr>
      </w:pPr>
      <w:r w:rsidRPr="00D86945">
        <w:rPr>
          <w:rFonts w:ascii="Verdana" w:hAnsi="Verdana"/>
          <w:sz w:val="20"/>
          <w:szCs w:val="20"/>
        </w:rPr>
        <w:t>379.</w:t>
      </w:r>
      <w:r w:rsidRPr="00D86945">
        <w:rPr>
          <w:rFonts w:ascii="Verdana" w:hAnsi="Verdana"/>
          <w:sz w:val="20"/>
          <w:szCs w:val="20"/>
        </w:rPr>
        <w:tab/>
        <w:t xml:space="preserve">En los párrafos 199, 235, 253, 276, 287 y 308 de la presente Sentencia se declaró la violación a los derechos a la libertad de expresión, a su ejercicio sin discriminación y a las garantías judiciales por parte del Estado venezolano. La afectación al derecho a la libertad de expresión declarada en el presente caso generó no solamente que se impidiera el pleno ejercicio del mismo por parte de las víctimas, sino además en la dimensión social del derecho </w:t>
      </w:r>
      <w:r w:rsidR="005E0C2B">
        <w:rPr>
          <w:rFonts w:ascii="Verdana" w:hAnsi="Verdana"/>
          <w:sz w:val="20"/>
          <w:szCs w:val="20"/>
        </w:rPr>
        <w:t>[...]</w:t>
      </w:r>
      <w:r w:rsidRPr="00D86945">
        <w:rPr>
          <w:rFonts w:ascii="Verdana" w:hAnsi="Verdana"/>
          <w:sz w:val="20"/>
          <w:szCs w:val="20"/>
        </w:rPr>
        <w:t>, puesto que imposibilitó que la sociedad venezolana recibiera la información y opiniones que el canal RCTV generaba. Aunado a lo anterior, la Corte constató que la finalidad principal detrás de la decisión de no renovar la concesión del canal era la de acallar su</w:t>
      </w:r>
      <w:r w:rsidR="00A55D6C" w:rsidRPr="00D86945">
        <w:rPr>
          <w:rFonts w:ascii="Verdana" w:hAnsi="Verdana"/>
          <w:sz w:val="20"/>
          <w:szCs w:val="20"/>
        </w:rPr>
        <w:t xml:space="preserve"> voz crítica </w:t>
      </w:r>
      <w:r w:rsidR="005E0C2B">
        <w:rPr>
          <w:rFonts w:ascii="Verdana" w:hAnsi="Verdana"/>
          <w:sz w:val="20"/>
          <w:szCs w:val="20"/>
        </w:rPr>
        <w:t>[...]</w:t>
      </w:r>
      <w:r w:rsidR="00A55D6C" w:rsidRPr="00D86945">
        <w:rPr>
          <w:rFonts w:ascii="Verdana" w:hAnsi="Verdana"/>
          <w:sz w:val="20"/>
          <w:szCs w:val="20"/>
        </w:rPr>
        <w:t>,</w:t>
      </w:r>
      <w:r w:rsidRPr="00D86945">
        <w:rPr>
          <w:rFonts w:ascii="Verdana" w:hAnsi="Verdana"/>
          <w:sz w:val="20"/>
          <w:szCs w:val="20"/>
        </w:rPr>
        <w:t xml:space="preserve"> por lo que resulta necesaria una reparación que restaure la pluralidad de medios que se vio afectada con la restricción indirecta declarada en el presente caso.</w:t>
      </w:r>
    </w:p>
    <w:p w14:paraId="59B44683" w14:textId="66B1E01D" w:rsidR="001837EE" w:rsidRPr="00D86945" w:rsidRDefault="00F77BE1" w:rsidP="004F4FE7">
      <w:pPr>
        <w:spacing w:line="240" w:lineRule="auto"/>
        <w:ind w:right="49"/>
        <w:jc w:val="both"/>
        <w:rPr>
          <w:rFonts w:ascii="Verdana" w:hAnsi="Verdana"/>
          <w:sz w:val="20"/>
          <w:szCs w:val="20"/>
        </w:rPr>
      </w:pPr>
      <w:r w:rsidRPr="00D86945">
        <w:rPr>
          <w:rFonts w:ascii="Verdana" w:hAnsi="Verdana"/>
          <w:sz w:val="20"/>
          <w:szCs w:val="20"/>
        </w:rPr>
        <w:t>380.</w:t>
      </w:r>
      <w:r w:rsidRPr="00D86945">
        <w:rPr>
          <w:rFonts w:ascii="Verdana" w:hAnsi="Verdana"/>
          <w:sz w:val="20"/>
          <w:szCs w:val="20"/>
        </w:rPr>
        <w:tab/>
        <w:t>Es por ello que en virtud de la naturaleza de las violaciones antes referidas y sin que ello implique un reconocimiento de la propiedad de la concesión por parte de RCTV, como medida necesaria para garantizar el goce y ejercicio de los derechos conculcados en el presente caso de conformidad con el artículo 63.1 de la Convención Americana, la Corte ordena que se restablezca la concesión de la frecuencia del espectro radioeléctrico correspondiente al canal 2 de televisión, hasta tanto se otorgue de manera definitiva como consecuencia del proceso establecido en el párrafo 382 de la presente Sentencia. Esta medida no implica la protección o reparación de la persona jurídica (RCTV C.A), sino que constituye el medio idóneo para reparar los derechos que se declararon vulnerados de los accionistas y trabajadores, aun si actualmente no hacen parte o trabajan para la empresa.</w:t>
      </w:r>
    </w:p>
    <w:p w14:paraId="6A48DC31" w14:textId="2CE2FF42" w:rsidR="001837EE" w:rsidRPr="00D86945" w:rsidRDefault="001837EE" w:rsidP="004F4FE7">
      <w:pPr>
        <w:spacing w:line="240" w:lineRule="auto"/>
        <w:ind w:right="49"/>
        <w:jc w:val="both"/>
        <w:rPr>
          <w:rFonts w:ascii="Verdana" w:hAnsi="Verdana"/>
          <w:sz w:val="20"/>
          <w:szCs w:val="20"/>
        </w:rPr>
      </w:pPr>
      <w:r w:rsidRPr="00D86945">
        <w:rPr>
          <w:rFonts w:ascii="Verdana" w:hAnsi="Verdana"/>
          <w:sz w:val="20"/>
          <w:szCs w:val="20"/>
        </w:rPr>
        <w:t>381.</w:t>
      </w:r>
      <w:r w:rsidRPr="00D86945">
        <w:rPr>
          <w:rFonts w:ascii="Verdana" w:hAnsi="Verdana"/>
          <w:sz w:val="20"/>
          <w:szCs w:val="20"/>
        </w:rPr>
        <w:tab/>
        <w:t xml:space="preserve">Para que la anterior medida no sea ilusoria y sin que esto suponga un pronunciamiento sobre el derecho a la propiedad, este Tribunal ordena la devolución de los bienes objeto de las medidas cautelares, por cuanto son elementos indispensables para la efectiva operación de la concesión. Además, esta medida repara las violaciones declaradas en relación con las garantías judiciales al derecho a ser oído y a un plazo razonable en los procesos judiciales respecto al trámite de la demanda por intereses difusos y colectivos </w:t>
      </w:r>
      <w:r w:rsidR="005E0C2B">
        <w:rPr>
          <w:rFonts w:ascii="Verdana" w:hAnsi="Verdana"/>
          <w:sz w:val="20"/>
          <w:szCs w:val="20"/>
        </w:rPr>
        <w:t>[...]</w:t>
      </w:r>
      <w:r w:rsidRPr="00D86945">
        <w:rPr>
          <w:rFonts w:ascii="Verdana" w:hAnsi="Verdana"/>
          <w:sz w:val="20"/>
          <w:szCs w:val="20"/>
        </w:rPr>
        <w:t>.</w:t>
      </w:r>
    </w:p>
    <w:p w14:paraId="17B82067" w14:textId="35724C5E" w:rsidR="001837EE" w:rsidRPr="00D86945" w:rsidRDefault="001837EE" w:rsidP="004F4FE7">
      <w:pPr>
        <w:spacing w:line="240" w:lineRule="auto"/>
        <w:ind w:right="49"/>
        <w:jc w:val="both"/>
        <w:rPr>
          <w:rFonts w:ascii="Verdana" w:hAnsi="Verdana"/>
          <w:sz w:val="20"/>
          <w:szCs w:val="20"/>
        </w:rPr>
      </w:pPr>
      <w:r w:rsidRPr="00D86945">
        <w:rPr>
          <w:rFonts w:ascii="Verdana" w:hAnsi="Verdana"/>
          <w:sz w:val="20"/>
          <w:szCs w:val="20"/>
        </w:rPr>
        <w:t>382.</w:t>
      </w:r>
      <w:r w:rsidRPr="00D86945">
        <w:rPr>
          <w:rFonts w:ascii="Verdana" w:hAnsi="Verdana"/>
          <w:sz w:val="20"/>
          <w:szCs w:val="20"/>
        </w:rPr>
        <w:tab/>
        <w:t>Una vez se efectúe la restitución de la concesión a RCTV, el Estado deberá, en un plazo razonable, ordenar la apertura de un proceso abierto, independiente y transparente para el otorgamiento de la frecuencia del espectro radioeléctrico correspondiente al canal 2 de televisión, siguiendo para tal efecto el procedimiento establecido en la LOTEL o la norma int</w:t>
      </w:r>
      <w:r w:rsidR="00A55D6C" w:rsidRPr="00D86945">
        <w:rPr>
          <w:rFonts w:ascii="Verdana" w:hAnsi="Verdana"/>
          <w:sz w:val="20"/>
          <w:szCs w:val="20"/>
        </w:rPr>
        <w:t>erna vigente para tales efectos</w:t>
      </w:r>
      <w:r w:rsidRPr="00D86945">
        <w:rPr>
          <w:rFonts w:ascii="Verdana" w:hAnsi="Verdana"/>
          <w:sz w:val="20"/>
          <w:szCs w:val="20"/>
        </w:rPr>
        <w:t>. Dicho proceso deberá ser llevado a cabo garantizando que no se apliquen criterios discriminatorios que condicionen el otorgamiento de la concesión, y deberá estar encaminado a fortalecer de manera efectiva el pluralismo democrático y el respeto a las garantías judiciales. Por lo tanto, el Estado deberá: i) adoptar las medidas apropiadas para que se implemente un proceso abierto, independiente y transparente para asignar la frecuencia, y ii) dar a las víctimas del presente caso la oportunidad de participar en dicho proceso a través de la empresa RCTV, de otra empresa o a título personal, como mínimo, en igualdad de condiciones. El Estado deberá informar en un año sobre las medidas adoptadas al respecto.</w:t>
      </w:r>
    </w:p>
    <w:p w14:paraId="1CFB86BE" w14:textId="77777777" w:rsidR="00215583" w:rsidRPr="00215583" w:rsidRDefault="00215583" w:rsidP="00215583"/>
    <w:p w14:paraId="03ED27D4" w14:textId="77777777" w:rsidR="00215583" w:rsidRDefault="00215583" w:rsidP="00215583"/>
    <w:p w14:paraId="17FE29A5" w14:textId="77777777" w:rsidR="00215583" w:rsidRDefault="00215583" w:rsidP="00215583"/>
    <w:p w14:paraId="20BC6B95" w14:textId="683A19D7" w:rsidR="00805A05" w:rsidRPr="00D86945" w:rsidRDefault="00805A05" w:rsidP="00BF3BF6">
      <w:pPr>
        <w:pStyle w:val="Ttulo2"/>
      </w:pPr>
      <w:bookmarkStart w:id="29" w:name="_Toc89691481"/>
      <w:r w:rsidRPr="00D86945">
        <w:lastRenderedPageBreak/>
        <w:t>Adecuación del derecho interno</w:t>
      </w:r>
      <w:bookmarkEnd w:id="29"/>
    </w:p>
    <w:p w14:paraId="54775CFF" w14:textId="5B14EBFA" w:rsidR="00805A05" w:rsidRPr="00D86945" w:rsidRDefault="00805A05" w:rsidP="004F4FE7">
      <w:pPr>
        <w:spacing w:line="240" w:lineRule="auto"/>
        <w:ind w:right="49"/>
        <w:jc w:val="both"/>
        <w:rPr>
          <w:rFonts w:ascii="Verdana" w:hAnsi="Verdana" w:cs="Times New Roman"/>
          <w:b/>
          <w:sz w:val="20"/>
          <w:szCs w:val="20"/>
        </w:rPr>
      </w:pPr>
      <w:r w:rsidRPr="00D86945">
        <w:rPr>
          <w:rFonts w:ascii="Verdana" w:hAnsi="Verdana" w:cs="Times New Roman"/>
          <w:b/>
          <w:sz w:val="20"/>
          <w:szCs w:val="20"/>
        </w:rPr>
        <w:t>Corte IDH. Caso "La Última Tentación de Cristo" (Olmedo Bustos y otros) Vs. Chile. Fondo, Reparaciones y Costas. Sentencia de 5 de febrero de 2001. Serie C No. 73.</w:t>
      </w:r>
    </w:p>
    <w:p w14:paraId="183D702F" w14:textId="4CADB49B" w:rsidR="00805A05" w:rsidRPr="00D86945" w:rsidRDefault="00805A05" w:rsidP="004F4FE7">
      <w:pPr>
        <w:pStyle w:val="Textoindependiente"/>
        <w:widowControl/>
        <w:spacing w:line="240" w:lineRule="auto"/>
        <w:ind w:right="49"/>
        <w:rPr>
          <w:rFonts w:ascii="Verdana" w:hAnsi="Verdana"/>
          <w:sz w:val="20"/>
          <w:lang w:val="es-ES_tradnl"/>
        </w:rPr>
      </w:pPr>
      <w:r w:rsidRPr="00D86945">
        <w:rPr>
          <w:rFonts w:ascii="Verdana" w:hAnsi="Verdana"/>
          <w:sz w:val="20"/>
          <w:lang w:val="es-ES_tradnl"/>
        </w:rPr>
        <w:t>97.</w:t>
      </w:r>
      <w:r w:rsidRPr="00D86945">
        <w:rPr>
          <w:rFonts w:ascii="Verdana" w:hAnsi="Verdana"/>
          <w:sz w:val="20"/>
          <w:lang w:val="es-ES_tradnl"/>
        </w:rPr>
        <w:tab/>
        <w:t>Respecto del artículo 13 de la Convención, la Corte considera que el Estado debe modificar su ordenamiento jurídico con el fin de suprimir la censura previa, para permitir la exhibición cinematográfica y la publicidad de la película “La Última Tentación de Cristo”, ya que está obligado a respetar el derecho a la libertad de expresión y a garantizar su libre y pleno ejercicio a toda persona sujeta a su jurisdicción.</w:t>
      </w:r>
    </w:p>
    <w:p w14:paraId="08057572" w14:textId="2AEC6A80" w:rsidR="00805A05" w:rsidRPr="00D86945" w:rsidRDefault="00805A05" w:rsidP="004F4FE7">
      <w:pPr>
        <w:pStyle w:val="Textoindependiente"/>
        <w:widowControl/>
        <w:spacing w:line="240" w:lineRule="auto"/>
        <w:ind w:right="49"/>
        <w:rPr>
          <w:rFonts w:ascii="Verdana" w:hAnsi="Verdana"/>
          <w:sz w:val="20"/>
          <w:lang w:val="es-ES_tradnl"/>
        </w:rPr>
      </w:pPr>
      <w:r w:rsidRPr="00D86945">
        <w:rPr>
          <w:rFonts w:ascii="Verdana" w:hAnsi="Verdana"/>
          <w:sz w:val="20"/>
          <w:lang w:val="es-ES_tradnl"/>
        </w:rPr>
        <w:t>98.</w:t>
      </w:r>
      <w:r w:rsidRPr="00D86945">
        <w:rPr>
          <w:rFonts w:ascii="Verdana" w:hAnsi="Verdana"/>
          <w:sz w:val="20"/>
          <w:lang w:val="es-ES_tradnl"/>
        </w:rPr>
        <w:tab/>
        <w:t>En relación con los artículos 1.1 y 2 de la Convención, las normas de derecho interno chileno que regulan la exhibición y publicidad de la producción cinematográfica todavía no han sido adaptadas a lo dispuesto por la Convención Americana en el sentido de que no puede haber censura previa.</w:t>
      </w:r>
      <w:r w:rsidR="00D35646" w:rsidRPr="00D86945">
        <w:rPr>
          <w:rFonts w:ascii="Verdana" w:hAnsi="Verdana"/>
          <w:sz w:val="20"/>
          <w:lang w:val="es-ES_tradnl"/>
        </w:rPr>
        <w:t xml:space="preserve"> </w:t>
      </w:r>
      <w:r w:rsidRPr="00D86945">
        <w:rPr>
          <w:rFonts w:ascii="Verdana" w:hAnsi="Verdana"/>
          <w:sz w:val="20"/>
          <w:lang w:val="es-ES_tradnl"/>
        </w:rPr>
        <w:t>Por ello el Estado continúa incumpliendo los deberes generales a que se refieren aquéllas</w:t>
      </w:r>
      <w:r w:rsidR="00864860" w:rsidRPr="00D86945">
        <w:rPr>
          <w:rFonts w:ascii="Verdana" w:hAnsi="Verdana"/>
          <w:sz w:val="20"/>
          <w:lang w:val="es-ES_tradnl"/>
        </w:rPr>
        <w:t xml:space="preserve"> disposiciones convencionales. </w:t>
      </w:r>
      <w:r w:rsidRPr="00D86945">
        <w:rPr>
          <w:rFonts w:ascii="Verdana" w:hAnsi="Verdana"/>
          <w:sz w:val="20"/>
          <w:lang w:val="es-ES_tradnl"/>
        </w:rPr>
        <w:t>En consecuencia, Chile debe adoptar las medidas apropiadas para reformar, en los términos del párrafo anterior, su ordenamiento jurídico interno de manera acorde al respeto y el goce del derecho a la libertad de pensamiento y de expresión consagrado en la Convención.</w:t>
      </w:r>
    </w:p>
    <w:p w14:paraId="5B466DD5" w14:textId="5F62F049" w:rsidR="00A8287E" w:rsidRPr="00D86945" w:rsidRDefault="00A8287E" w:rsidP="004F4FE7">
      <w:pPr>
        <w:spacing w:line="240" w:lineRule="auto"/>
        <w:jc w:val="both"/>
        <w:rPr>
          <w:rFonts w:ascii="Verdana" w:eastAsia="Times New Roman" w:hAnsi="Verdana" w:cs="Times New Roman"/>
          <w:sz w:val="20"/>
          <w:szCs w:val="20"/>
          <w:lang w:eastAsia="es-ES_tradnl"/>
        </w:rPr>
      </w:pPr>
      <w:r w:rsidRPr="00D86945">
        <w:rPr>
          <w:rFonts w:ascii="Verdana" w:eastAsia="Times New Roman" w:hAnsi="Verdana" w:cs="Times New Roman"/>
          <w:b/>
          <w:bCs/>
          <w:sz w:val="20"/>
          <w:szCs w:val="20"/>
          <w:shd w:val="clear" w:color="auto" w:fill="FFFFFF"/>
          <w:lang w:eastAsia="es-ES_tradnl"/>
        </w:rPr>
        <w:t>Corte IDH. Caso Claude Reyes y otros Vs. Chile. Fondo, Reparaciones y Costas. Sentencia de 19 de septiembre de 2006. Serie C No. 151</w:t>
      </w:r>
      <w:r w:rsidR="00EB1BB2" w:rsidRPr="00D86945">
        <w:rPr>
          <w:rFonts w:ascii="Verdana" w:eastAsia="Times New Roman" w:hAnsi="Verdana" w:cs="Times New Roman"/>
          <w:b/>
          <w:bCs/>
          <w:sz w:val="20"/>
          <w:szCs w:val="20"/>
          <w:shd w:val="clear" w:color="auto" w:fill="FFFFFF"/>
          <w:lang w:eastAsia="es-ES_tradnl"/>
        </w:rPr>
        <w:t>.</w:t>
      </w:r>
    </w:p>
    <w:p w14:paraId="1E6658F8" w14:textId="77777777" w:rsidR="00A8287E" w:rsidRPr="00D86945" w:rsidRDefault="00A8287E" w:rsidP="004F4FE7">
      <w:pPr>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 w:val="left" w:pos="9099"/>
        </w:tabs>
        <w:autoSpaceDE w:val="0"/>
        <w:autoSpaceDN w:val="0"/>
        <w:adjustRightInd w:val="0"/>
        <w:spacing w:before="40" w:after="40" w:line="240" w:lineRule="auto"/>
        <w:ind w:right="49"/>
        <w:jc w:val="both"/>
        <w:rPr>
          <w:rFonts w:ascii="Verdana" w:hAnsi="Verdana" w:cs="Times New Roman"/>
          <w:sz w:val="20"/>
          <w:szCs w:val="20"/>
          <w:lang w:bidi="x-none"/>
        </w:rPr>
      </w:pPr>
      <w:r w:rsidRPr="00D86945">
        <w:rPr>
          <w:rFonts w:ascii="Verdana" w:hAnsi="Verdana" w:cs="Times New Roman"/>
          <w:sz w:val="20"/>
          <w:szCs w:val="20"/>
        </w:rPr>
        <w:t>161.</w:t>
      </w:r>
      <w:r w:rsidRPr="00D86945">
        <w:rPr>
          <w:rFonts w:ascii="Verdana" w:hAnsi="Verdana" w:cs="Times New Roman"/>
          <w:sz w:val="20"/>
          <w:szCs w:val="20"/>
        </w:rPr>
        <w:tab/>
        <w:t>La Corte también estima importante recordar al Estado que, de conformidad con lo dispuesto en el artículo 2 de la Convención, s</w:t>
      </w:r>
      <w:r w:rsidRPr="00D86945">
        <w:rPr>
          <w:rFonts w:ascii="Verdana" w:hAnsi="Verdana" w:cs="Times New Roman"/>
          <w:sz w:val="20"/>
          <w:szCs w:val="20"/>
          <w:lang w:bidi="x-none"/>
        </w:rPr>
        <w:t xml:space="preserve">i el ejercicio de los derechos y libertades protegidos por dicho tratado no estuviere ya garantizado, </w:t>
      </w:r>
      <w:r w:rsidRPr="00D86945">
        <w:rPr>
          <w:rFonts w:ascii="Verdana" w:hAnsi="Verdana" w:cs="Times New Roman"/>
          <w:sz w:val="20"/>
          <w:szCs w:val="20"/>
        </w:rPr>
        <w:t>tiene la obligación de</w:t>
      </w:r>
      <w:r w:rsidRPr="00D86945">
        <w:rPr>
          <w:rFonts w:ascii="Verdana" w:hAnsi="Verdana" w:cs="Times New Roman"/>
          <w:sz w:val="20"/>
          <w:szCs w:val="20"/>
          <w:lang w:bidi="x-none"/>
        </w:rPr>
        <w:t xml:space="preserve"> adoptar las medidas legislativas o de otro carácter que fueren necesarias para hacer efectivos tales derechos y libertades.</w:t>
      </w:r>
    </w:p>
    <w:p w14:paraId="576FF736" w14:textId="77777777" w:rsidR="00A8287E" w:rsidRPr="00D86945" w:rsidRDefault="00A8287E" w:rsidP="004F4FE7">
      <w:pPr>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 w:val="left" w:pos="9099"/>
        </w:tabs>
        <w:autoSpaceDE w:val="0"/>
        <w:autoSpaceDN w:val="0"/>
        <w:adjustRightInd w:val="0"/>
        <w:spacing w:before="40" w:after="40" w:line="240" w:lineRule="auto"/>
        <w:ind w:right="49"/>
        <w:jc w:val="both"/>
        <w:rPr>
          <w:rFonts w:ascii="Verdana" w:hAnsi="Verdana" w:cs="Times New Roman"/>
          <w:sz w:val="20"/>
          <w:szCs w:val="20"/>
          <w:lang w:bidi="x-none"/>
        </w:rPr>
      </w:pPr>
    </w:p>
    <w:p w14:paraId="28BDBF6B" w14:textId="64902AE9" w:rsidR="00A8287E" w:rsidRPr="00D86945" w:rsidRDefault="00A8287E" w:rsidP="004F4FE7">
      <w:pPr>
        <w:pStyle w:val="Textoindependiente3"/>
        <w:tabs>
          <w:tab w:val="left" w:pos="720"/>
        </w:tabs>
        <w:spacing w:before="40" w:after="40" w:line="240" w:lineRule="auto"/>
        <w:ind w:right="49"/>
        <w:jc w:val="both"/>
        <w:rPr>
          <w:rFonts w:ascii="Verdana" w:hAnsi="Verdana" w:cs="Times New Roman"/>
          <w:sz w:val="20"/>
          <w:szCs w:val="20"/>
        </w:rPr>
      </w:pPr>
      <w:r w:rsidRPr="00D86945">
        <w:rPr>
          <w:rFonts w:ascii="Verdana" w:hAnsi="Verdana" w:cs="Times New Roman"/>
          <w:sz w:val="20"/>
          <w:szCs w:val="20"/>
        </w:rPr>
        <w:t>162.</w:t>
      </w:r>
      <w:r w:rsidRPr="00D86945">
        <w:rPr>
          <w:rFonts w:ascii="Verdana" w:hAnsi="Verdana" w:cs="Times New Roman"/>
          <w:sz w:val="20"/>
          <w:szCs w:val="20"/>
        </w:rPr>
        <w:tab/>
        <w:t xml:space="preserve">La Corte valora los importantes avances normativos que Chile ha emprendido en materia de acceso a información bajo el control del Estado, que se encuentra en trámite un proyecto de Ley de Acceso a la Información Pública, así como los esfuerzos realizados al crear un recurso judicial especial para amparar el acceso a la información pública </w:t>
      </w:r>
      <w:r w:rsidR="005E0C2B">
        <w:rPr>
          <w:rFonts w:ascii="Verdana" w:hAnsi="Verdana" w:cs="Times New Roman"/>
          <w:sz w:val="20"/>
          <w:szCs w:val="20"/>
        </w:rPr>
        <w:t>[...]</w:t>
      </w:r>
      <w:r w:rsidRPr="00D86945">
        <w:rPr>
          <w:rFonts w:ascii="Verdana" w:hAnsi="Verdana" w:cs="Times New Roman"/>
          <w:sz w:val="20"/>
          <w:szCs w:val="20"/>
        </w:rPr>
        <w:t>.</w:t>
      </w:r>
      <w:r w:rsidR="00D35646" w:rsidRPr="00D86945">
        <w:rPr>
          <w:rFonts w:ascii="Verdana" w:hAnsi="Verdana" w:cs="Times New Roman"/>
          <w:sz w:val="20"/>
          <w:szCs w:val="20"/>
        </w:rPr>
        <w:t xml:space="preserve"> </w:t>
      </w:r>
    </w:p>
    <w:p w14:paraId="37AC2697" w14:textId="77777777" w:rsidR="00207E81" w:rsidRPr="00D86945" w:rsidRDefault="00207E81" w:rsidP="004F4FE7">
      <w:pPr>
        <w:pStyle w:val="Textoindependiente3"/>
        <w:tabs>
          <w:tab w:val="left" w:pos="720"/>
        </w:tabs>
        <w:spacing w:before="40" w:after="40" w:line="240" w:lineRule="auto"/>
        <w:ind w:right="49"/>
        <w:jc w:val="both"/>
        <w:rPr>
          <w:rFonts w:ascii="Verdana" w:hAnsi="Verdana" w:cs="Times New Roman"/>
          <w:sz w:val="20"/>
          <w:szCs w:val="20"/>
        </w:rPr>
      </w:pPr>
    </w:p>
    <w:p w14:paraId="3ED3BE47" w14:textId="50792A0A" w:rsidR="008950EC" w:rsidRPr="00D86945" w:rsidRDefault="00A8287E" w:rsidP="004F4FE7">
      <w:pPr>
        <w:pStyle w:val="Textoindependiente3"/>
        <w:tabs>
          <w:tab w:val="left" w:pos="720"/>
        </w:tabs>
        <w:spacing w:before="40" w:after="40" w:line="240" w:lineRule="auto"/>
        <w:ind w:right="49"/>
        <w:jc w:val="both"/>
        <w:rPr>
          <w:rFonts w:ascii="Verdana" w:hAnsi="Verdana" w:cs="Times New Roman"/>
          <w:sz w:val="20"/>
          <w:szCs w:val="20"/>
        </w:rPr>
      </w:pPr>
      <w:r w:rsidRPr="00D86945">
        <w:rPr>
          <w:rFonts w:ascii="Verdana" w:hAnsi="Verdana" w:cs="Times New Roman"/>
          <w:sz w:val="20"/>
          <w:szCs w:val="20"/>
        </w:rPr>
        <w:t>163.</w:t>
      </w:r>
      <w:r w:rsidRPr="00D86945">
        <w:rPr>
          <w:rFonts w:ascii="Verdana" w:hAnsi="Verdana" w:cs="Times New Roman"/>
          <w:sz w:val="20"/>
          <w:szCs w:val="20"/>
        </w:rPr>
        <w:tab/>
        <w:t xml:space="preserve">Sin embargo, el Tribunal considera necesario reiterar que el deber general comprendido en el artículo 2 de la Convención implica la supresión tanto de las normas como de las prácticas de cualquier naturaleza que entrañen violaciones a las garantías previstas en la Convención, así como la expedición de normas y el desarrollo de prácticas conducentes a la efectiva observancia de dichas garantías </w:t>
      </w:r>
      <w:r w:rsidR="005E0C2B">
        <w:rPr>
          <w:rFonts w:ascii="Verdana" w:hAnsi="Verdana" w:cs="Times New Roman"/>
          <w:sz w:val="20"/>
          <w:szCs w:val="20"/>
        </w:rPr>
        <w:t>[...]</w:t>
      </w:r>
      <w:r w:rsidRPr="00D86945">
        <w:rPr>
          <w:rFonts w:ascii="Verdana" w:hAnsi="Verdana" w:cs="Times New Roman"/>
          <w:sz w:val="20"/>
          <w:szCs w:val="20"/>
        </w:rPr>
        <w:t>.</w:t>
      </w:r>
      <w:r w:rsidR="00D35646" w:rsidRPr="00D86945">
        <w:rPr>
          <w:rFonts w:ascii="Verdana" w:hAnsi="Verdana" w:cs="Times New Roman"/>
          <w:sz w:val="20"/>
          <w:szCs w:val="20"/>
        </w:rPr>
        <w:t xml:space="preserve"> </w:t>
      </w:r>
      <w:r w:rsidRPr="00D86945">
        <w:rPr>
          <w:rFonts w:ascii="Verdana" w:hAnsi="Verdana" w:cs="Times New Roman"/>
          <w:sz w:val="20"/>
          <w:szCs w:val="20"/>
        </w:rPr>
        <w:t>Por ello, Chile debe adoptar las medidas necesarias para garantizar la protección al derecho de acceso a la información bajo el control del Estado, dentro de las cuales debe garantizar la efectividad de un procedimiento administrativo adecuado para la tramitación y resolución de las solicitudes de información, que fije plazos para resolver y entregar la información, y que se encuentre bajo la responsabilidad de funcionarios debidamente capacitados.</w:t>
      </w:r>
    </w:p>
    <w:p w14:paraId="7DD6D72B" w14:textId="77777777" w:rsidR="008950EC" w:rsidRPr="00D86945" w:rsidRDefault="008950EC" w:rsidP="004F4FE7">
      <w:pPr>
        <w:pStyle w:val="Textoindependiente3"/>
        <w:tabs>
          <w:tab w:val="left" w:pos="720"/>
        </w:tabs>
        <w:spacing w:before="40" w:after="40" w:line="240" w:lineRule="auto"/>
        <w:ind w:right="49"/>
        <w:jc w:val="both"/>
        <w:rPr>
          <w:rFonts w:ascii="Verdana" w:hAnsi="Verdana" w:cs="Times New Roman"/>
          <w:sz w:val="20"/>
          <w:szCs w:val="20"/>
        </w:rPr>
      </w:pPr>
    </w:p>
    <w:p w14:paraId="1014A666" w14:textId="21B3C5CC" w:rsidR="008950EC" w:rsidRPr="00D86945" w:rsidRDefault="008950EC" w:rsidP="004F4FE7">
      <w:pPr>
        <w:spacing w:line="240" w:lineRule="auto"/>
        <w:ind w:right="49"/>
        <w:jc w:val="both"/>
        <w:rPr>
          <w:rFonts w:ascii="Verdana" w:hAnsi="Verdana"/>
          <w:b/>
          <w:sz w:val="20"/>
          <w:szCs w:val="20"/>
        </w:rPr>
      </w:pPr>
      <w:r w:rsidRPr="00D86945">
        <w:rPr>
          <w:rFonts w:ascii="Verdana" w:hAnsi="Verdana"/>
          <w:b/>
          <w:sz w:val="20"/>
          <w:szCs w:val="20"/>
        </w:rPr>
        <w:t>Corte IDH. Caso Kimel Vs. Argentina. Fondo, Reparaciones y Costas.</w:t>
      </w:r>
      <w:r w:rsidR="009B449F" w:rsidRPr="00D86945">
        <w:rPr>
          <w:rFonts w:ascii="Verdana" w:hAnsi="Verdana"/>
          <w:b/>
          <w:sz w:val="20"/>
          <w:szCs w:val="20"/>
        </w:rPr>
        <w:t xml:space="preserve"> </w:t>
      </w:r>
      <w:r w:rsidRPr="00D86945">
        <w:rPr>
          <w:rFonts w:ascii="Verdana" w:hAnsi="Verdana"/>
          <w:b/>
          <w:sz w:val="20"/>
          <w:szCs w:val="20"/>
        </w:rPr>
        <w:t>Sentencia de 2 de mayo de 2008. Serie C No. 177.</w:t>
      </w:r>
    </w:p>
    <w:p w14:paraId="03404AAF" w14:textId="0CC89EF0" w:rsidR="008950EC" w:rsidRPr="00D86945" w:rsidRDefault="008950EC" w:rsidP="004F4FE7">
      <w:pPr>
        <w:spacing w:before="120" w:after="120" w:line="240" w:lineRule="auto"/>
        <w:ind w:right="49"/>
        <w:jc w:val="both"/>
        <w:rPr>
          <w:rFonts w:ascii="Verdana" w:hAnsi="Verdana"/>
          <w:sz w:val="20"/>
          <w:szCs w:val="20"/>
        </w:rPr>
      </w:pPr>
      <w:r w:rsidRPr="00D86945">
        <w:rPr>
          <w:rFonts w:ascii="Verdana" w:hAnsi="Verdana"/>
          <w:sz w:val="20"/>
          <w:szCs w:val="20"/>
        </w:rPr>
        <w:t>128.</w:t>
      </w:r>
      <w:r w:rsidRPr="00D86945">
        <w:rPr>
          <w:rFonts w:ascii="Verdana" w:hAnsi="Verdana"/>
          <w:sz w:val="20"/>
          <w:szCs w:val="20"/>
        </w:rPr>
        <w:tab/>
        <w:t xml:space="preserve"> Teniendo en cuenta lo señalado en el Capítulo VI de esta Sentencia, el Tribunal estima pertinente ordenar al Estado que adecue en un plazo razonable su derecho interno a la Convención, de tal forma que las imprecisiones reconocidas por </w:t>
      </w:r>
      <w:r w:rsidRPr="00D86945">
        <w:rPr>
          <w:rFonts w:ascii="Verdana" w:hAnsi="Verdana"/>
          <w:sz w:val="20"/>
          <w:szCs w:val="20"/>
        </w:rPr>
        <w:lastRenderedPageBreak/>
        <w:t xml:space="preserve">el Estado </w:t>
      </w:r>
      <w:r w:rsidR="005E0C2B">
        <w:rPr>
          <w:rFonts w:ascii="Verdana" w:hAnsi="Verdana"/>
          <w:sz w:val="20"/>
          <w:szCs w:val="20"/>
        </w:rPr>
        <w:t>[...]</w:t>
      </w:r>
      <w:r w:rsidRPr="00D86945">
        <w:rPr>
          <w:rFonts w:ascii="Verdana" w:hAnsi="Verdana"/>
          <w:sz w:val="20"/>
          <w:szCs w:val="20"/>
        </w:rPr>
        <w:t xml:space="preserve"> se corrijan para satisfacer los requerimientos de seguridad jurídica y, consecuentemente, no afecten el ejercicio del derecho a la libertad de expresión.</w:t>
      </w:r>
    </w:p>
    <w:p w14:paraId="4F315D82" w14:textId="7494285D" w:rsidR="003F7A02" w:rsidRPr="00D86945" w:rsidRDefault="003F7A02" w:rsidP="004F4FE7">
      <w:pPr>
        <w:spacing w:line="240" w:lineRule="auto"/>
        <w:ind w:right="49"/>
        <w:jc w:val="both"/>
        <w:rPr>
          <w:rFonts w:ascii="Verdana" w:hAnsi="Verdana"/>
          <w:sz w:val="20"/>
          <w:szCs w:val="20"/>
          <w:lang w:val="es-ES"/>
        </w:rPr>
      </w:pPr>
      <w:r w:rsidRPr="00D86945">
        <w:rPr>
          <w:rFonts w:ascii="Verdana" w:hAnsi="Verdana"/>
          <w:b/>
          <w:sz w:val="20"/>
          <w:szCs w:val="20"/>
          <w:lang w:val="es-ES"/>
        </w:rPr>
        <w:t xml:space="preserve">Corte IDH. Caso Gomes </w:t>
      </w:r>
      <w:proofErr w:type="spellStart"/>
      <w:r w:rsidRPr="00D86945">
        <w:rPr>
          <w:rFonts w:ascii="Verdana" w:hAnsi="Verdana"/>
          <w:b/>
          <w:sz w:val="20"/>
          <w:szCs w:val="20"/>
          <w:lang w:val="es-ES"/>
        </w:rPr>
        <w:t>Lund</w:t>
      </w:r>
      <w:proofErr w:type="spellEnd"/>
      <w:r w:rsidRPr="00D86945">
        <w:rPr>
          <w:rFonts w:ascii="Verdana" w:hAnsi="Verdana"/>
          <w:b/>
          <w:sz w:val="20"/>
          <w:szCs w:val="20"/>
          <w:lang w:val="es-ES"/>
        </w:rPr>
        <w:t xml:space="preserve"> y otros ("</w:t>
      </w:r>
      <w:proofErr w:type="spellStart"/>
      <w:r w:rsidRPr="00D86945">
        <w:rPr>
          <w:rFonts w:ascii="Verdana" w:hAnsi="Verdana"/>
          <w:b/>
          <w:sz w:val="20"/>
          <w:szCs w:val="20"/>
          <w:lang w:val="es-ES"/>
        </w:rPr>
        <w:t>Guerrilha</w:t>
      </w:r>
      <w:proofErr w:type="spellEnd"/>
      <w:r w:rsidRPr="00D86945">
        <w:rPr>
          <w:rFonts w:ascii="Verdana" w:hAnsi="Verdana"/>
          <w:b/>
          <w:sz w:val="20"/>
          <w:szCs w:val="20"/>
          <w:lang w:val="es-ES"/>
        </w:rPr>
        <w:t xml:space="preserve"> do </w:t>
      </w:r>
      <w:proofErr w:type="spellStart"/>
      <w:r w:rsidRPr="00D86945">
        <w:rPr>
          <w:rFonts w:ascii="Verdana" w:hAnsi="Verdana"/>
          <w:b/>
          <w:sz w:val="20"/>
          <w:szCs w:val="20"/>
          <w:lang w:val="es-ES"/>
        </w:rPr>
        <w:t>Araguaia</w:t>
      </w:r>
      <w:proofErr w:type="spellEnd"/>
      <w:r w:rsidRPr="00D86945">
        <w:rPr>
          <w:rFonts w:ascii="Verdana" w:hAnsi="Verdana"/>
          <w:b/>
          <w:sz w:val="20"/>
          <w:szCs w:val="20"/>
          <w:lang w:val="es-ES"/>
        </w:rPr>
        <w:t>") Vs. Brasil. Excepciones Preliminares, Fondo, Reparaciones y Costas. Sentencia de 24 de noviembre de 2010. Serie C No. 219</w:t>
      </w:r>
      <w:r w:rsidRPr="00D86945">
        <w:rPr>
          <w:rFonts w:ascii="Verdana" w:hAnsi="Verdana"/>
          <w:sz w:val="20"/>
          <w:szCs w:val="20"/>
          <w:lang w:val="es-ES"/>
        </w:rPr>
        <w:t>.</w:t>
      </w:r>
    </w:p>
    <w:p w14:paraId="1D865C22" w14:textId="3F2E44ED" w:rsidR="001837EE" w:rsidRPr="00D86945" w:rsidRDefault="003F7A02" w:rsidP="004F4FE7">
      <w:pPr>
        <w:spacing w:line="240" w:lineRule="auto"/>
        <w:ind w:right="49"/>
        <w:jc w:val="both"/>
        <w:rPr>
          <w:rFonts w:ascii="Verdana" w:hAnsi="Verdana"/>
          <w:sz w:val="20"/>
          <w:szCs w:val="20"/>
        </w:rPr>
      </w:pPr>
      <w:r w:rsidRPr="00D86945">
        <w:rPr>
          <w:rFonts w:ascii="Verdana" w:hAnsi="Verdana"/>
          <w:sz w:val="20"/>
          <w:szCs w:val="20"/>
        </w:rPr>
        <w:t>293.</w:t>
      </w:r>
      <w:r w:rsidRPr="00D86945">
        <w:rPr>
          <w:rFonts w:ascii="Verdana" w:hAnsi="Verdana"/>
          <w:sz w:val="20"/>
          <w:szCs w:val="20"/>
        </w:rPr>
        <w:tab/>
        <w:t xml:space="preserve">Por otra parte, en cuanto a la adecuación del marco normativo del acceso a la información, la Corte observa que el Estado informó que se encuentra en trámite un proyecto de ley que, entre otras reformas, propone una reducción de los plazos previstos para la reserva de documentos y establece la prohibición de la misma respecto de aquellos que tengan relación con violaciones de derechos humanos, y que los representantes manifestaron su aprobación al proyecto mencionado. Con base en lo anterior, el Tribunal exhorta al Estado a que adopte las medidas legislativas, administrativas y de cualquier otra índole que sean necesarias para fortalecer el marco normativo de acceso a la información, de conformidad con los estándares interamericanos de protección de los derechos humanos como los señalados en la presente Sentencia </w:t>
      </w:r>
      <w:r w:rsidR="005E0C2B">
        <w:rPr>
          <w:rFonts w:ascii="Verdana" w:hAnsi="Verdana"/>
          <w:sz w:val="20"/>
          <w:szCs w:val="20"/>
        </w:rPr>
        <w:t>[...]</w:t>
      </w:r>
      <w:r w:rsidRPr="00D86945">
        <w:rPr>
          <w:rFonts w:ascii="Verdana" w:hAnsi="Verdana"/>
          <w:sz w:val="20"/>
          <w:szCs w:val="20"/>
        </w:rPr>
        <w:t>.</w:t>
      </w:r>
    </w:p>
    <w:p w14:paraId="00708497" w14:textId="72DD6999" w:rsidR="001837EE" w:rsidRPr="00D86945" w:rsidRDefault="001837EE" w:rsidP="004F4FE7">
      <w:pPr>
        <w:spacing w:line="240" w:lineRule="auto"/>
        <w:ind w:right="49"/>
        <w:jc w:val="both"/>
        <w:rPr>
          <w:rFonts w:ascii="Verdana" w:hAnsi="Verdana"/>
          <w:sz w:val="20"/>
          <w:szCs w:val="20"/>
          <w:lang w:val="es-CR"/>
        </w:rPr>
      </w:pPr>
      <w:r w:rsidRPr="00D86945">
        <w:rPr>
          <w:rFonts w:ascii="Verdana" w:hAnsi="Verdana"/>
          <w:b/>
          <w:sz w:val="20"/>
          <w:szCs w:val="20"/>
          <w:lang w:val="es-CR"/>
        </w:rPr>
        <w:t xml:space="preserve">Corte IDH. Caso </w:t>
      </w:r>
      <w:proofErr w:type="spellStart"/>
      <w:r w:rsidRPr="00D86945">
        <w:rPr>
          <w:rFonts w:ascii="Verdana" w:hAnsi="Verdana"/>
          <w:b/>
          <w:sz w:val="20"/>
          <w:szCs w:val="20"/>
          <w:lang w:val="es-CR"/>
        </w:rPr>
        <w:t>Granier</w:t>
      </w:r>
      <w:proofErr w:type="spellEnd"/>
      <w:r w:rsidRPr="00D86945">
        <w:rPr>
          <w:rFonts w:ascii="Verdana" w:hAnsi="Verdana"/>
          <w:b/>
          <w:sz w:val="20"/>
          <w:szCs w:val="20"/>
          <w:lang w:val="es-CR"/>
        </w:rPr>
        <w:t xml:space="preserve"> y otros (Radio Caracas Televisión) Vs. Venezuela. Excepciones Preliminares, Fondo, Reparaciones y Costas. Sentencia de 22 de junio de 2015. Serie C No. 293</w:t>
      </w:r>
      <w:r w:rsidRPr="00D86945">
        <w:rPr>
          <w:rFonts w:ascii="Verdana" w:hAnsi="Verdana"/>
          <w:sz w:val="20"/>
          <w:szCs w:val="20"/>
          <w:lang w:val="es-CR"/>
        </w:rPr>
        <w:t>.</w:t>
      </w:r>
    </w:p>
    <w:p w14:paraId="4E0AD184" w14:textId="779B373F" w:rsidR="008950EC" w:rsidRPr="00D86945" w:rsidRDefault="001837EE" w:rsidP="004F4FE7">
      <w:pPr>
        <w:spacing w:line="240" w:lineRule="auto"/>
        <w:ind w:right="49"/>
        <w:jc w:val="both"/>
        <w:rPr>
          <w:rFonts w:ascii="Verdana" w:hAnsi="Verdana"/>
          <w:sz w:val="20"/>
          <w:szCs w:val="20"/>
        </w:rPr>
      </w:pPr>
      <w:r w:rsidRPr="00D86945">
        <w:rPr>
          <w:rFonts w:ascii="Verdana" w:hAnsi="Verdana"/>
          <w:sz w:val="20"/>
          <w:szCs w:val="20"/>
        </w:rPr>
        <w:t>394.</w:t>
      </w:r>
      <w:r w:rsidRPr="00D86945">
        <w:rPr>
          <w:rFonts w:ascii="Verdana" w:hAnsi="Verdana"/>
          <w:sz w:val="20"/>
          <w:szCs w:val="20"/>
        </w:rPr>
        <w:tab/>
        <w:t>La Corte dispone que el Estado tome las medidas necesarias a fin de garantizar que todos los futuros procesos de asignación y renovación de frecuencias de radio y televisión que se lleven a cabo, sean conducidos de manera abierta, independiente y transparente. Todos estos procesos deberán conducirse sin que existan criterios discriminatorios que busquen limitar el otorgamiento de concesiones, y deberán estar encaminados a fortalecer el pluralismo informativo y el respeto a las garantías judiciales.</w:t>
      </w:r>
    </w:p>
    <w:p w14:paraId="5C37867A" w14:textId="07E42CA1" w:rsidR="008950EC" w:rsidRPr="00D86945" w:rsidRDefault="008950EC" w:rsidP="00BF3BF6">
      <w:pPr>
        <w:pStyle w:val="Ttulo2"/>
      </w:pPr>
      <w:bookmarkStart w:id="30" w:name="_Toc89691482"/>
      <w:r w:rsidRPr="00D86945">
        <w:t>Anulación de sentencias condenatorias</w:t>
      </w:r>
      <w:bookmarkEnd w:id="30"/>
      <w:r w:rsidRPr="00D86945">
        <w:t xml:space="preserve"> </w:t>
      </w:r>
    </w:p>
    <w:p w14:paraId="1F56A4B2" w14:textId="77777777" w:rsidR="008950EC" w:rsidRPr="00D86945" w:rsidRDefault="008950EC" w:rsidP="004F4FE7">
      <w:pPr>
        <w:spacing w:line="240" w:lineRule="auto"/>
        <w:ind w:right="49"/>
        <w:jc w:val="both"/>
        <w:rPr>
          <w:rFonts w:ascii="Verdana" w:hAnsi="Verdana"/>
          <w:b/>
          <w:sz w:val="20"/>
          <w:szCs w:val="20"/>
        </w:rPr>
      </w:pPr>
      <w:r w:rsidRPr="00D86945">
        <w:rPr>
          <w:rFonts w:ascii="Verdana" w:hAnsi="Verdana"/>
          <w:b/>
          <w:sz w:val="20"/>
          <w:szCs w:val="20"/>
        </w:rPr>
        <w:t>Corte IDH. Caso Kimel Vs. Argentina. Fondo, Reparaciones y Costas. Sentencia de 2 de mayo de 2008. Serie C No. 177.</w:t>
      </w:r>
    </w:p>
    <w:p w14:paraId="1D223911" w14:textId="2EAE6F95" w:rsidR="0025360F" w:rsidRPr="00D86945" w:rsidRDefault="008950EC" w:rsidP="004F4FE7">
      <w:pPr>
        <w:spacing w:before="120" w:after="120" w:line="240" w:lineRule="auto"/>
        <w:ind w:right="49"/>
        <w:jc w:val="both"/>
        <w:rPr>
          <w:rFonts w:ascii="Verdana" w:hAnsi="Verdana"/>
          <w:b/>
          <w:sz w:val="18"/>
          <w:szCs w:val="18"/>
        </w:rPr>
      </w:pPr>
      <w:r w:rsidRPr="00D86945">
        <w:rPr>
          <w:rFonts w:ascii="Verdana" w:hAnsi="Verdana"/>
          <w:sz w:val="20"/>
          <w:szCs w:val="20"/>
        </w:rPr>
        <w:t>123.</w:t>
      </w:r>
      <w:r w:rsidRPr="00D86945">
        <w:rPr>
          <w:rFonts w:ascii="Verdana" w:hAnsi="Verdana"/>
          <w:sz w:val="20"/>
          <w:szCs w:val="20"/>
        </w:rPr>
        <w:tab/>
        <w:t xml:space="preserve">La Corte ha determinado que la sentencia condenatoria emitida en contra del señor Kimel implicó la violación de su derecho a la libertad de expresión </w:t>
      </w:r>
      <w:r w:rsidR="005E0C2B">
        <w:rPr>
          <w:rFonts w:ascii="Verdana" w:hAnsi="Verdana"/>
          <w:sz w:val="20"/>
          <w:szCs w:val="20"/>
        </w:rPr>
        <w:t>[...]</w:t>
      </w:r>
      <w:r w:rsidRPr="00D86945">
        <w:rPr>
          <w:rFonts w:ascii="Verdana" w:hAnsi="Verdana"/>
          <w:sz w:val="20"/>
          <w:szCs w:val="20"/>
        </w:rPr>
        <w:t>. Por lo tanto, el Tribunal dispone que, conforme a su jurisprudencia, el Estado debe dejar sin efecto dicha sentencia en todos sus extremos, incluyendo los alcances que ésta tiene respecto de terceros, a saber: 1) la calificación del señor Kimel como autor del delito de calumnia; 2) la imposición de la pena de un año de prisión en suspenso, y 3) la condena al pago de $ 20.000,00 (veinte mil pesos argentinos). Para ello, el Estado cuenta con un plazo de seis meses a partir de la notificación de la presente Sentencia. Asimismo, el Estado debe eliminar inmediatamente el nombre del señor Kimel de los registros públicos en los que aparezca con antecedentes penales relacionados con el presente caso.</w:t>
      </w:r>
      <w:r w:rsidR="00F6706F" w:rsidRPr="00D86945">
        <w:rPr>
          <w:rFonts w:ascii="Verdana" w:hAnsi="Verdana"/>
          <w:sz w:val="20"/>
          <w:szCs w:val="20"/>
        </w:rPr>
        <w:t xml:space="preserve"> </w:t>
      </w:r>
      <w:r w:rsidR="00480384">
        <w:rPr>
          <w:rFonts w:ascii="Verdana" w:hAnsi="Verdana"/>
          <w:b/>
          <w:sz w:val="18"/>
          <w:szCs w:val="18"/>
        </w:rPr>
        <w:t>[</w:t>
      </w:r>
      <w:r w:rsidR="002A5747">
        <w:rPr>
          <w:rFonts w:ascii="Verdana" w:hAnsi="Verdana"/>
          <w:b/>
          <w:sz w:val="18"/>
          <w:szCs w:val="18"/>
        </w:rPr>
        <w:t>En similar sentido, ver entre otros:</w:t>
      </w:r>
      <w:r w:rsidR="00F6706F" w:rsidRPr="00D86945">
        <w:rPr>
          <w:rFonts w:ascii="Verdana" w:hAnsi="Verdana"/>
          <w:sz w:val="18"/>
          <w:szCs w:val="18"/>
        </w:rPr>
        <w:t xml:space="preserve"> </w:t>
      </w:r>
      <w:r w:rsidR="00F6706F" w:rsidRPr="00D86945">
        <w:rPr>
          <w:rFonts w:ascii="Verdana" w:hAnsi="Verdana"/>
          <w:b/>
          <w:sz w:val="18"/>
          <w:szCs w:val="18"/>
        </w:rPr>
        <w:t>Caso Tristán Donoso Vs. Panamá. Excepción Preliminar, Fondo, Reparaciones y Costas. Sentencia de 27 de enero de 2009. Serie C No. 193, párr.195</w:t>
      </w:r>
      <w:r w:rsidR="00480384">
        <w:rPr>
          <w:rFonts w:ascii="Verdana" w:hAnsi="Verdana"/>
          <w:b/>
          <w:sz w:val="18"/>
          <w:szCs w:val="18"/>
        </w:rPr>
        <w:t>]</w:t>
      </w:r>
      <w:r w:rsidR="00F6706F" w:rsidRPr="00D86945">
        <w:rPr>
          <w:rFonts w:ascii="Verdana" w:hAnsi="Verdana"/>
          <w:b/>
          <w:sz w:val="18"/>
          <w:szCs w:val="18"/>
        </w:rPr>
        <w:t>.</w:t>
      </w:r>
    </w:p>
    <w:p w14:paraId="7C8A581A" w14:textId="195B69FD" w:rsidR="0025360F" w:rsidRPr="00D86945" w:rsidRDefault="0025360F" w:rsidP="004F4FE7">
      <w:pPr>
        <w:spacing w:line="240" w:lineRule="auto"/>
        <w:ind w:right="49"/>
        <w:jc w:val="both"/>
        <w:rPr>
          <w:rFonts w:ascii="Verdana" w:hAnsi="Verdana"/>
          <w:b/>
          <w:bCs/>
          <w:sz w:val="20"/>
          <w:szCs w:val="20"/>
        </w:rPr>
      </w:pPr>
      <w:r w:rsidRPr="00D86945">
        <w:rPr>
          <w:rFonts w:ascii="Verdana" w:hAnsi="Verdana"/>
          <w:b/>
          <w:bCs/>
          <w:sz w:val="20"/>
          <w:szCs w:val="20"/>
        </w:rPr>
        <w:t xml:space="preserve">Corte IDH. Caso </w:t>
      </w:r>
      <w:proofErr w:type="spellStart"/>
      <w:r w:rsidRPr="00D86945">
        <w:rPr>
          <w:rFonts w:ascii="Verdana" w:hAnsi="Verdana"/>
          <w:b/>
          <w:bCs/>
          <w:sz w:val="20"/>
          <w:szCs w:val="20"/>
        </w:rPr>
        <w:t>Fontevecchia</w:t>
      </w:r>
      <w:proofErr w:type="spellEnd"/>
      <w:r w:rsidRPr="00D86945">
        <w:rPr>
          <w:rFonts w:ascii="Verdana" w:hAnsi="Verdana"/>
          <w:b/>
          <w:bCs/>
          <w:sz w:val="20"/>
          <w:szCs w:val="20"/>
        </w:rPr>
        <w:t xml:space="preserve"> y </w:t>
      </w:r>
      <w:proofErr w:type="spellStart"/>
      <w:r w:rsidRPr="00D86945">
        <w:rPr>
          <w:rFonts w:ascii="Verdana" w:hAnsi="Verdana"/>
          <w:b/>
          <w:bCs/>
          <w:sz w:val="20"/>
          <w:szCs w:val="20"/>
        </w:rPr>
        <w:t>D`Amico</w:t>
      </w:r>
      <w:proofErr w:type="spellEnd"/>
      <w:r w:rsidRPr="00D86945">
        <w:rPr>
          <w:rFonts w:ascii="Verdana" w:hAnsi="Verdana"/>
          <w:b/>
          <w:bCs/>
          <w:sz w:val="20"/>
          <w:szCs w:val="20"/>
        </w:rPr>
        <w:t xml:space="preserve"> Vs. Argentina. Fondo, Reparaciones y Costas. Sentencia de 29 de noviembre de 2011. Serie C No. 238.</w:t>
      </w:r>
    </w:p>
    <w:p w14:paraId="65C4E32D" w14:textId="7BC973D9" w:rsidR="0025360F" w:rsidRPr="00D86945" w:rsidRDefault="0025360F" w:rsidP="004F4FE7">
      <w:pPr>
        <w:spacing w:line="240" w:lineRule="auto"/>
        <w:ind w:right="49"/>
        <w:jc w:val="both"/>
        <w:rPr>
          <w:rFonts w:ascii="Verdana" w:hAnsi="Verdana"/>
          <w:sz w:val="20"/>
          <w:szCs w:val="20"/>
          <w:lang w:val="es-ES"/>
        </w:rPr>
      </w:pPr>
      <w:r w:rsidRPr="00D86945">
        <w:rPr>
          <w:rFonts w:ascii="Verdana" w:hAnsi="Verdana"/>
          <w:sz w:val="20"/>
          <w:szCs w:val="20"/>
          <w:lang w:val="es-ES"/>
        </w:rPr>
        <w:t>105.</w:t>
      </w:r>
      <w:r w:rsidRPr="00D86945">
        <w:rPr>
          <w:rFonts w:ascii="Verdana" w:hAnsi="Verdana"/>
          <w:sz w:val="20"/>
          <w:szCs w:val="20"/>
          <w:lang w:val="es-ES"/>
        </w:rPr>
        <w:tab/>
        <w:t xml:space="preserve">Esta Corte ha determinado que la sentencia emitida el 25 de septiembre de 2001 por la Corte Suprema de Justicia de la Nación que confirmó la condena impuesta por un tribunal de alzada, violó el derecho a la libertad de expresión de los señores Jorge </w:t>
      </w:r>
      <w:proofErr w:type="spellStart"/>
      <w:r w:rsidRPr="00D86945">
        <w:rPr>
          <w:rFonts w:ascii="Verdana" w:hAnsi="Verdana"/>
          <w:sz w:val="20"/>
          <w:szCs w:val="20"/>
          <w:lang w:val="es-ES"/>
        </w:rPr>
        <w:t>Fontevecchia</w:t>
      </w:r>
      <w:proofErr w:type="spellEnd"/>
      <w:r w:rsidRPr="00D86945">
        <w:rPr>
          <w:rFonts w:ascii="Verdana" w:hAnsi="Verdana"/>
          <w:sz w:val="20"/>
          <w:szCs w:val="20"/>
          <w:lang w:val="es-ES"/>
        </w:rPr>
        <w:t xml:space="preserve"> y Héctor </w:t>
      </w:r>
      <w:proofErr w:type="spellStart"/>
      <w:r w:rsidRPr="00D86945">
        <w:rPr>
          <w:rFonts w:ascii="Verdana" w:hAnsi="Verdana"/>
          <w:sz w:val="20"/>
          <w:szCs w:val="20"/>
          <w:lang w:val="es-ES"/>
        </w:rPr>
        <w:t>D´Amico</w:t>
      </w:r>
      <w:proofErr w:type="spellEnd"/>
      <w:r w:rsidRPr="00D86945">
        <w:rPr>
          <w:rFonts w:ascii="Verdana" w:hAnsi="Verdana"/>
          <w:sz w:val="20"/>
          <w:szCs w:val="20"/>
          <w:lang w:val="es-ES"/>
        </w:rPr>
        <w:t xml:space="preserve"> </w:t>
      </w:r>
      <w:r w:rsidR="005E0C2B">
        <w:rPr>
          <w:rFonts w:ascii="Verdana" w:hAnsi="Verdana"/>
          <w:sz w:val="20"/>
          <w:szCs w:val="20"/>
          <w:lang w:val="es-ES"/>
        </w:rPr>
        <w:t>[...]</w:t>
      </w:r>
      <w:r w:rsidRPr="00D86945">
        <w:rPr>
          <w:rFonts w:ascii="Verdana" w:hAnsi="Verdana"/>
          <w:sz w:val="20"/>
          <w:szCs w:val="20"/>
          <w:lang w:val="es-ES"/>
        </w:rPr>
        <w:t>. Por lo tanto, el Tribunal dispone, de conformidad con su jurisprudencia</w:t>
      </w:r>
      <w:r w:rsidR="00215583">
        <w:rPr>
          <w:rFonts w:ascii="Verdana" w:hAnsi="Verdana"/>
          <w:sz w:val="20"/>
          <w:szCs w:val="20"/>
          <w:lang w:val="es-ES"/>
        </w:rPr>
        <w:t>,</w:t>
      </w:r>
      <w:r w:rsidRPr="00D86945">
        <w:rPr>
          <w:rFonts w:ascii="Verdana" w:hAnsi="Verdana"/>
          <w:sz w:val="20"/>
          <w:szCs w:val="20"/>
          <w:lang w:val="es-ES"/>
        </w:rPr>
        <w:t xml:space="preserve"> que el Estado debe dejar sin efecto dichas </w:t>
      </w:r>
      <w:r w:rsidRPr="00D86945">
        <w:rPr>
          <w:rFonts w:ascii="Verdana" w:hAnsi="Verdana"/>
          <w:sz w:val="20"/>
          <w:szCs w:val="20"/>
          <w:lang w:val="es-ES"/>
        </w:rPr>
        <w:lastRenderedPageBreak/>
        <w:t xml:space="preserve">sentencias en todos sus extremos, incluyendo, en su caso, los alcances que estas tengan respecto de terceros; a saber: a) la atribución de responsabilidad civil de los señores Jorge </w:t>
      </w:r>
      <w:proofErr w:type="spellStart"/>
      <w:r w:rsidRPr="00D86945">
        <w:rPr>
          <w:rFonts w:ascii="Verdana" w:hAnsi="Verdana"/>
          <w:sz w:val="20"/>
          <w:szCs w:val="20"/>
          <w:lang w:val="es-ES"/>
        </w:rPr>
        <w:t>Fontevecchia</w:t>
      </w:r>
      <w:proofErr w:type="spellEnd"/>
      <w:r w:rsidRPr="00D86945">
        <w:rPr>
          <w:rFonts w:ascii="Verdana" w:hAnsi="Verdana"/>
          <w:sz w:val="20"/>
          <w:szCs w:val="20"/>
          <w:lang w:val="es-ES"/>
        </w:rPr>
        <w:t xml:space="preserve"> y Héctor </w:t>
      </w:r>
      <w:proofErr w:type="spellStart"/>
      <w:r w:rsidRPr="00D86945">
        <w:rPr>
          <w:rFonts w:ascii="Verdana" w:hAnsi="Verdana"/>
          <w:sz w:val="20"/>
          <w:szCs w:val="20"/>
          <w:lang w:val="es-ES"/>
        </w:rPr>
        <w:t>D’Amico</w:t>
      </w:r>
      <w:proofErr w:type="spellEnd"/>
      <w:r w:rsidRPr="00D86945">
        <w:rPr>
          <w:rFonts w:ascii="Verdana" w:hAnsi="Verdana"/>
          <w:sz w:val="20"/>
          <w:szCs w:val="20"/>
          <w:lang w:val="es-ES"/>
        </w:rPr>
        <w:t>; b) la condena al pago de una indemnización, de intereses y costas y de la tasa de justicia; tales montos deberán ser reintegrados con los intereses y actualizaciones que correspondan de acuerdo al derecho interno, y c) así como cualquier otro efecto que tengan o hayan tenido aquellas decisiones. A efectos de cumplir la presente reparación, el Estado debe adoptar todas las medidas judiciales, administrativas y de cualquier otra índole que sean necesarias, y cuenta para ello con el plazo de un año a partir de la notificación de la presente Sentencia.</w:t>
      </w:r>
    </w:p>
    <w:p w14:paraId="5E7C4664" w14:textId="18001BF3" w:rsidR="00EC1CAD" w:rsidRPr="00D86945" w:rsidRDefault="002F2BB3" w:rsidP="004F4FE7">
      <w:pPr>
        <w:pStyle w:val="Textoindependiente3"/>
        <w:tabs>
          <w:tab w:val="left" w:pos="720"/>
        </w:tabs>
        <w:spacing w:before="40" w:after="40" w:line="240" w:lineRule="auto"/>
        <w:ind w:right="51"/>
        <w:jc w:val="both"/>
        <w:rPr>
          <w:rFonts w:ascii="Verdana" w:hAnsi="Verdana"/>
          <w:b/>
          <w:bCs/>
          <w:sz w:val="20"/>
          <w:szCs w:val="20"/>
          <w:lang w:val="es-ES"/>
        </w:rPr>
      </w:pPr>
      <w:r w:rsidRPr="00D86945">
        <w:rPr>
          <w:rFonts w:ascii="Verdana" w:hAnsi="Verdana"/>
          <w:b/>
          <w:bCs/>
          <w:sz w:val="20"/>
          <w:szCs w:val="20"/>
          <w:lang w:val="es-ES"/>
        </w:rPr>
        <w:t>Corte IDH. Caso Álvarez Ramos Vs. Venezuela. Excepción Preliminar, Fondo, Reparaciones y Costas. Sentencia de 30 de agosto de 2019. Serie C No. 380.</w:t>
      </w:r>
    </w:p>
    <w:p w14:paraId="289C8428" w14:textId="77777777" w:rsidR="002F2BB3" w:rsidRPr="00D86945" w:rsidRDefault="002F2BB3" w:rsidP="004F4FE7">
      <w:pPr>
        <w:pStyle w:val="Textoindependiente3"/>
        <w:tabs>
          <w:tab w:val="left" w:pos="720"/>
        </w:tabs>
        <w:spacing w:before="40" w:after="40" w:line="240" w:lineRule="auto"/>
        <w:ind w:right="51"/>
        <w:jc w:val="both"/>
        <w:rPr>
          <w:rFonts w:ascii="Verdana" w:hAnsi="Verdana"/>
          <w:sz w:val="20"/>
          <w:szCs w:val="20"/>
          <w:lang w:val="es-ES"/>
        </w:rPr>
      </w:pPr>
    </w:p>
    <w:p w14:paraId="5F99728D" w14:textId="1D92ED0B" w:rsidR="002F2BB3" w:rsidRPr="00D86945" w:rsidRDefault="002F2BB3" w:rsidP="004F4FE7">
      <w:pPr>
        <w:pStyle w:val="Textoindependiente3"/>
        <w:tabs>
          <w:tab w:val="left" w:pos="720"/>
        </w:tabs>
        <w:spacing w:before="40" w:after="40" w:line="240" w:lineRule="auto"/>
        <w:ind w:right="51"/>
        <w:jc w:val="both"/>
        <w:rPr>
          <w:rFonts w:ascii="Verdana" w:hAnsi="Verdana"/>
          <w:sz w:val="20"/>
          <w:szCs w:val="20"/>
          <w:lang w:val="es-ES"/>
        </w:rPr>
      </w:pPr>
      <w:r w:rsidRPr="00D86945">
        <w:rPr>
          <w:rFonts w:ascii="Verdana" w:hAnsi="Verdana"/>
          <w:sz w:val="20"/>
          <w:szCs w:val="20"/>
          <w:lang w:val="es-ES"/>
        </w:rPr>
        <w:t>202.</w:t>
      </w:r>
      <w:r w:rsidRPr="00D86945">
        <w:rPr>
          <w:rFonts w:ascii="Verdana" w:hAnsi="Verdana"/>
          <w:sz w:val="20"/>
          <w:szCs w:val="20"/>
          <w:lang w:val="es-ES"/>
        </w:rPr>
        <w:tab/>
        <w:t xml:space="preserve">En la presente Sentencia, la Corte declaró al Estado responsable por la violación de los derechos a la libertad de expresión, a las garantías judiciales, a la libertad de circulación y residencia y derechos políticos, todos previstos en la Convención Americana. La Corte advierte que en este caso, al momento de la emisión de la presente Sentencia, el señor Álvarez ha cumplido con la totalidad de su condena. </w:t>
      </w:r>
    </w:p>
    <w:p w14:paraId="1CCC734D" w14:textId="77777777" w:rsidR="002F2BB3" w:rsidRPr="00D86945" w:rsidRDefault="002F2BB3" w:rsidP="004F4FE7">
      <w:pPr>
        <w:pStyle w:val="Textoindependiente3"/>
        <w:tabs>
          <w:tab w:val="left" w:pos="720"/>
        </w:tabs>
        <w:spacing w:before="40" w:after="40" w:line="240" w:lineRule="auto"/>
        <w:ind w:right="51"/>
        <w:jc w:val="both"/>
        <w:rPr>
          <w:rFonts w:ascii="Verdana" w:hAnsi="Verdana"/>
          <w:sz w:val="20"/>
          <w:szCs w:val="20"/>
          <w:lang w:val="es-ES"/>
        </w:rPr>
      </w:pPr>
    </w:p>
    <w:p w14:paraId="573CF691" w14:textId="6A700FE9" w:rsidR="002F2BB3" w:rsidRPr="00D86945" w:rsidRDefault="002F2BB3" w:rsidP="004F4FE7">
      <w:pPr>
        <w:pStyle w:val="Textoindependiente3"/>
        <w:tabs>
          <w:tab w:val="left" w:pos="720"/>
        </w:tabs>
        <w:spacing w:before="40" w:after="40" w:line="240" w:lineRule="auto"/>
        <w:ind w:right="51"/>
        <w:jc w:val="both"/>
        <w:rPr>
          <w:rFonts w:ascii="Verdana" w:hAnsi="Verdana"/>
          <w:sz w:val="20"/>
          <w:szCs w:val="20"/>
          <w:lang w:val="es-ES"/>
        </w:rPr>
      </w:pPr>
      <w:r w:rsidRPr="00D86945">
        <w:rPr>
          <w:rFonts w:ascii="Verdana" w:hAnsi="Verdana"/>
          <w:sz w:val="20"/>
          <w:szCs w:val="20"/>
          <w:lang w:val="es-ES"/>
        </w:rPr>
        <w:t>203.</w:t>
      </w:r>
      <w:r w:rsidRPr="00D86945">
        <w:rPr>
          <w:rFonts w:ascii="Verdana" w:hAnsi="Verdana"/>
          <w:sz w:val="20"/>
          <w:szCs w:val="20"/>
          <w:lang w:val="es-ES"/>
        </w:rPr>
        <w:tab/>
        <w:t>En consecuencia, en virtud de las violaciones acreditadas, de las especificidades del caso, el transcurso del tiempo y sus consecuencias procesales, la Corte determina que el Estado debe adoptar todas las medidas necesarias para dejar sin efecto la sentencia contra señor Álvarez y las consecuencias que de ella se derivan, así como los antecedentes judiciales o administrativos, penales, electorales o policiales, que existan en su contra a raíz de dicho proceso. Para ello, el Estado cuenta con un plazo de un año contado a partir de la notificación de la presente Sentencia.</w:t>
      </w:r>
    </w:p>
    <w:p w14:paraId="0C304C23" w14:textId="77AE0BAF" w:rsidR="00A8287E" w:rsidRPr="00D86945" w:rsidRDefault="00A8287E" w:rsidP="00BF3BF6">
      <w:pPr>
        <w:pStyle w:val="Ttulo2"/>
      </w:pPr>
      <w:bookmarkStart w:id="31" w:name="_Toc89691483"/>
      <w:r w:rsidRPr="00D86945">
        <w:t>Capacitación a funcionarios públicos sobre el derecho de acceso a la información</w:t>
      </w:r>
      <w:bookmarkEnd w:id="31"/>
    </w:p>
    <w:p w14:paraId="37F07286" w14:textId="00A905C6" w:rsidR="00A8287E" w:rsidRPr="00D86945" w:rsidRDefault="00A8287E" w:rsidP="004F4FE7">
      <w:pPr>
        <w:spacing w:line="240" w:lineRule="auto"/>
        <w:jc w:val="both"/>
        <w:rPr>
          <w:rFonts w:ascii="Verdana" w:eastAsia="Times New Roman" w:hAnsi="Verdana" w:cs="Times New Roman"/>
          <w:sz w:val="20"/>
          <w:szCs w:val="20"/>
          <w:lang w:eastAsia="es-ES_tradnl"/>
        </w:rPr>
      </w:pPr>
      <w:r w:rsidRPr="00D86945">
        <w:rPr>
          <w:rFonts w:ascii="Verdana" w:eastAsia="Times New Roman" w:hAnsi="Verdana" w:cs="Times New Roman"/>
          <w:b/>
          <w:bCs/>
          <w:sz w:val="20"/>
          <w:szCs w:val="20"/>
          <w:shd w:val="clear" w:color="auto" w:fill="FFFFFF"/>
          <w:lang w:eastAsia="es-ES_tradnl"/>
        </w:rPr>
        <w:t>Corte IDH. Caso Claude Reyes y otros Vs. Chile. Fondo, Reparaciones y Costas. Sentencia de 19 de septiembre de 2006. Serie C No. 151</w:t>
      </w:r>
      <w:r w:rsidR="00EB1BB2" w:rsidRPr="00D86945">
        <w:rPr>
          <w:rFonts w:ascii="Verdana" w:eastAsia="Times New Roman" w:hAnsi="Verdana" w:cs="Times New Roman"/>
          <w:b/>
          <w:bCs/>
          <w:sz w:val="20"/>
          <w:szCs w:val="20"/>
          <w:shd w:val="clear" w:color="auto" w:fill="FFFFFF"/>
          <w:lang w:eastAsia="es-ES_tradnl"/>
        </w:rPr>
        <w:t>.</w:t>
      </w:r>
    </w:p>
    <w:p w14:paraId="63288892" w14:textId="6886D589" w:rsidR="00A8287E" w:rsidRPr="00D86945" w:rsidRDefault="00A8287E" w:rsidP="004F4FE7">
      <w:pPr>
        <w:autoSpaceDE w:val="0"/>
        <w:autoSpaceDN w:val="0"/>
        <w:adjustRightInd w:val="0"/>
        <w:spacing w:before="40" w:after="40" w:line="240" w:lineRule="auto"/>
        <w:ind w:right="49"/>
        <w:jc w:val="both"/>
        <w:rPr>
          <w:rFonts w:ascii="Verdana" w:hAnsi="Verdana" w:cs="Times New Roman"/>
          <w:sz w:val="20"/>
          <w:szCs w:val="20"/>
        </w:rPr>
      </w:pPr>
      <w:r w:rsidRPr="00D86945">
        <w:rPr>
          <w:rFonts w:ascii="Verdana" w:hAnsi="Verdana" w:cs="Times New Roman"/>
          <w:sz w:val="20"/>
          <w:szCs w:val="20"/>
        </w:rPr>
        <w:t>164.</w:t>
      </w:r>
      <w:r w:rsidRPr="00D86945">
        <w:rPr>
          <w:rFonts w:ascii="Verdana" w:hAnsi="Verdana" w:cs="Times New Roman"/>
          <w:sz w:val="20"/>
          <w:szCs w:val="20"/>
        </w:rPr>
        <w:tab/>
        <w:t xml:space="preserve">En el presente caso la autoridad administrativa encargada de resolver la solicitud de información de los señores Claude Reyes y </w:t>
      </w:r>
      <w:proofErr w:type="spellStart"/>
      <w:r w:rsidRPr="00D86945">
        <w:rPr>
          <w:rFonts w:ascii="Verdana" w:hAnsi="Verdana" w:cs="Times New Roman"/>
          <w:sz w:val="20"/>
          <w:szCs w:val="20"/>
        </w:rPr>
        <w:t>Longton</w:t>
      </w:r>
      <w:proofErr w:type="spellEnd"/>
      <w:r w:rsidRPr="00D86945">
        <w:rPr>
          <w:rFonts w:ascii="Verdana" w:hAnsi="Verdana" w:cs="Times New Roman"/>
          <w:sz w:val="20"/>
          <w:szCs w:val="20"/>
        </w:rPr>
        <w:t xml:space="preserve"> Guerrero observó una actitud </w:t>
      </w:r>
      <w:proofErr w:type="spellStart"/>
      <w:r w:rsidRPr="00D86945">
        <w:rPr>
          <w:rFonts w:ascii="Verdana" w:hAnsi="Verdana" w:cs="Times New Roman"/>
          <w:sz w:val="20"/>
          <w:szCs w:val="20"/>
        </w:rPr>
        <w:t>vulneratoria</w:t>
      </w:r>
      <w:proofErr w:type="spellEnd"/>
      <w:r w:rsidRPr="00D86945">
        <w:rPr>
          <w:rFonts w:ascii="Verdana" w:hAnsi="Verdana" w:cs="Times New Roman"/>
          <w:sz w:val="20"/>
          <w:szCs w:val="20"/>
        </w:rPr>
        <w:t xml:space="preserve"> del derecho de acceso a la información bajo el control del Estado.</w:t>
      </w:r>
      <w:r w:rsidR="00D35646" w:rsidRPr="00D86945">
        <w:rPr>
          <w:rFonts w:ascii="Verdana" w:hAnsi="Verdana" w:cs="Times New Roman"/>
          <w:sz w:val="20"/>
          <w:szCs w:val="20"/>
        </w:rPr>
        <w:t xml:space="preserve"> </w:t>
      </w:r>
      <w:r w:rsidRPr="00D86945">
        <w:rPr>
          <w:rFonts w:ascii="Verdana" w:hAnsi="Verdana" w:cs="Times New Roman"/>
          <w:sz w:val="20"/>
          <w:szCs w:val="20"/>
        </w:rPr>
        <w:t>Al respecto, este Tribunal observa con preocupación que diversos elementos probatorios aportados al expediente de este caso coinciden en afirmar que los funcionarios públicos no responden efectivamente a solicitudes de información.</w:t>
      </w:r>
    </w:p>
    <w:p w14:paraId="250C4499" w14:textId="77777777" w:rsidR="00A8287E" w:rsidRPr="00D86945" w:rsidRDefault="00A8287E" w:rsidP="004F4FE7">
      <w:pPr>
        <w:autoSpaceDE w:val="0"/>
        <w:autoSpaceDN w:val="0"/>
        <w:adjustRightInd w:val="0"/>
        <w:spacing w:before="40" w:after="40" w:line="240" w:lineRule="auto"/>
        <w:ind w:right="49"/>
        <w:jc w:val="both"/>
        <w:rPr>
          <w:rFonts w:ascii="Verdana" w:hAnsi="Verdana" w:cs="Times New Roman"/>
          <w:sz w:val="20"/>
          <w:szCs w:val="20"/>
        </w:rPr>
      </w:pPr>
    </w:p>
    <w:p w14:paraId="62B06936" w14:textId="71542A73" w:rsidR="00A8287E" w:rsidRPr="00D86945" w:rsidRDefault="00A8287E" w:rsidP="004F4FE7">
      <w:pPr>
        <w:autoSpaceDE w:val="0"/>
        <w:autoSpaceDN w:val="0"/>
        <w:adjustRightInd w:val="0"/>
        <w:spacing w:before="40" w:after="40" w:line="240" w:lineRule="auto"/>
        <w:ind w:right="49"/>
        <w:jc w:val="both"/>
        <w:rPr>
          <w:rFonts w:ascii="Verdana" w:hAnsi="Verdana" w:cs="Times New Roman"/>
          <w:sz w:val="20"/>
          <w:szCs w:val="20"/>
        </w:rPr>
      </w:pPr>
      <w:r w:rsidRPr="00D86945">
        <w:rPr>
          <w:rFonts w:ascii="Verdana" w:hAnsi="Verdana" w:cs="Times New Roman"/>
          <w:sz w:val="20"/>
          <w:szCs w:val="20"/>
        </w:rPr>
        <w:t>165.</w:t>
      </w:r>
      <w:r w:rsidRPr="00D86945">
        <w:rPr>
          <w:rFonts w:ascii="Verdana" w:hAnsi="Verdana" w:cs="Times New Roman"/>
          <w:sz w:val="20"/>
          <w:szCs w:val="20"/>
        </w:rPr>
        <w:tab/>
        <w:t xml:space="preserve">La Corte considera que el Estado debe realizar, en un plazo razonable, la capacitación a los órganos, autoridades y agentes públicos encargados de atender las solicitudes de acceso a información bajo control del Estado sobre la normativa que rige este derecho, que incorpore los parámetros convencionales que deben respetarse en materia de restricciones al acceso a dicha información </w:t>
      </w:r>
      <w:r w:rsidR="005E0C2B">
        <w:rPr>
          <w:rFonts w:ascii="Verdana" w:hAnsi="Verdana" w:cs="Times New Roman"/>
          <w:sz w:val="20"/>
          <w:szCs w:val="20"/>
        </w:rPr>
        <w:t>[...]</w:t>
      </w:r>
      <w:r w:rsidRPr="00D86945">
        <w:rPr>
          <w:rFonts w:ascii="Verdana" w:hAnsi="Verdana" w:cs="Times New Roman"/>
          <w:sz w:val="20"/>
          <w:szCs w:val="20"/>
        </w:rPr>
        <w:t xml:space="preserve">. </w:t>
      </w:r>
    </w:p>
    <w:p w14:paraId="6F6C1207" w14:textId="19B0325C" w:rsidR="006A6F97" w:rsidRPr="00D86945" w:rsidRDefault="006A6F97" w:rsidP="004F4FE7">
      <w:pPr>
        <w:spacing w:line="240" w:lineRule="auto"/>
        <w:ind w:right="49"/>
        <w:jc w:val="both"/>
        <w:rPr>
          <w:rFonts w:ascii="Verdana" w:hAnsi="Verdana" w:cs="Times New Roman"/>
          <w:b/>
          <w:sz w:val="20"/>
          <w:szCs w:val="20"/>
          <w:lang w:val="es-ES"/>
        </w:rPr>
      </w:pPr>
    </w:p>
    <w:sectPr w:rsidR="006A6F97" w:rsidRPr="00D86945" w:rsidSect="00EA462A">
      <w:footerReference w:type="even" r:id="rId8"/>
      <w:footerReference w:type="default" r:id="rId9"/>
      <w:pgSz w:w="11900" w:h="16840" w:code="9"/>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8646E" w14:textId="77777777" w:rsidR="009F36E7" w:rsidRDefault="009F36E7" w:rsidP="00805A05">
      <w:r>
        <w:separator/>
      </w:r>
    </w:p>
  </w:endnote>
  <w:endnote w:type="continuationSeparator" w:id="0">
    <w:p w14:paraId="5375159D" w14:textId="77777777" w:rsidR="009F36E7" w:rsidRDefault="009F36E7" w:rsidP="00805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Títulos en alf">
    <w:altName w:val="Times New Roman"/>
    <w:panose1 w:val="020B0604020202020204"/>
    <w:charset w:val="00"/>
    <w:family w:val="roman"/>
    <w:notTrueType/>
    <w:pitch w:val="default"/>
  </w:font>
  <w:font w:name="New York">
    <w:altName w:val="Times New Roman"/>
    <w:panose1 w:val="020B0604020202020204"/>
    <w:charset w:val="4D"/>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Palatino">
    <w:panose1 w:val="00000000000000000000"/>
    <w:charset w:val="4D"/>
    <w:family w:val="auto"/>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Helvetica-Oblique">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63A52" w14:textId="77777777" w:rsidR="00EF57C8" w:rsidRDefault="00EF57C8" w:rsidP="00D31006">
    <w:pPr>
      <w:pStyle w:val="Piedepgina"/>
      <w:framePr w:wrap="none"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BDCCBE0" w14:textId="77777777" w:rsidR="00EF57C8" w:rsidRDefault="00EF57C8" w:rsidP="0056673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7DB19" w14:textId="77777777" w:rsidR="00EF57C8" w:rsidRDefault="00EF57C8" w:rsidP="00D31006">
    <w:pPr>
      <w:pStyle w:val="Piedepgina"/>
      <w:framePr w:wrap="none"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6</w:t>
    </w:r>
    <w:r>
      <w:rPr>
        <w:rStyle w:val="Nmerodepgina"/>
      </w:rPr>
      <w:fldChar w:fldCharType="end"/>
    </w:r>
  </w:p>
  <w:p w14:paraId="6B823B9F" w14:textId="77777777" w:rsidR="00EF57C8" w:rsidRDefault="00EF57C8" w:rsidP="00D54915">
    <w:pPr>
      <w:pStyle w:val="Piedepgina"/>
      <w:pBdr>
        <w:top w:val="single" w:sz="24" w:space="1" w:color="auto"/>
      </w:pBd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ACD5E" w14:textId="77777777" w:rsidR="009F36E7" w:rsidRDefault="009F36E7" w:rsidP="00805A05">
      <w:r>
        <w:separator/>
      </w:r>
    </w:p>
  </w:footnote>
  <w:footnote w:type="continuationSeparator" w:id="0">
    <w:p w14:paraId="1BE64CB2" w14:textId="77777777" w:rsidR="009F36E7" w:rsidRDefault="009F36E7" w:rsidP="00805A05">
      <w:r>
        <w:continuationSeparator/>
      </w:r>
    </w:p>
  </w:footnote>
  <w:footnote w:id="1">
    <w:p w14:paraId="4595A754" w14:textId="213CA10C" w:rsidR="00EF57C8" w:rsidRPr="00EA462A" w:rsidRDefault="00EF57C8" w:rsidP="00EA462A">
      <w:pPr>
        <w:pStyle w:val="Textonotapie"/>
        <w:spacing w:line="240" w:lineRule="auto"/>
        <w:jc w:val="both"/>
        <w:rPr>
          <w:rFonts w:ascii="Verdana" w:hAnsi="Verdana"/>
          <w:sz w:val="16"/>
          <w:szCs w:val="16"/>
          <w:lang w:val="es-ES_tradnl"/>
        </w:rPr>
      </w:pPr>
      <w:r w:rsidRPr="00EA462A">
        <w:rPr>
          <w:rStyle w:val="Refdenotaalpie"/>
          <w:rFonts w:ascii="Verdana" w:hAnsi="Verdana"/>
          <w:sz w:val="16"/>
          <w:szCs w:val="16"/>
        </w:rPr>
        <w:footnoteRef/>
      </w:r>
      <w:r w:rsidR="00EA462A">
        <w:rPr>
          <w:rFonts w:ascii="Verdana" w:hAnsi="Verdana"/>
          <w:sz w:val="16"/>
          <w:szCs w:val="16"/>
          <w:lang w:val="es-ES_tradnl"/>
        </w:rPr>
        <w:t xml:space="preserve"> </w:t>
      </w:r>
      <w:r w:rsidR="00EA462A" w:rsidRPr="00EA462A">
        <w:rPr>
          <w:rFonts w:ascii="Verdana" w:hAnsi="Verdana"/>
          <w:sz w:val="16"/>
          <w:szCs w:val="16"/>
          <w:lang w:val="es-ES_tradnl"/>
        </w:rPr>
        <w:t>Este caso se refiere a la responsabilidad internacional del Estado por la violación</w:t>
      </w:r>
      <w:r w:rsidR="00DD0B03">
        <w:rPr>
          <w:rFonts w:ascii="Verdana" w:hAnsi="Verdana"/>
          <w:sz w:val="16"/>
          <w:szCs w:val="16"/>
          <w:lang w:val="es-ES_tradnl"/>
        </w:rPr>
        <w:t xml:space="preserve"> del derecho a la libertad de expresión por censura previa que se consagraba en la Constitución del Estado. La Corte dictaminó la violación del art. 13 de la CADH.</w:t>
      </w:r>
    </w:p>
  </w:footnote>
  <w:footnote w:id="2">
    <w:p w14:paraId="25DD5CA8" w14:textId="6081E069" w:rsidR="00EF57C8" w:rsidRPr="00EA462A" w:rsidRDefault="00EF57C8" w:rsidP="00DD0B03">
      <w:pPr>
        <w:pStyle w:val="Textonotapie"/>
        <w:spacing w:line="240" w:lineRule="auto"/>
        <w:jc w:val="both"/>
        <w:rPr>
          <w:rFonts w:ascii="Verdana" w:hAnsi="Verdana"/>
          <w:sz w:val="16"/>
          <w:szCs w:val="16"/>
          <w:lang w:val="es-ES_tradnl"/>
        </w:rPr>
      </w:pPr>
      <w:r w:rsidRPr="00EA462A">
        <w:rPr>
          <w:rStyle w:val="Refdenotaalpie"/>
          <w:rFonts w:ascii="Verdana" w:hAnsi="Verdana"/>
          <w:sz w:val="16"/>
          <w:szCs w:val="16"/>
        </w:rPr>
        <w:footnoteRef/>
      </w:r>
      <w:r w:rsidR="00DD0B03">
        <w:rPr>
          <w:rFonts w:ascii="Verdana" w:hAnsi="Verdana"/>
          <w:sz w:val="16"/>
          <w:szCs w:val="16"/>
          <w:lang w:val="es-ES_tradnl"/>
        </w:rPr>
        <w:t xml:space="preserve"> </w:t>
      </w:r>
      <w:r w:rsidR="00DD0B03" w:rsidRPr="00DD0B03">
        <w:rPr>
          <w:rFonts w:ascii="Verdana" w:hAnsi="Verdana"/>
          <w:sz w:val="16"/>
          <w:szCs w:val="16"/>
          <w:lang w:val="es-ES_tradnl"/>
        </w:rPr>
        <w:t>Este caso se refiere a la responsabilidad internacional del Estado por la violación</w:t>
      </w:r>
      <w:r w:rsidR="00DD0B03">
        <w:rPr>
          <w:rFonts w:ascii="Verdana" w:hAnsi="Verdana"/>
          <w:sz w:val="16"/>
          <w:szCs w:val="16"/>
          <w:lang w:val="es-ES_tradnl"/>
        </w:rPr>
        <w:t xml:space="preserve"> d</w:t>
      </w:r>
      <w:r w:rsidR="00DD0B03" w:rsidRPr="00DD0B03">
        <w:rPr>
          <w:rFonts w:ascii="Verdana" w:hAnsi="Verdana"/>
          <w:sz w:val="16"/>
          <w:szCs w:val="16"/>
          <w:lang w:val="es-ES_tradnl"/>
        </w:rPr>
        <w:t>el derecho a la nacionalidad consagrado en el artículo 20.1 y 20.3</w:t>
      </w:r>
      <w:r w:rsidR="00DD0B03">
        <w:rPr>
          <w:rFonts w:ascii="Verdana" w:hAnsi="Verdana"/>
          <w:sz w:val="16"/>
          <w:szCs w:val="16"/>
          <w:lang w:val="es-ES_tradnl"/>
        </w:rPr>
        <w:t xml:space="preserve">, </w:t>
      </w:r>
      <w:r w:rsidR="00DD0B03" w:rsidRPr="00DD0B03">
        <w:rPr>
          <w:rFonts w:ascii="Verdana" w:hAnsi="Verdana"/>
          <w:sz w:val="16"/>
          <w:szCs w:val="16"/>
          <w:lang w:val="es-ES_tradnl"/>
        </w:rPr>
        <w:t>el derecho a las garantías judiciales consagrado en el artículo 8.1 y 8.2</w:t>
      </w:r>
      <w:r w:rsidR="00DD0B03">
        <w:rPr>
          <w:rFonts w:ascii="Verdana" w:hAnsi="Verdana"/>
          <w:sz w:val="16"/>
          <w:szCs w:val="16"/>
          <w:lang w:val="es-ES_tradnl"/>
        </w:rPr>
        <w:t xml:space="preserve">, </w:t>
      </w:r>
      <w:r w:rsidR="00DD0B03" w:rsidRPr="00DD0B03">
        <w:rPr>
          <w:rFonts w:ascii="Verdana" w:hAnsi="Verdana"/>
          <w:sz w:val="16"/>
          <w:szCs w:val="16"/>
          <w:lang w:val="es-ES_tradnl"/>
        </w:rPr>
        <w:t>el derecho a la protección judicial consagrado en el artículo 25.1</w:t>
      </w:r>
      <w:r w:rsidR="00DD0B03">
        <w:rPr>
          <w:rFonts w:ascii="Verdana" w:hAnsi="Verdana"/>
          <w:sz w:val="16"/>
          <w:szCs w:val="16"/>
          <w:lang w:val="es-ES_tradnl"/>
        </w:rPr>
        <w:t xml:space="preserve">, </w:t>
      </w:r>
      <w:r w:rsidR="00DD0B03" w:rsidRPr="00DD0B03">
        <w:rPr>
          <w:rFonts w:ascii="Verdana" w:hAnsi="Verdana"/>
          <w:sz w:val="16"/>
          <w:szCs w:val="16"/>
          <w:lang w:val="es-ES_tradnl"/>
        </w:rPr>
        <w:t>el derecho a la propiedad privada consagrado en el artículo 21.1 y 21.2</w:t>
      </w:r>
      <w:r w:rsidR="00DD0B03">
        <w:rPr>
          <w:rFonts w:ascii="Verdana" w:hAnsi="Verdana"/>
          <w:sz w:val="16"/>
          <w:szCs w:val="16"/>
          <w:lang w:val="es-ES_tradnl"/>
        </w:rPr>
        <w:t xml:space="preserve">, </w:t>
      </w:r>
      <w:r w:rsidR="00DD0B03" w:rsidRPr="00DD0B03">
        <w:rPr>
          <w:rFonts w:ascii="Verdana" w:hAnsi="Verdana"/>
          <w:sz w:val="16"/>
          <w:szCs w:val="16"/>
          <w:lang w:val="es-ES_tradnl"/>
        </w:rPr>
        <w:t xml:space="preserve">el derecho a la libertad de expresión consagrado en el artículo 13.1 y 13.3 de la Convención Americana sobre Derechos Humanos, en perjuicio de Baruch </w:t>
      </w:r>
      <w:proofErr w:type="spellStart"/>
      <w:r w:rsidR="00DD0B03" w:rsidRPr="00DD0B03">
        <w:rPr>
          <w:rFonts w:ascii="Verdana" w:hAnsi="Verdana"/>
          <w:sz w:val="16"/>
          <w:szCs w:val="16"/>
          <w:lang w:val="es-ES_tradnl"/>
        </w:rPr>
        <w:t>Ivcher</w:t>
      </w:r>
      <w:proofErr w:type="spellEnd"/>
      <w:r w:rsidR="00DD0B03" w:rsidRPr="00DD0B03">
        <w:rPr>
          <w:rFonts w:ascii="Verdana" w:hAnsi="Verdana"/>
          <w:sz w:val="16"/>
          <w:szCs w:val="16"/>
          <w:lang w:val="es-ES_tradnl"/>
        </w:rPr>
        <w:t xml:space="preserve"> </w:t>
      </w:r>
      <w:proofErr w:type="spellStart"/>
      <w:r w:rsidR="00DD0B03" w:rsidRPr="00DD0B03">
        <w:rPr>
          <w:rFonts w:ascii="Verdana" w:hAnsi="Verdana"/>
          <w:sz w:val="16"/>
          <w:szCs w:val="16"/>
          <w:lang w:val="es-ES_tradnl"/>
        </w:rPr>
        <w:t>Bronstein</w:t>
      </w:r>
      <w:proofErr w:type="spellEnd"/>
      <w:r w:rsidR="00DD0B03" w:rsidRPr="00DD0B03">
        <w:rPr>
          <w:rFonts w:ascii="Verdana" w:hAnsi="Verdana"/>
          <w:sz w:val="16"/>
          <w:szCs w:val="16"/>
          <w:lang w:val="es-ES_tradnl"/>
        </w:rPr>
        <w:t xml:space="preserve">. </w:t>
      </w:r>
      <w:proofErr w:type="spellStart"/>
      <w:r w:rsidR="00DD0B03">
        <w:rPr>
          <w:rFonts w:ascii="Verdana" w:hAnsi="Verdana"/>
          <w:sz w:val="16"/>
          <w:szCs w:val="16"/>
          <w:lang w:val="es-ES_tradnl"/>
        </w:rPr>
        <w:t>Tdoo</w:t>
      </w:r>
      <w:proofErr w:type="spellEnd"/>
      <w:r w:rsidR="00DD0B03">
        <w:rPr>
          <w:rFonts w:ascii="Verdana" w:hAnsi="Verdana"/>
          <w:sz w:val="16"/>
          <w:szCs w:val="16"/>
          <w:lang w:val="es-ES_tradnl"/>
        </w:rPr>
        <w:t xml:space="preserve"> ello en concordancia con la </w:t>
      </w:r>
      <w:r w:rsidR="00DD0B03" w:rsidRPr="00DD0B03">
        <w:rPr>
          <w:rFonts w:ascii="Verdana" w:hAnsi="Verdana"/>
          <w:sz w:val="16"/>
          <w:szCs w:val="16"/>
          <w:lang w:val="es-ES_tradnl"/>
        </w:rPr>
        <w:t>obligación general del artículo 1.1 de la Convención Americana sobre Derechos Humanos en conexión con las violaciones de los derechos sustantivos</w:t>
      </w:r>
      <w:r w:rsidRPr="00EA462A">
        <w:rPr>
          <w:rFonts w:ascii="Verdana" w:hAnsi="Verdana"/>
          <w:sz w:val="16"/>
          <w:szCs w:val="16"/>
          <w:lang w:val="es-ES_tradnl"/>
        </w:rPr>
        <w:t>.</w:t>
      </w:r>
    </w:p>
  </w:footnote>
  <w:footnote w:id="3">
    <w:p w14:paraId="16165859" w14:textId="4C48D7B1" w:rsidR="00EF57C8" w:rsidRPr="00EA462A" w:rsidRDefault="00EF57C8" w:rsidP="00EA462A">
      <w:pPr>
        <w:pStyle w:val="Textonotapie"/>
        <w:spacing w:line="240" w:lineRule="auto"/>
        <w:jc w:val="both"/>
        <w:rPr>
          <w:rFonts w:ascii="Verdana" w:hAnsi="Verdana"/>
          <w:sz w:val="16"/>
          <w:szCs w:val="16"/>
          <w:lang w:val="es-ES_tradnl"/>
        </w:rPr>
      </w:pPr>
      <w:r w:rsidRPr="00EA462A">
        <w:rPr>
          <w:rStyle w:val="Refdenotaalpie"/>
          <w:rFonts w:ascii="Verdana" w:hAnsi="Verdana"/>
          <w:sz w:val="16"/>
          <w:szCs w:val="16"/>
        </w:rPr>
        <w:footnoteRef/>
      </w:r>
      <w:r w:rsidR="00DD0B03">
        <w:rPr>
          <w:rFonts w:ascii="Verdana" w:hAnsi="Verdana"/>
          <w:sz w:val="16"/>
          <w:szCs w:val="16"/>
          <w:lang w:val="es-ES_tradnl"/>
        </w:rPr>
        <w:t xml:space="preserve"> </w:t>
      </w:r>
      <w:r w:rsidR="00DD0B03" w:rsidRPr="00DD0B03">
        <w:rPr>
          <w:rFonts w:ascii="Verdana" w:hAnsi="Verdana"/>
          <w:sz w:val="16"/>
          <w:szCs w:val="16"/>
          <w:lang w:val="es-ES_tradnl"/>
        </w:rPr>
        <w:t>El caso se refiere a la responsabilidad internacional del Estado por la imposición de una condena por difamación en perjuicio de Mauricio Herrera Ulloa y la falta de un recurso adecuado y efectivo para cuestionar dicha medida.</w:t>
      </w:r>
      <w:r w:rsidR="00DD0B03">
        <w:rPr>
          <w:rFonts w:ascii="Verdana" w:hAnsi="Verdana"/>
          <w:sz w:val="16"/>
          <w:szCs w:val="16"/>
          <w:lang w:val="es-ES_tradnl"/>
        </w:rPr>
        <w:t xml:space="preserve"> Derecho violados: </w:t>
      </w:r>
      <w:r w:rsidR="00DD0B03" w:rsidRPr="00DD0B03">
        <w:rPr>
          <w:rFonts w:ascii="Verdana" w:hAnsi="Verdana"/>
          <w:sz w:val="16"/>
          <w:szCs w:val="16"/>
          <w:lang w:val="es-ES_tradnl"/>
        </w:rPr>
        <w:t>Artículo 1 (Obligación de respetar los derechos), Artículo 13 (Libertad de pensamiento y expresión)</w:t>
      </w:r>
      <w:r w:rsidR="00215583">
        <w:rPr>
          <w:rFonts w:ascii="Verdana" w:hAnsi="Verdana"/>
          <w:sz w:val="16"/>
          <w:szCs w:val="16"/>
          <w:lang w:val="es-ES_tradnl"/>
        </w:rPr>
        <w:t>,</w:t>
      </w:r>
      <w:r w:rsidR="00DD0B03" w:rsidRPr="00DD0B03">
        <w:rPr>
          <w:rFonts w:ascii="Verdana" w:hAnsi="Verdana"/>
          <w:sz w:val="16"/>
          <w:szCs w:val="16"/>
          <w:lang w:val="es-ES_tradnl"/>
        </w:rPr>
        <w:t xml:space="preserve"> Artículo 2 (Deber de adoptar disposiciones de derecho interno), Artículo 25 (Protección Judicial), Artículo 8 (Garantías Judiciales)</w:t>
      </w:r>
      <w:r w:rsidRPr="00EA462A">
        <w:rPr>
          <w:rFonts w:ascii="Verdana" w:hAnsi="Verdana"/>
          <w:sz w:val="16"/>
          <w:szCs w:val="16"/>
          <w:lang w:val="es-ES_tradnl"/>
        </w:rPr>
        <w:t>.</w:t>
      </w:r>
    </w:p>
  </w:footnote>
  <w:footnote w:id="4">
    <w:p w14:paraId="6468379A" w14:textId="45C97C21" w:rsidR="00EF57C8" w:rsidRPr="00EA462A" w:rsidRDefault="00EF57C8" w:rsidP="00EA462A">
      <w:pPr>
        <w:pStyle w:val="Textonotapie"/>
        <w:spacing w:line="240" w:lineRule="auto"/>
        <w:jc w:val="both"/>
        <w:rPr>
          <w:rFonts w:ascii="Verdana" w:hAnsi="Verdana"/>
          <w:sz w:val="16"/>
          <w:szCs w:val="16"/>
          <w:lang w:val="es-CL"/>
        </w:rPr>
      </w:pPr>
      <w:r w:rsidRPr="00EA462A">
        <w:rPr>
          <w:rStyle w:val="Refdenotaalpie"/>
          <w:rFonts w:ascii="Verdana" w:hAnsi="Verdana"/>
          <w:sz w:val="16"/>
          <w:szCs w:val="16"/>
        </w:rPr>
        <w:footnoteRef/>
      </w:r>
      <w:r w:rsidRPr="00EA462A">
        <w:rPr>
          <w:rFonts w:ascii="Verdana" w:hAnsi="Verdana"/>
          <w:sz w:val="16"/>
          <w:szCs w:val="16"/>
          <w:lang w:val="es-CL"/>
        </w:rPr>
        <w:t xml:space="preserve"> </w:t>
      </w:r>
      <w:r w:rsidR="00DD0B03" w:rsidRPr="00DD0B03">
        <w:rPr>
          <w:rFonts w:ascii="Verdana" w:hAnsi="Verdana"/>
          <w:sz w:val="16"/>
          <w:szCs w:val="16"/>
          <w:lang w:val="es-CL"/>
        </w:rPr>
        <w:t>Este caso se refiere a la responsabilidad internacional del Estado por la violación</w:t>
      </w:r>
      <w:r w:rsidR="00DD0B03">
        <w:rPr>
          <w:rFonts w:ascii="Verdana" w:hAnsi="Verdana"/>
          <w:sz w:val="16"/>
          <w:szCs w:val="16"/>
          <w:lang w:val="es-CL"/>
        </w:rPr>
        <w:t xml:space="preserve"> </w:t>
      </w:r>
      <w:r w:rsidRPr="00EA462A">
        <w:rPr>
          <w:rFonts w:ascii="Verdana" w:hAnsi="Verdana"/>
          <w:sz w:val="16"/>
          <w:szCs w:val="16"/>
          <w:lang w:val="es-CL"/>
        </w:rPr>
        <w:t>con motivo del despido irregular de su puesto de trabajo, con lo cual se declaró la vulneración del derechos a la estabilidad laboral (artículo 26 en relación con los artículos 1.1, 13, 8 y 16 de la Convención Americana sobre Derechos Humanos, en adelante “la Convención”). Asimismo, se declaró la vulneración del derecho a la libertad de expresión (artículos 13 y 8 en relación con el artículo 1.1 de la Convención), así como del derecho a la libertad de asociación (artículos 16 y 26 en relación con 1.1, 13 y 8 de la Convención) y el derecho al acceso a la justicia (artículos 8 y 25 de la misma).</w:t>
      </w:r>
    </w:p>
  </w:footnote>
  <w:footnote w:id="5">
    <w:p w14:paraId="2E2490AC" w14:textId="0E9DD8A0" w:rsidR="00EF57C8" w:rsidRPr="00EA462A" w:rsidRDefault="00EF57C8" w:rsidP="006071D1">
      <w:pPr>
        <w:pStyle w:val="Textonotapie"/>
        <w:spacing w:line="240" w:lineRule="auto"/>
        <w:jc w:val="both"/>
        <w:rPr>
          <w:rFonts w:ascii="Verdana" w:hAnsi="Verdana"/>
          <w:sz w:val="16"/>
          <w:szCs w:val="16"/>
          <w:lang w:val="es-ES_tradnl"/>
        </w:rPr>
      </w:pPr>
      <w:r w:rsidRPr="00EA462A">
        <w:rPr>
          <w:rStyle w:val="Refdenotaalpie"/>
          <w:rFonts w:ascii="Verdana" w:hAnsi="Verdana"/>
          <w:sz w:val="16"/>
          <w:szCs w:val="16"/>
        </w:rPr>
        <w:footnoteRef/>
      </w:r>
      <w:r w:rsidR="006071D1">
        <w:rPr>
          <w:rFonts w:ascii="Verdana" w:hAnsi="Verdana"/>
          <w:sz w:val="16"/>
          <w:szCs w:val="16"/>
          <w:lang w:val="es-ES_tradnl"/>
        </w:rPr>
        <w:t xml:space="preserve"> En este caso la Corte </w:t>
      </w:r>
      <w:r w:rsidR="006071D1" w:rsidRPr="006071D1">
        <w:rPr>
          <w:rFonts w:ascii="Verdana" w:hAnsi="Verdana"/>
          <w:sz w:val="16"/>
          <w:szCs w:val="16"/>
          <w:lang w:val="es-ES_tradnl"/>
        </w:rPr>
        <w:t>desestimó las excepciones preliminares planteadas por el Estado y declaró, por cuatro votos a</w:t>
      </w:r>
      <w:r w:rsidR="006071D1">
        <w:rPr>
          <w:rFonts w:ascii="Verdana" w:hAnsi="Verdana"/>
          <w:sz w:val="16"/>
          <w:szCs w:val="16"/>
          <w:lang w:val="es-ES_tradnl"/>
        </w:rPr>
        <w:t xml:space="preserve"> </w:t>
      </w:r>
      <w:r w:rsidR="006071D1" w:rsidRPr="006071D1">
        <w:rPr>
          <w:rFonts w:ascii="Verdana" w:hAnsi="Verdana"/>
          <w:sz w:val="16"/>
          <w:szCs w:val="16"/>
          <w:lang w:val="es-ES_tradnl"/>
        </w:rPr>
        <w:t>favor y tres en contra, que el Estado no es responsable por la violación del derecho a la</w:t>
      </w:r>
      <w:r w:rsidR="006071D1">
        <w:rPr>
          <w:rFonts w:ascii="Verdana" w:hAnsi="Verdana"/>
          <w:sz w:val="16"/>
          <w:szCs w:val="16"/>
          <w:lang w:val="es-ES_tradnl"/>
        </w:rPr>
        <w:t xml:space="preserve"> </w:t>
      </w:r>
      <w:r w:rsidR="006071D1" w:rsidRPr="006071D1">
        <w:rPr>
          <w:rFonts w:ascii="Verdana" w:hAnsi="Verdana"/>
          <w:sz w:val="16"/>
          <w:szCs w:val="16"/>
          <w:lang w:val="es-ES_tradnl"/>
        </w:rPr>
        <w:t>libertad de expresión ni por la violación del principio de legalidad y retroactividad en perjuicio</w:t>
      </w:r>
      <w:r w:rsidR="006071D1">
        <w:rPr>
          <w:rFonts w:ascii="Verdana" w:hAnsi="Verdana"/>
          <w:sz w:val="16"/>
          <w:szCs w:val="16"/>
          <w:lang w:val="es-ES_tradnl"/>
        </w:rPr>
        <w:t xml:space="preserve"> </w:t>
      </w:r>
      <w:r w:rsidR="006071D1" w:rsidRPr="006071D1">
        <w:rPr>
          <w:rFonts w:ascii="Verdana" w:hAnsi="Verdana"/>
          <w:sz w:val="16"/>
          <w:szCs w:val="16"/>
          <w:lang w:val="es-ES_tradnl"/>
        </w:rPr>
        <w:t xml:space="preserve">de los señores </w:t>
      </w:r>
      <w:proofErr w:type="spellStart"/>
      <w:r w:rsidR="006071D1" w:rsidRPr="006071D1">
        <w:rPr>
          <w:rFonts w:ascii="Verdana" w:hAnsi="Verdana"/>
          <w:sz w:val="16"/>
          <w:szCs w:val="16"/>
          <w:lang w:val="es-ES_tradnl"/>
        </w:rPr>
        <w:t>Mémoli</w:t>
      </w:r>
      <w:proofErr w:type="spellEnd"/>
      <w:r w:rsidR="006071D1" w:rsidRPr="006071D1">
        <w:rPr>
          <w:rFonts w:ascii="Verdana" w:hAnsi="Verdana"/>
          <w:sz w:val="16"/>
          <w:szCs w:val="16"/>
          <w:lang w:val="es-ES_tradnl"/>
        </w:rPr>
        <w:t>. Por otro lado, declaró, por unanimidad, que el Estado era responsable</w:t>
      </w:r>
      <w:r w:rsidR="006071D1">
        <w:rPr>
          <w:rFonts w:ascii="Verdana" w:hAnsi="Verdana"/>
          <w:sz w:val="16"/>
          <w:szCs w:val="16"/>
          <w:lang w:val="es-ES_tradnl"/>
        </w:rPr>
        <w:t xml:space="preserve"> </w:t>
      </w:r>
      <w:r w:rsidR="006071D1" w:rsidRPr="006071D1">
        <w:rPr>
          <w:rFonts w:ascii="Verdana" w:hAnsi="Verdana"/>
          <w:sz w:val="16"/>
          <w:szCs w:val="16"/>
          <w:lang w:val="es-ES_tradnl"/>
        </w:rPr>
        <w:t>por la violación de la garantía judicial al plazo razonable y el derecho a la propiedad privada</w:t>
      </w:r>
      <w:r w:rsidR="006071D1">
        <w:rPr>
          <w:rFonts w:ascii="Verdana" w:hAnsi="Verdana"/>
          <w:sz w:val="16"/>
          <w:szCs w:val="16"/>
          <w:lang w:val="es-ES_tradnl"/>
        </w:rPr>
        <w:t xml:space="preserve"> </w:t>
      </w:r>
      <w:r w:rsidR="006071D1" w:rsidRPr="006071D1">
        <w:rPr>
          <w:rFonts w:ascii="Verdana" w:hAnsi="Verdana"/>
          <w:sz w:val="16"/>
          <w:szCs w:val="16"/>
          <w:lang w:val="es-ES_tradnl"/>
        </w:rPr>
        <w:t xml:space="preserve">de los señores </w:t>
      </w:r>
      <w:proofErr w:type="spellStart"/>
      <w:r w:rsidR="006071D1" w:rsidRPr="006071D1">
        <w:rPr>
          <w:rFonts w:ascii="Verdana" w:hAnsi="Verdana"/>
          <w:sz w:val="16"/>
          <w:szCs w:val="16"/>
          <w:lang w:val="es-ES_tradnl"/>
        </w:rPr>
        <w:t>Mémoli</w:t>
      </w:r>
      <w:proofErr w:type="spellEnd"/>
      <w:r w:rsidR="006071D1" w:rsidRPr="006071D1">
        <w:rPr>
          <w:rFonts w:ascii="Verdana" w:hAnsi="Verdana"/>
          <w:sz w:val="16"/>
          <w:szCs w:val="16"/>
          <w:lang w:val="es-ES_tradnl"/>
        </w:rPr>
        <w:t>, por la duración excesiva del proceso civil por daños y perjuicios</w:t>
      </w:r>
      <w:r w:rsidR="006071D1">
        <w:rPr>
          <w:rFonts w:ascii="Verdana" w:hAnsi="Verdana"/>
          <w:sz w:val="16"/>
          <w:szCs w:val="16"/>
          <w:lang w:val="es-ES_tradnl"/>
        </w:rPr>
        <w:t xml:space="preserve"> </w:t>
      </w:r>
      <w:r w:rsidR="006071D1" w:rsidRPr="006071D1">
        <w:rPr>
          <w:rFonts w:ascii="Verdana" w:hAnsi="Verdana"/>
          <w:sz w:val="16"/>
          <w:szCs w:val="16"/>
          <w:lang w:val="es-ES_tradnl"/>
        </w:rPr>
        <w:t xml:space="preserve">seguido en contra de los señores </w:t>
      </w:r>
      <w:proofErr w:type="spellStart"/>
      <w:r w:rsidR="006071D1" w:rsidRPr="006071D1">
        <w:rPr>
          <w:rFonts w:ascii="Verdana" w:hAnsi="Verdana"/>
          <w:sz w:val="16"/>
          <w:szCs w:val="16"/>
          <w:lang w:val="es-ES_tradnl"/>
        </w:rPr>
        <w:t>Mémoli</w:t>
      </w:r>
      <w:proofErr w:type="spellEnd"/>
      <w:r w:rsidR="006071D1" w:rsidRPr="006071D1">
        <w:rPr>
          <w:rFonts w:ascii="Verdana" w:hAnsi="Verdana"/>
          <w:sz w:val="16"/>
          <w:szCs w:val="16"/>
          <w:lang w:val="es-ES_tradnl"/>
        </w:rPr>
        <w:t>, a lo largo del cual ha estado vigente una prohibición</w:t>
      </w:r>
      <w:r w:rsidR="006071D1">
        <w:rPr>
          <w:rFonts w:ascii="Verdana" w:hAnsi="Verdana"/>
          <w:sz w:val="16"/>
          <w:szCs w:val="16"/>
          <w:lang w:val="es-ES_tradnl"/>
        </w:rPr>
        <w:t xml:space="preserve"> </w:t>
      </w:r>
      <w:r w:rsidR="006071D1" w:rsidRPr="006071D1">
        <w:rPr>
          <w:rFonts w:ascii="Verdana" w:hAnsi="Verdana"/>
          <w:sz w:val="16"/>
          <w:szCs w:val="16"/>
          <w:lang w:val="es-ES_tradnl"/>
        </w:rPr>
        <w:t>de enajenar y gravar bienes contra las víctimas</w:t>
      </w:r>
      <w:r w:rsidRPr="00EA462A">
        <w:rPr>
          <w:rFonts w:ascii="Verdana" w:hAnsi="Verdana"/>
          <w:sz w:val="16"/>
          <w:szCs w:val="16"/>
          <w:lang w:val="es-ES_tradnl"/>
        </w:rPr>
        <w:t>.</w:t>
      </w:r>
    </w:p>
  </w:footnote>
  <w:footnote w:id="6">
    <w:p w14:paraId="5A3D6349" w14:textId="11677E86" w:rsidR="00EF57C8" w:rsidRPr="00EA462A" w:rsidRDefault="00EF57C8" w:rsidP="00EA462A">
      <w:pPr>
        <w:pStyle w:val="Textonotapie"/>
        <w:spacing w:line="240" w:lineRule="auto"/>
        <w:jc w:val="both"/>
        <w:rPr>
          <w:rFonts w:ascii="Verdana" w:hAnsi="Verdana"/>
          <w:sz w:val="16"/>
          <w:szCs w:val="16"/>
          <w:lang w:val="es-ES_tradnl"/>
        </w:rPr>
      </w:pPr>
      <w:r w:rsidRPr="00EA462A">
        <w:rPr>
          <w:rStyle w:val="Refdenotaalpie"/>
          <w:rFonts w:ascii="Verdana" w:hAnsi="Verdana"/>
          <w:sz w:val="16"/>
          <w:szCs w:val="16"/>
        </w:rPr>
        <w:footnoteRef/>
      </w:r>
      <w:r w:rsidR="006071D1">
        <w:rPr>
          <w:rFonts w:ascii="Verdana" w:hAnsi="Verdana"/>
          <w:sz w:val="16"/>
          <w:szCs w:val="16"/>
          <w:lang w:val="es-ES_tradnl"/>
        </w:rPr>
        <w:t xml:space="preserve"> </w:t>
      </w:r>
      <w:r w:rsidR="006071D1" w:rsidRPr="006071D1">
        <w:rPr>
          <w:rFonts w:ascii="Verdana" w:hAnsi="Verdana"/>
          <w:sz w:val="16"/>
          <w:szCs w:val="16"/>
          <w:lang w:val="es-ES_tradnl"/>
        </w:rPr>
        <w:t>El caso se refiere a la responsabilidad internacional del Estado por la divulgación de una conversación telefónica de Santander Tristán Donoso, así como por la condena penal impuesta debido a sus declaraciones</w:t>
      </w:r>
      <w:r w:rsidRPr="00EA462A">
        <w:rPr>
          <w:rFonts w:ascii="Verdana" w:hAnsi="Verdana"/>
          <w:sz w:val="16"/>
          <w:szCs w:val="16"/>
          <w:lang w:val="es-ES_tradnl"/>
        </w:rPr>
        <w:t>.</w:t>
      </w:r>
      <w:r w:rsidR="006071D1">
        <w:rPr>
          <w:rFonts w:ascii="Verdana" w:hAnsi="Verdana"/>
          <w:sz w:val="16"/>
          <w:szCs w:val="16"/>
          <w:lang w:val="es-ES_tradnl"/>
        </w:rPr>
        <w:t xml:space="preserve"> La corte resolvió sobre el </w:t>
      </w:r>
      <w:r w:rsidR="006071D1" w:rsidRPr="006071D1">
        <w:rPr>
          <w:rFonts w:ascii="Verdana" w:hAnsi="Verdana"/>
          <w:sz w:val="16"/>
          <w:szCs w:val="16"/>
          <w:lang w:val="es-ES_tradnl"/>
        </w:rPr>
        <w:t>Derecho a la honra y la intimidad</w:t>
      </w:r>
      <w:r w:rsidR="006071D1">
        <w:rPr>
          <w:rFonts w:ascii="Verdana" w:hAnsi="Verdana"/>
          <w:sz w:val="16"/>
          <w:szCs w:val="16"/>
          <w:lang w:val="es-ES_tradnl"/>
        </w:rPr>
        <w:t xml:space="preserve"> y</w:t>
      </w:r>
      <w:r w:rsidR="006071D1" w:rsidRPr="006071D1">
        <w:rPr>
          <w:rFonts w:ascii="Verdana" w:hAnsi="Verdana"/>
          <w:sz w:val="16"/>
          <w:szCs w:val="16"/>
          <w:lang w:val="es-ES_tradnl"/>
        </w:rPr>
        <w:t xml:space="preserve"> Dignidad</w:t>
      </w:r>
      <w:r w:rsidR="006071D1">
        <w:rPr>
          <w:rFonts w:ascii="Verdana" w:hAnsi="Verdana"/>
          <w:sz w:val="16"/>
          <w:szCs w:val="16"/>
          <w:lang w:val="es-ES_tradnl"/>
        </w:rPr>
        <w:t xml:space="preserve"> (art. 11 CADH)</w:t>
      </w:r>
      <w:r w:rsidR="006071D1" w:rsidRPr="006071D1">
        <w:rPr>
          <w:rFonts w:ascii="Verdana" w:hAnsi="Verdana"/>
          <w:sz w:val="16"/>
          <w:szCs w:val="16"/>
          <w:lang w:val="es-ES_tradnl"/>
        </w:rPr>
        <w:t>, Garantías judiciales y procesales</w:t>
      </w:r>
      <w:r w:rsidR="006071D1">
        <w:rPr>
          <w:rFonts w:ascii="Verdana" w:hAnsi="Verdana"/>
          <w:sz w:val="16"/>
          <w:szCs w:val="16"/>
          <w:lang w:val="es-ES_tradnl"/>
        </w:rPr>
        <w:t xml:space="preserve"> (art. 8 CADH)</w:t>
      </w:r>
      <w:r w:rsidR="006071D1" w:rsidRPr="006071D1">
        <w:rPr>
          <w:rFonts w:ascii="Verdana" w:hAnsi="Verdana"/>
          <w:sz w:val="16"/>
          <w:szCs w:val="16"/>
          <w:lang w:val="es-ES_tradnl"/>
        </w:rPr>
        <w:t>, Libertad de pensamiento y expresión</w:t>
      </w:r>
      <w:r w:rsidR="006071D1">
        <w:rPr>
          <w:rFonts w:ascii="Verdana" w:hAnsi="Verdana"/>
          <w:sz w:val="16"/>
          <w:szCs w:val="16"/>
          <w:lang w:val="es-ES_tradnl"/>
        </w:rPr>
        <w:t xml:space="preserve"> (art. 13 CADH)</w:t>
      </w:r>
      <w:r w:rsidR="006071D1" w:rsidRPr="006071D1">
        <w:rPr>
          <w:rFonts w:ascii="Verdana" w:hAnsi="Verdana"/>
          <w:sz w:val="16"/>
          <w:szCs w:val="16"/>
          <w:lang w:val="es-ES_tradnl"/>
        </w:rPr>
        <w:t>, Protección judicial</w:t>
      </w:r>
      <w:r w:rsidR="006071D1">
        <w:rPr>
          <w:rFonts w:ascii="Verdana" w:hAnsi="Verdana"/>
          <w:sz w:val="16"/>
          <w:szCs w:val="16"/>
          <w:lang w:val="es-ES_tradnl"/>
        </w:rPr>
        <w:t xml:space="preserve"> (art. 25 CADH).</w:t>
      </w:r>
    </w:p>
  </w:footnote>
  <w:footnote w:id="7">
    <w:p w14:paraId="23340354" w14:textId="6E51DFBF" w:rsidR="00EF57C8" w:rsidRPr="00EA462A" w:rsidRDefault="00EF57C8" w:rsidP="00EA462A">
      <w:pPr>
        <w:pStyle w:val="Textonotapie"/>
        <w:spacing w:line="240" w:lineRule="auto"/>
        <w:jc w:val="both"/>
        <w:rPr>
          <w:rFonts w:ascii="Verdana" w:hAnsi="Verdana"/>
          <w:sz w:val="16"/>
          <w:szCs w:val="16"/>
          <w:lang w:val="es-ES_tradnl"/>
        </w:rPr>
      </w:pPr>
      <w:r w:rsidRPr="00EA462A">
        <w:rPr>
          <w:rStyle w:val="Refdenotaalpie"/>
          <w:rFonts w:ascii="Verdana" w:hAnsi="Verdana"/>
          <w:sz w:val="16"/>
          <w:szCs w:val="16"/>
        </w:rPr>
        <w:footnoteRef/>
      </w:r>
      <w:r w:rsidR="006071D1">
        <w:rPr>
          <w:rFonts w:ascii="Verdana" w:hAnsi="Verdana"/>
          <w:sz w:val="16"/>
          <w:szCs w:val="16"/>
          <w:lang w:val="es-ES_tradnl"/>
        </w:rPr>
        <w:t xml:space="preserve"> </w:t>
      </w:r>
      <w:r w:rsidR="006071D1" w:rsidRPr="006071D1">
        <w:rPr>
          <w:rFonts w:ascii="Verdana" w:hAnsi="Verdana"/>
          <w:sz w:val="16"/>
          <w:szCs w:val="16"/>
          <w:lang w:val="es-ES_tradnl"/>
        </w:rPr>
        <w:t xml:space="preserve">El caso se refiere a la responsabilidad internacional del Estado por la condena en perjuicio de Francisco </w:t>
      </w:r>
      <w:proofErr w:type="spellStart"/>
      <w:r w:rsidR="006071D1" w:rsidRPr="006071D1">
        <w:rPr>
          <w:rFonts w:ascii="Verdana" w:hAnsi="Verdana"/>
          <w:sz w:val="16"/>
          <w:szCs w:val="16"/>
          <w:lang w:val="es-ES_tradnl"/>
        </w:rPr>
        <w:t>Usón</w:t>
      </w:r>
      <w:proofErr w:type="spellEnd"/>
      <w:r w:rsidR="006071D1" w:rsidRPr="006071D1">
        <w:rPr>
          <w:rFonts w:ascii="Verdana" w:hAnsi="Verdana"/>
          <w:sz w:val="16"/>
          <w:szCs w:val="16"/>
          <w:lang w:val="es-ES_tradnl"/>
        </w:rPr>
        <w:t xml:space="preserve"> Ramírez por el delito de injuria, así como a la falta de un debido proceso.</w:t>
      </w:r>
      <w:r w:rsidR="006071D1">
        <w:rPr>
          <w:rFonts w:ascii="Verdana" w:hAnsi="Verdana"/>
          <w:sz w:val="16"/>
          <w:szCs w:val="16"/>
          <w:lang w:val="es-ES_tradnl"/>
        </w:rPr>
        <w:t xml:space="preserve"> Derechos violados: </w:t>
      </w:r>
      <w:r w:rsidR="006071D1" w:rsidRPr="006071D1">
        <w:rPr>
          <w:rFonts w:ascii="Verdana" w:hAnsi="Verdana"/>
          <w:sz w:val="16"/>
          <w:szCs w:val="16"/>
          <w:lang w:val="es-ES_tradnl"/>
        </w:rPr>
        <w:t>Artículo 1 (Obligación de respetar los derechos.)</w:t>
      </w:r>
      <w:r w:rsidR="00215583">
        <w:rPr>
          <w:rFonts w:ascii="Verdana" w:hAnsi="Verdana"/>
          <w:sz w:val="16"/>
          <w:szCs w:val="16"/>
          <w:lang w:val="es-ES_tradnl"/>
        </w:rPr>
        <w:t>,</w:t>
      </w:r>
      <w:r w:rsidR="006071D1" w:rsidRPr="006071D1">
        <w:rPr>
          <w:rFonts w:ascii="Verdana" w:hAnsi="Verdana"/>
          <w:sz w:val="16"/>
          <w:szCs w:val="16"/>
          <w:lang w:val="es-ES_tradnl"/>
        </w:rPr>
        <w:t xml:space="preserve"> Artículo 13 (Libertad de pensamiento y expresión)</w:t>
      </w:r>
      <w:r w:rsidR="00215583">
        <w:rPr>
          <w:rFonts w:ascii="Verdana" w:hAnsi="Verdana"/>
          <w:sz w:val="16"/>
          <w:szCs w:val="16"/>
          <w:lang w:val="es-ES_tradnl"/>
        </w:rPr>
        <w:t>,</w:t>
      </w:r>
      <w:r w:rsidR="006071D1" w:rsidRPr="006071D1">
        <w:rPr>
          <w:rFonts w:ascii="Verdana" w:hAnsi="Verdana"/>
          <w:sz w:val="16"/>
          <w:szCs w:val="16"/>
          <w:lang w:val="es-ES_tradnl"/>
        </w:rPr>
        <w:t xml:space="preserve"> Artículo 2 (Deber de adoptar disposiciones de derecho interno)</w:t>
      </w:r>
      <w:r w:rsidR="00215583">
        <w:rPr>
          <w:rFonts w:ascii="Verdana" w:hAnsi="Verdana"/>
          <w:sz w:val="16"/>
          <w:szCs w:val="16"/>
          <w:lang w:val="es-ES_tradnl"/>
        </w:rPr>
        <w:t>,</w:t>
      </w:r>
      <w:r w:rsidR="006071D1" w:rsidRPr="006071D1">
        <w:rPr>
          <w:rFonts w:ascii="Verdana" w:hAnsi="Verdana"/>
          <w:sz w:val="16"/>
          <w:szCs w:val="16"/>
          <w:lang w:val="es-ES_tradnl"/>
        </w:rPr>
        <w:t xml:space="preserve"> Artículo 25 (Protección Judicial)</w:t>
      </w:r>
      <w:r w:rsidR="00215583">
        <w:rPr>
          <w:rFonts w:ascii="Verdana" w:hAnsi="Verdana"/>
          <w:sz w:val="16"/>
          <w:szCs w:val="16"/>
          <w:lang w:val="es-ES_tradnl"/>
        </w:rPr>
        <w:t>,</w:t>
      </w:r>
      <w:r w:rsidR="006071D1" w:rsidRPr="006071D1">
        <w:rPr>
          <w:rFonts w:ascii="Verdana" w:hAnsi="Verdana"/>
          <w:sz w:val="16"/>
          <w:szCs w:val="16"/>
          <w:lang w:val="es-ES_tradnl"/>
        </w:rPr>
        <w:t xml:space="preserve"> Artículo 7 (Derecho a la libertad personal), Artículo 8 (Garantías Judiciales), Artículo 9 (Principio de legalidad y de retroactividad)</w:t>
      </w:r>
      <w:r w:rsidRPr="00EA462A">
        <w:rPr>
          <w:rFonts w:ascii="Verdana" w:hAnsi="Verdana"/>
          <w:sz w:val="16"/>
          <w:szCs w:val="16"/>
          <w:lang w:val="es-ES_tradnl"/>
        </w:rPr>
        <w:t>.</w:t>
      </w:r>
    </w:p>
  </w:footnote>
  <w:footnote w:id="8">
    <w:p w14:paraId="58480CD2" w14:textId="4D4D796A" w:rsidR="00EF57C8" w:rsidRPr="00EA462A" w:rsidRDefault="00EF57C8" w:rsidP="00EA462A">
      <w:pPr>
        <w:spacing w:line="240" w:lineRule="auto"/>
        <w:jc w:val="both"/>
        <w:rPr>
          <w:rFonts w:ascii="Verdana" w:eastAsia="Times New Roman" w:hAnsi="Verdana"/>
          <w:sz w:val="16"/>
          <w:szCs w:val="16"/>
          <w:lang w:eastAsia="es-ES"/>
        </w:rPr>
      </w:pPr>
      <w:r w:rsidRPr="00EA462A">
        <w:rPr>
          <w:rStyle w:val="Refdenotaalpie"/>
          <w:rFonts w:ascii="Verdana" w:hAnsi="Verdana"/>
          <w:sz w:val="16"/>
          <w:szCs w:val="16"/>
        </w:rPr>
        <w:footnoteRef/>
      </w:r>
      <w:r w:rsidR="006071D1">
        <w:rPr>
          <w:rFonts w:ascii="Verdana" w:eastAsia="Times New Roman" w:hAnsi="Verdana"/>
          <w:sz w:val="16"/>
          <w:szCs w:val="16"/>
          <w:lang w:eastAsia="es-ES"/>
        </w:rPr>
        <w:t xml:space="preserve"> </w:t>
      </w:r>
      <w:r w:rsidR="006071D1" w:rsidRPr="006071D1">
        <w:rPr>
          <w:rFonts w:ascii="Verdana" w:eastAsia="Times New Roman" w:hAnsi="Verdana"/>
          <w:sz w:val="16"/>
          <w:szCs w:val="16"/>
          <w:lang w:eastAsia="es-ES"/>
        </w:rPr>
        <w:t xml:space="preserve">El caso se refiere a la responsabilidad internacional del Estado como consecuencia del cierre del canal de </w:t>
      </w:r>
      <w:proofErr w:type="spellStart"/>
      <w:r w:rsidR="006071D1" w:rsidRPr="006071D1">
        <w:rPr>
          <w:rFonts w:ascii="Verdana" w:eastAsia="Times New Roman" w:hAnsi="Verdana"/>
          <w:sz w:val="16"/>
          <w:szCs w:val="16"/>
          <w:lang w:eastAsia="es-ES"/>
        </w:rPr>
        <w:t>televisión</w:t>
      </w:r>
      <w:proofErr w:type="spellEnd"/>
      <w:r w:rsidR="006071D1" w:rsidRPr="006071D1">
        <w:rPr>
          <w:rFonts w:ascii="Verdana" w:eastAsia="Times New Roman" w:hAnsi="Verdana"/>
          <w:sz w:val="16"/>
          <w:szCs w:val="16"/>
          <w:lang w:eastAsia="es-ES"/>
        </w:rPr>
        <w:t xml:space="preserve"> “Radio Caracas </w:t>
      </w:r>
      <w:proofErr w:type="spellStart"/>
      <w:r w:rsidR="006071D1" w:rsidRPr="006071D1">
        <w:rPr>
          <w:rFonts w:ascii="Verdana" w:eastAsia="Times New Roman" w:hAnsi="Verdana"/>
          <w:sz w:val="16"/>
          <w:szCs w:val="16"/>
          <w:lang w:eastAsia="es-ES"/>
        </w:rPr>
        <w:t>Televisión</w:t>
      </w:r>
      <w:proofErr w:type="spellEnd"/>
      <w:r w:rsidR="006071D1" w:rsidRPr="006071D1">
        <w:rPr>
          <w:rFonts w:ascii="Verdana" w:eastAsia="Times New Roman" w:hAnsi="Verdana"/>
          <w:sz w:val="16"/>
          <w:szCs w:val="16"/>
          <w:lang w:eastAsia="es-ES"/>
        </w:rPr>
        <w:t xml:space="preserve">” (en adelante “RCTV”) ocurrido el 27 de mayo de 2007, a </w:t>
      </w:r>
      <w:proofErr w:type="spellStart"/>
      <w:r w:rsidR="006071D1" w:rsidRPr="006071D1">
        <w:rPr>
          <w:rFonts w:ascii="Verdana" w:eastAsia="Times New Roman" w:hAnsi="Verdana"/>
          <w:sz w:val="16"/>
          <w:szCs w:val="16"/>
          <w:lang w:eastAsia="es-ES"/>
        </w:rPr>
        <w:t>raíz</w:t>
      </w:r>
      <w:proofErr w:type="spellEnd"/>
      <w:r w:rsidR="006071D1" w:rsidRPr="006071D1">
        <w:rPr>
          <w:rFonts w:ascii="Verdana" w:eastAsia="Times New Roman" w:hAnsi="Verdana"/>
          <w:sz w:val="16"/>
          <w:szCs w:val="16"/>
          <w:lang w:eastAsia="es-ES"/>
        </w:rPr>
        <w:t xml:space="preserve"> de la </w:t>
      </w:r>
      <w:proofErr w:type="spellStart"/>
      <w:r w:rsidR="006071D1" w:rsidRPr="006071D1">
        <w:rPr>
          <w:rFonts w:ascii="Verdana" w:eastAsia="Times New Roman" w:hAnsi="Verdana"/>
          <w:sz w:val="16"/>
          <w:szCs w:val="16"/>
          <w:lang w:eastAsia="es-ES"/>
        </w:rPr>
        <w:t>decisión</w:t>
      </w:r>
      <w:proofErr w:type="spellEnd"/>
      <w:r w:rsidR="006071D1" w:rsidRPr="006071D1">
        <w:rPr>
          <w:rFonts w:ascii="Verdana" w:eastAsia="Times New Roman" w:hAnsi="Verdana"/>
          <w:sz w:val="16"/>
          <w:szCs w:val="16"/>
          <w:lang w:eastAsia="es-ES"/>
        </w:rPr>
        <w:t xml:space="preserve"> del Estado de reservarse la </w:t>
      </w:r>
      <w:proofErr w:type="spellStart"/>
      <w:r w:rsidR="006071D1" w:rsidRPr="006071D1">
        <w:rPr>
          <w:rFonts w:ascii="Verdana" w:eastAsia="Times New Roman" w:hAnsi="Verdana"/>
          <w:sz w:val="16"/>
          <w:szCs w:val="16"/>
          <w:lang w:eastAsia="es-ES"/>
        </w:rPr>
        <w:t>porción</w:t>
      </w:r>
      <w:proofErr w:type="spellEnd"/>
      <w:r w:rsidR="006071D1" w:rsidRPr="006071D1">
        <w:rPr>
          <w:rFonts w:ascii="Verdana" w:eastAsia="Times New Roman" w:hAnsi="Verdana"/>
          <w:sz w:val="16"/>
          <w:szCs w:val="16"/>
          <w:lang w:eastAsia="es-ES"/>
        </w:rPr>
        <w:t xml:space="preserve"> del espectro </w:t>
      </w:r>
      <w:proofErr w:type="spellStart"/>
      <w:r w:rsidR="006071D1" w:rsidRPr="006071D1">
        <w:rPr>
          <w:rFonts w:ascii="Verdana" w:eastAsia="Times New Roman" w:hAnsi="Verdana"/>
          <w:sz w:val="16"/>
          <w:szCs w:val="16"/>
          <w:lang w:eastAsia="es-ES"/>
        </w:rPr>
        <w:t>eléctrico</w:t>
      </w:r>
      <w:proofErr w:type="spellEnd"/>
      <w:r w:rsidR="006071D1" w:rsidRPr="006071D1">
        <w:rPr>
          <w:rFonts w:ascii="Verdana" w:eastAsia="Times New Roman" w:hAnsi="Verdana"/>
          <w:sz w:val="16"/>
          <w:szCs w:val="16"/>
          <w:lang w:eastAsia="es-ES"/>
        </w:rPr>
        <w:t xml:space="preserve"> que anteriormente </w:t>
      </w:r>
      <w:proofErr w:type="spellStart"/>
      <w:r w:rsidR="006071D1" w:rsidRPr="006071D1">
        <w:rPr>
          <w:rFonts w:ascii="Verdana" w:eastAsia="Times New Roman" w:hAnsi="Verdana"/>
          <w:sz w:val="16"/>
          <w:szCs w:val="16"/>
          <w:lang w:eastAsia="es-ES"/>
        </w:rPr>
        <w:t>había</w:t>
      </w:r>
      <w:proofErr w:type="spellEnd"/>
      <w:r w:rsidR="006071D1" w:rsidRPr="006071D1">
        <w:rPr>
          <w:rFonts w:ascii="Verdana" w:eastAsia="Times New Roman" w:hAnsi="Verdana"/>
          <w:sz w:val="16"/>
          <w:szCs w:val="16"/>
          <w:lang w:eastAsia="es-ES"/>
        </w:rPr>
        <w:t xml:space="preserve"> sido asignado a RCTV y, por tanto, impedir la </w:t>
      </w:r>
      <w:proofErr w:type="spellStart"/>
      <w:r w:rsidR="006071D1" w:rsidRPr="006071D1">
        <w:rPr>
          <w:rFonts w:ascii="Verdana" w:eastAsia="Times New Roman" w:hAnsi="Verdana"/>
          <w:sz w:val="16"/>
          <w:szCs w:val="16"/>
          <w:lang w:eastAsia="es-ES"/>
        </w:rPr>
        <w:t>participación</w:t>
      </w:r>
      <w:proofErr w:type="spellEnd"/>
      <w:r w:rsidR="006071D1" w:rsidRPr="006071D1">
        <w:rPr>
          <w:rFonts w:ascii="Verdana" w:eastAsia="Times New Roman" w:hAnsi="Verdana"/>
          <w:sz w:val="16"/>
          <w:szCs w:val="16"/>
          <w:lang w:eastAsia="es-ES"/>
        </w:rPr>
        <w:t xml:space="preserve"> en los procedimientos administrativos a un medio de </w:t>
      </w:r>
      <w:proofErr w:type="spellStart"/>
      <w:r w:rsidR="006071D1" w:rsidRPr="006071D1">
        <w:rPr>
          <w:rFonts w:ascii="Verdana" w:eastAsia="Times New Roman" w:hAnsi="Verdana"/>
          <w:sz w:val="16"/>
          <w:szCs w:val="16"/>
          <w:lang w:eastAsia="es-ES"/>
        </w:rPr>
        <w:t>comunicación</w:t>
      </w:r>
      <w:proofErr w:type="spellEnd"/>
      <w:r w:rsidR="006071D1" w:rsidRPr="006071D1">
        <w:rPr>
          <w:rFonts w:ascii="Verdana" w:eastAsia="Times New Roman" w:hAnsi="Verdana"/>
          <w:sz w:val="16"/>
          <w:szCs w:val="16"/>
          <w:lang w:eastAsia="es-ES"/>
        </w:rPr>
        <w:t xml:space="preserve"> que expresaba voces </w:t>
      </w:r>
      <w:proofErr w:type="spellStart"/>
      <w:r w:rsidR="006071D1" w:rsidRPr="006071D1">
        <w:rPr>
          <w:rFonts w:ascii="Verdana" w:eastAsia="Times New Roman" w:hAnsi="Verdana"/>
          <w:sz w:val="16"/>
          <w:szCs w:val="16"/>
          <w:lang w:eastAsia="es-ES"/>
        </w:rPr>
        <w:t>críticas</w:t>
      </w:r>
      <w:proofErr w:type="spellEnd"/>
      <w:r w:rsidR="006071D1" w:rsidRPr="006071D1">
        <w:rPr>
          <w:rFonts w:ascii="Verdana" w:eastAsia="Times New Roman" w:hAnsi="Verdana"/>
          <w:sz w:val="16"/>
          <w:szCs w:val="16"/>
          <w:lang w:eastAsia="es-ES"/>
        </w:rPr>
        <w:t xml:space="preserve"> contra el gobierno. En particular, la Corte declaró la </w:t>
      </w:r>
      <w:proofErr w:type="spellStart"/>
      <w:r w:rsidR="006071D1" w:rsidRPr="006071D1">
        <w:rPr>
          <w:rFonts w:ascii="Verdana" w:eastAsia="Times New Roman" w:hAnsi="Verdana"/>
          <w:sz w:val="16"/>
          <w:szCs w:val="16"/>
          <w:lang w:eastAsia="es-ES"/>
        </w:rPr>
        <w:t>violación</w:t>
      </w:r>
      <w:proofErr w:type="spellEnd"/>
      <w:r w:rsidR="006071D1" w:rsidRPr="006071D1">
        <w:rPr>
          <w:rFonts w:ascii="Verdana" w:eastAsia="Times New Roman" w:hAnsi="Verdana"/>
          <w:sz w:val="16"/>
          <w:szCs w:val="16"/>
          <w:lang w:eastAsia="es-ES"/>
        </w:rPr>
        <w:t xml:space="preserve"> al derecho a la libertad de </w:t>
      </w:r>
      <w:proofErr w:type="spellStart"/>
      <w:r w:rsidR="006071D1" w:rsidRPr="006071D1">
        <w:rPr>
          <w:rFonts w:ascii="Verdana" w:eastAsia="Times New Roman" w:hAnsi="Verdana"/>
          <w:sz w:val="16"/>
          <w:szCs w:val="16"/>
          <w:lang w:eastAsia="es-ES"/>
        </w:rPr>
        <w:t>expresión</w:t>
      </w:r>
      <w:proofErr w:type="spellEnd"/>
      <w:r w:rsidR="006071D1">
        <w:rPr>
          <w:rFonts w:ascii="Verdana" w:eastAsia="Times New Roman" w:hAnsi="Verdana"/>
          <w:sz w:val="16"/>
          <w:szCs w:val="16"/>
          <w:lang w:eastAsia="es-ES"/>
        </w:rPr>
        <w:t xml:space="preserve"> (art. 13 CADH) en relación con la prohibición de no discriminación (art. 1.1 CADH) y los </w:t>
      </w:r>
      <w:r w:rsidR="006071D1" w:rsidRPr="006071D1">
        <w:rPr>
          <w:rFonts w:ascii="Verdana" w:eastAsia="Times New Roman" w:hAnsi="Verdana"/>
          <w:sz w:val="16"/>
          <w:szCs w:val="16"/>
          <w:lang w:eastAsia="es-ES"/>
        </w:rPr>
        <w:t>derechos a un debido proceso</w:t>
      </w:r>
      <w:r w:rsidR="006071D1">
        <w:rPr>
          <w:rFonts w:ascii="Verdana" w:eastAsia="Times New Roman" w:hAnsi="Verdana"/>
          <w:sz w:val="16"/>
          <w:szCs w:val="16"/>
          <w:lang w:eastAsia="es-ES"/>
        </w:rPr>
        <w:t>(art. 8 CADH)</w:t>
      </w:r>
      <w:r w:rsidR="006071D1" w:rsidRPr="006071D1">
        <w:rPr>
          <w:rFonts w:ascii="Verdana" w:eastAsia="Times New Roman" w:hAnsi="Verdana"/>
          <w:sz w:val="16"/>
          <w:szCs w:val="16"/>
          <w:lang w:eastAsia="es-ES"/>
        </w:rPr>
        <w:t>.</w:t>
      </w:r>
    </w:p>
  </w:footnote>
  <w:footnote w:id="9">
    <w:p w14:paraId="2B0C082B" w14:textId="2915AC6B" w:rsidR="00EF57C8" w:rsidRPr="00EA462A" w:rsidRDefault="00EF57C8" w:rsidP="00EA462A">
      <w:pPr>
        <w:spacing w:line="240" w:lineRule="auto"/>
        <w:jc w:val="both"/>
        <w:rPr>
          <w:rFonts w:ascii="Verdana" w:hAnsi="Verdana"/>
          <w:color w:val="000000" w:themeColor="text1"/>
          <w:sz w:val="16"/>
          <w:szCs w:val="16"/>
          <w:lang w:val="es-ES"/>
        </w:rPr>
      </w:pPr>
      <w:r w:rsidRPr="00EA462A">
        <w:rPr>
          <w:rStyle w:val="Refdenotaalpie"/>
          <w:rFonts w:ascii="Verdana" w:hAnsi="Verdana"/>
          <w:sz w:val="16"/>
          <w:szCs w:val="16"/>
        </w:rPr>
        <w:footnoteRef/>
      </w:r>
      <w:r w:rsidR="006071D1">
        <w:rPr>
          <w:rFonts w:ascii="Verdana" w:hAnsi="Verdana"/>
          <w:color w:val="000000" w:themeColor="text1"/>
          <w:sz w:val="16"/>
          <w:szCs w:val="16"/>
          <w:lang w:val="es-ES"/>
        </w:rPr>
        <w:t xml:space="preserve"> </w:t>
      </w:r>
      <w:r w:rsidR="006071D1" w:rsidRPr="006071D1">
        <w:rPr>
          <w:rFonts w:ascii="Verdana" w:hAnsi="Verdana"/>
          <w:color w:val="000000" w:themeColor="text1"/>
          <w:sz w:val="16"/>
          <w:szCs w:val="16"/>
          <w:lang w:val="es-ES"/>
        </w:rPr>
        <w:t>El caso se refiere a la responsabilidad internacional del Estado</w:t>
      </w:r>
      <w:r w:rsidR="006071D1">
        <w:rPr>
          <w:rFonts w:ascii="Verdana" w:hAnsi="Verdana"/>
          <w:color w:val="000000" w:themeColor="text1"/>
          <w:sz w:val="16"/>
          <w:szCs w:val="16"/>
          <w:lang w:val="es-ES"/>
        </w:rPr>
        <w:t xml:space="preserve"> por la violación del derecho a la</w:t>
      </w:r>
      <w:r w:rsidR="006071D1" w:rsidRPr="006071D1">
        <w:rPr>
          <w:rFonts w:ascii="Verdana" w:hAnsi="Verdana"/>
          <w:color w:val="000000" w:themeColor="text1"/>
          <w:sz w:val="16"/>
          <w:szCs w:val="16"/>
          <w:lang w:val="es-ES"/>
        </w:rPr>
        <w:t xml:space="preserve"> libertad de </w:t>
      </w:r>
      <w:proofErr w:type="spellStart"/>
      <w:r w:rsidR="006071D1" w:rsidRPr="006071D1">
        <w:rPr>
          <w:rFonts w:ascii="Verdana" w:hAnsi="Verdana"/>
          <w:color w:val="000000" w:themeColor="text1"/>
          <w:sz w:val="16"/>
          <w:szCs w:val="16"/>
          <w:lang w:val="es-ES"/>
        </w:rPr>
        <w:t>expresión</w:t>
      </w:r>
      <w:proofErr w:type="spellEnd"/>
      <w:r w:rsidR="00C909A0">
        <w:rPr>
          <w:rFonts w:ascii="Verdana" w:hAnsi="Verdana"/>
          <w:color w:val="000000" w:themeColor="text1"/>
          <w:sz w:val="16"/>
          <w:szCs w:val="16"/>
          <w:lang w:val="es-ES"/>
        </w:rPr>
        <w:t xml:space="preserve"> (art. 13 CADH)</w:t>
      </w:r>
      <w:r w:rsidR="006071D1" w:rsidRPr="006071D1">
        <w:rPr>
          <w:rFonts w:ascii="Verdana" w:hAnsi="Verdana"/>
          <w:color w:val="000000" w:themeColor="text1"/>
          <w:sz w:val="16"/>
          <w:szCs w:val="16"/>
          <w:lang w:val="es-ES"/>
        </w:rPr>
        <w:t xml:space="preserve">, derecho de </w:t>
      </w:r>
      <w:proofErr w:type="spellStart"/>
      <w:r w:rsidR="006071D1" w:rsidRPr="006071D1">
        <w:rPr>
          <w:rFonts w:ascii="Verdana" w:hAnsi="Verdana"/>
          <w:color w:val="000000" w:themeColor="text1"/>
          <w:sz w:val="16"/>
          <w:szCs w:val="16"/>
          <w:lang w:val="es-ES"/>
        </w:rPr>
        <w:t>reunión</w:t>
      </w:r>
      <w:proofErr w:type="spellEnd"/>
      <w:r w:rsidR="00C909A0">
        <w:rPr>
          <w:rFonts w:ascii="Verdana" w:hAnsi="Verdana"/>
          <w:color w:val="000000" w:themeColor="text1"/>
          <w:sz w:val="16"/>
          <w:szCs w:val="16"/>
          <w:lang w:val="es-ES"/>
        </w:rPr>
        <w:t xml:space="preserve"> (art. 15 CADH)</w:t>
      </w:r>
      <w:r w:rsidR="006071D1" w:rsidRPr="006071D1">
        <w:rPr>
          <w:rFonts w:ascii="Verdana" w:hAnsi="Verdana"/>
          <w:color w:val="000000" w:themeColor="text1"/>
          <w:sz w:val="16"/>
          <w:szCs w:val="16"/>
          <w:lang w:val="es-ES"/>
        </w:rPr>
        <w:t xml:space="preserve">, derechos </w:t>
      </w:r>
      <w:proofErr w:type="spellStart"/>
      <w:r w:rsidR="006071D1" w:rsidRPr="006071D1">
        <w:rPr>
          <w:rFonts w:ascii="Verdana" w:hAnsi="Verdana"/>
          <w:color w:val="000000" w:themeColor="text1"/>
          <w:sz w:val="16"/>
          <w:szCs w:val="16"/>
          <w:lang w:val="es-ES"/>
        </w:rPr>
        <w:t>políticos</w:t>
      </w:r>
      <w:proofErr w:type="spellEnd"/>
      <w:r w:rsidR="00C909A0">
        <w:rPr>
          <w:rFonts w:ascii="Verdana" w:hAnsi="Verdana"/>
          <w:color w:val="000000" w:themeColor="text1"/>
          <w:sz w:val="16"/>
          <w:szCs w:val="16"/>
          <w:lang w:val="es-ES"/>
        </w:rPr>
        <w:t xml:space="preserve"> (art. 23 CADH)</w:t>
      </w:r>
      <w:r w:rsidR="006071D1" w:rsidRPr="006071D1">
        <w:rPr>
          <w:rFonts w:ascii="Verdana" w:hAnsi="Verdana"/>
          <w:color w:val="000000" w:themeColor="text1"/>
          <w:sz w:val="16"/>
          <w:szCs w:val="16"/>
          <w:lang w:val="es-ES"/>
        </w:rPr>
        <w:t xml:space="preserve">, derecho de </w:t>
      </w:r>
      <w:proofErr w:type="spellStart"/>
      <w:r w:rsidR="006071D1" w:rsidRPr="006071D1">
        <w:rPr>
          <w:rFonts w:ascii="Verdana" w:hAnsi="Verdana"/>
          <w:color w:val="000000" w:themeColor="text1"/>
          <w:sz w:val="16"/>
          <w:szCs w:val="16"/>
          <w:lang w:val="es-ES"/>
        </w:rPr>
        <w:t>asociación</w:t>
      </w:r>
      <w:proofErr w:type="spellEnd"/>
      <w:r w:rsidR="00C909A0">
        <w:rPr>
          <w:rFonts w:ascii="Verdana" w:hAnsi="Verdana"/>
          <w:color w:val="000000" w:themeColor="text1"/>
          <w:sz w:val="16"/>
          <w:szCs w:val="16"/>
          <w:lang w:val="es-ES"/>
        </w:rPr>
        <w:t xml:space="preserve"> (art. 16 CADH)</w:t>
      </w:r>
      <w:r w:rsidR="006071D1" w:rsidRPr="006071D1">
        <w:rPr>
          <w:rFonts w:ascii="Verdana" w:hAnsi="Verdana"/>
          <w:color w:val="000000" w:themeColor="text1"/>
          <w:sz w:val="16"/>
          <w:szCs w:val="16"/>
          <w:lang w:val="es-ES"/>
        </w:rPr>
        <w:t xml:space="preserve">, </w:t>
      </w:r>
      <w:proofErr w:type="spellStart"/>
      <w:r w:rsidR="006071D1" w:rsidRPr="006071D1">
        <w:rPr>
          <w:rFonts w:ascii="Verdana" w:hAnsi="Verdana"/>
          <w:color w:val="000000" w:themeColor="text1"/>
          <w:sz w:val="16"/>
          <w:szCs w:val="16"/>
          <w:lang w:val="es-ES"/>
        </w:rPr>
        <w:t>garantías</w:t>
      </w:r>
      <w:proofErr w:type="spellEnd"/>
      <w:r w:rsidR="006071D1" w:rsidRPr="006071D1">
        <w:rPr>
          <w:rFonts w:ascii="Verdana" w:hAnsi="Verdana"/>
          <w:color w:val="000000" w:themeColor="text1"/>
          <w:sz w:val="16"/>
          <w:szCs w:val="16"/>
          <w:lang w:val="es-ES"/>
        </w:rPr>
        <w:t xml:space="preserve"> judiciales</w:t>
      </w:r>
      <w:r w:rsidR="00C909A0">
        <w:rPr>
          <w:rFonts w:ascii="Verdana" w:hAnsi="Verdana"/>
          <w:color w:val="000000" w:themeColor="text1"/>
          <w:sz w:val="16"/>
          <w:szCs w:val="16"/>
          <w:lang w:val="es-ES"/>
        </w:rPr>
        <w:t xml:space="preserve"> (art. 8 CADH)</w:t>
      </w:r>
      <w:r w:rsidR="006071D1" w:rsidRPr="006071D1">
        <w:rPr>
          <w:rFonts w:ascii="Verdana" w:hAnsi="Verdana"/>
          <w:color w:val="000000" w:themeColor="text1"/>
          <w:sz w:val="16"/>
          <w:szCs w:val="16"/>
          <w:lang w:val="es-ES"/>
        </w:rPr>
        <w:t>, protección judicial</w:t>
      </w:r>
      <w:r w:rsidR="00C909A0">
        <w:rPr>
          <w:rFonts w:ascii="Verdana" w:hAnsi="Verdana"/>
          <w:color w:val="000000" w:themeColor="text1"/>
          <w:sz w:val="16"/>
          <w:szCs w:val="16"/>
          <w:lang w:val="es-ES"/>
        </w:rPr>
        <w:t xml:space="preserve"> (art. 25 CADH)</w:t>
      </w:r>
      <w:r w:rsidR="006071D1" w:rsidRPr="006071D1">
        <w:rPr>
          <w:rFonts w:ascii="Verdana" w:hAnsi="Verdana"/>
          <w:color w:val="000000" w:themeColor="text1"/>
          <w:sz w:val="16"/>
          <w:szCs w:val="16"/>
          <w:lang w:val="es-ES"/>
        </w:rPr>
        <w:t xml:space="preserve">, derecho a permanecer en el cargo en condiciones de igualdad </w:t>
      </w:r>
      <w:r w:rsidR="00C909A0">
        <w:rPr>
          <w:rFonts w:ascii="Verdana" w:hAnsi="Verdana"/>
          <w:color w:val="000000" w:themeColor="text1"/>
          <w:sz w:val="16"/>
          <w:szCs w:val="16"/>
          <w:lang w:val="es-ES"/>
        </w:rPr>
        <w:t xml:space="preserve">(art. 23 CADH) </w:t>
      </w:r>
      <w:r w:rsidR="006071D1" w:rsidRPr="006071D1">
        <w:rPr>
          <w:rFonts w:ascii="Verdana" w:hAnsi="Verdana"/>
          <w:color w:val="000000" w:themeColor="text1"/>
          <w:sz w:val="16"/>
          <w:szCs w:val="16"/>
          <w:lang w:val="es-ES"/>
        </w:rPr>
        <w:t>y el principio de legalidad</w:t>
      </w:r>
      <w:r w:rsidR="00C909A0">
        <w:rPr>
          <w:rFonts w:ascii="Verdana" w:hAnsi="Verdana"/>
          <w:color w:val="000000" w:themeColor="text1"/>
          <w:sz w:val="16"/>
          <w:szCs w:val="16"/>
          <w:lang w:val="es-ES"/>
        </w:rPr>
        <w:t xml:space="preserve"> (art. 9 CADH)</w:t>
      </w:r>
      <w:r w:rsidR="006071D1" w:rsidRPr="006071D1">
        <w:rPr>
          <w:rFonts w:ascii="Verdana" w:hAnsi="Verdana"/>
          <w:color w:val="000000" w:themeColor="text1"/>
          <w:sz w:val="16"/>
          <w:szCs w:val="16"/>
          <w:lang w:val="es-ES"/>
        </w:rPr>
        <w:t xml:space="preserve">, en el marco de los procesos disciplinarios realizados en contra de los jueces </w:t>
      </w:r>
      <w:proofErr w:type="spellStart"/>
      <w:r w:rsidR="006071D1" w:rsidRPr="006071D1">
        <w:rPr>
          <w:rFonts w:ascii="Verdana" w:hAnsi="Verdana"/>
          <w:color w:val="000000" w:themeColor="text1"/>
          <w:sz w:val="16"/>
          <w:szCs w:val="16"/>
          <w:lang w:val="es-ES"/>
        </w:rPr>
        <w:t>Adán</w:t>
      </w:r>
      <w:proofErr w:type="spellEnd"/>
      <w:r w:rsidR="006071D1" w:rsidRPr="006071D1">
        <w:rPr>
          <w:rFonts w:ascii="Verdana" w:hAnsi="Verdana"/>
          <w:color w:val="000000" w:themeColor="text1"/>
          <w:sz w:val="16"/>
          <w:szCs w:val="16"/>
          <w:lang w:val="es-ES"/>
        </w:rPr>
        <w:t xml:space="preserve"> Guillermo </w:t>
      </w:r>
      <w:proofErr w:type="spellStart"/>
      <w:r w:rsidR="006071D1" w:rsidRPr="006071D1">
        <w:rPr>
          <w:rFonts w:ascii="Verdana" w:hAnsi="Verdana"/>
          <w:color w:val="000000" w:themeColor="text1"/>
          <w:sz w:val="16"/>
          <w:szCs w:val="16"/>
          <w:lang w:val="es-ES"/>
        </w:rPr>
        <w:t>López</w:t>
      </w:r>
      <w:proofErr w:type="spellEnd"/>
      <w:r w:rsidR="006071D1" w:rsidRPr="006071D1">
        <w:rPr>
          <w:rFonts w:ascii="Verdana" w:hAnsi="Verdana"/>
          <w:color w:val="000000" w:themeColor="text1"/>
          <w:sz w:val="16"/>
          <w:szCs w:val="16"/>
          <w:lang w:val="es-ES"/>
        </w:rPr>
        <w:t xml:space="preserve"> Lone, Luis Alonso </w:t>
      </w:r>
      <w:proofErr w:type="spellStart"/>
      <w:r w:rsidR="006071D1" w:rsidRPr="006071D1">
        <w:rPr>
          <w:rFonts w:ascii="Verdana" w:hAnsi="Verdana"/>
          <w:color w:val="000000" w:themeColor="text1"/>
          <w:sz w:val="16"/>
          <w:szCs w:val="16"/>
          <w:lang w:val="es-ES"/>
        </w:rPr>
        <w:t>Chévez</w:t>
      </w:r>
      <w:proofErr w:type="spellEnd"/>
      <w:r w:rsidR="006071D1" w:rsidRPr="006071D1">
        <w:rPr>
          <w:rFonts w:ascii="Verdana" w:hAnsi="Verdana"/>
          <w:color w:val="000000" w:themeColor="text1"/>
          <w:sz w:val="16"/>
          <w:szCs w:val="16"/>
          <w:lang w:val="es-ES"/>
        </w:rPr>
        <w:t xml:space="preserve"> de la Rocha y </w:t>
      </w:r>
      <w:proofErr w:type="spellStart"/>
      <w:r w:rsidR="006071D1" w:rsidRPr="006071D1">
        <w:rPr>
          <w:rFonts w:ascii="Verdana" w:hAnsi="Verdana"/>
          <w:color w:val="000000" w:themeColor="text1"/>
          <w:sz w:val="16"/>
          <w:szCs w:val="16"/>
          <w:lang w:val="es-ES"/>
        </w:rPr>
        <w:t>Ramón</w:t>
      </w:r>
      <w:proofErr w:type="spellEnd"/>
      <w:r w:rsidR="006071D1" w:rsidRPr="006071D1">
        <w:rPr>
          <w:rFonts w:ascii="Verdana" w:hAnsi="Verdana"/>
          <w:color w:val="000000" w:themeColor="text1"/>
          <w:sz w:val="16"/>
          <w:szCs w:val="16"/>
          <w:lang w:val="es-ES"/>
        </w:rPr>
        <w:t xml:space="preserve"> Enrique Barrios Maldonado, </w:t>
      </w:r>
      <w:proofErr w:type="spellStart"/>
      <w:r w:rsidR="006071D1" w:rsidRPr="006071D1">
        <w:rPr>
          <w:rFonts w:ascii="Verdana" w:hAnsi="Verdana"/>
          <w:color w:val="000000" w:themeColor="text1"/>
          <w:sz w:val="16"/>
          <w:szCs w:val="16"/>
          <w:lang w:val="es-ES"/>
        </w:rPr>
        <w:t>asi</w:t>
      </w:r>
      <w:proofErr w:type="spellEnd"/>
      <w:r w:rsidR="006071D1" w:rsidRPr="006071D1">
        <w:rPr>
          <w:rFonts w:ascii="Verdana" w:hAnsi="Verdana"/>
          <w:color w:val="000000" w:themeColor="text1"/>
          <w:sz w:val="16"/>
          <w:szCs w:val="16"/>
          <w:lang w:val="es-ES"/>
        </w:rPr>
        <w:t xml:space="preserve">́ como de la magistrada </w:t>
      </w:r>
      <w:proofErr w:type="spellStart"/>
      <w:r w:rsidR="006071D1" w:rsidRPr="006071D1">
        <w:rPr>
          <w:rFonts w:ascii="Verdana" w:hAnsi="Verdana"/>
          <w:color w:val="000000" w:themeColor="text1"/>
          <w:sz w:val="16"/>
          <w:szCs w:val="16"/>
          <w:lang w:val="es-ES"/>
        </w:rPr>
        <w:t>Tirza</w:t>
      </w:r>
      <w:proofErr w:type="spellEnd"/>
      <w:r w:rsidR="006071D1" w:rsidRPr="006071D1">
        <w:rPr>
          <w:rFonts w:ascii="Verdana" w:hAnsi="Verdana"/>
          <w:color w:val="000000" w:themeColor="text1"/>
          <w:sz w:val="16"/>
          <w:szCs w:val="16"/>
          <w:lang w:val="es-ES"/>
        </w:rPr>
        <w:t xml:space="preserve"> del Carmen Flores Lanza.</w:t>
      </w:r>
      <w:r w:rsidRPr="00EA462A">
        <w:rPr>
          <w:rFonts w:ascii="Verdana" w:hAnsi="Verdana"/>
          <w:color w:val="000000" w:themeColor="text1"/>
          <w:sz w:val="16"/>
          <w:szCs w:val="16"/>
          <w:lang w:val="es-ES"/>
        </w:rPr>
        <w:t xml:space="preserve"> </w:t>
      </w:r>
    </w:p>
  </w:footnote>
  <w:footnote w:id="10">
    <w:p w14:paraId="1E53B987" w14:textId="467E1981" w:rsidR="00EA462A" w:rsidRPr="00011742" w:rsidRDefault="00EA462A" w:rsidP="00EA462A">
      <w:pPr>
        <w:pStyle w:val="Textonotapie"/>
        <w:spacing w:line="240" w:lineRule="auto"/>
        <w:jc w:val="both"/>
        <w:rPr>
          <w:rFonts w:ascii="Verdana" w:hAnsi="Verdana"/>
          <w:sz w:val="16"/>
          <w:szCs w:val="16"/>
          <w:lang w:val="es-CL"/>
        </w:rPr>
      </w:pPr>
      <w:r w:rsidRPr="00011742">
        <w:rPr>
          <w:rStyle w:val="Refdenotaalpie"/>
          <w:rFonts w:ascii="Verdana" w:hAnsi="Verdana"/>
          <w:sz w:val="16"/>
          <w:szCs w:val="16"/>
        </w:rPr>
        <w:footnoteRef/>
      </w:r>
      <w:r w:rsidRPr="00011742">
        <w:rPr>
          <w:rFonts w:ascii="Verdana" w:hAnsi="Verdana"/>
          <w:sz w:val="16"/>
          <w:szCs w:val="16"/>
          <w:lang w:val="es-CL"/>
        </w:rPr>
        <w:t xml:space="preserve"> Este caso se refiere a la responsabilidad internacional del Estado por la violación de los derechos a la libertad de pensamiento y expresión, a las garantías judiciales, y al principio de legalidad, en relación con la obligación de respetar y garantizar dichos derechos y el deber de adoptar disposiciones de derecho interno, en perjuicio del Juez Daniel David Urrutia Laubreaux. En consecuencia, la Corte concluyó que el Estado de Chile es responsable por la violación de los artículos 13, 8.1, 8.2.b), 8.2.c), y 9 de la Convención Americana sobre Derechos Humanos en relación con los artículos 1.1 y 2 del mismo instrumento, en perjuicio del señor Daniel David Urrutia Laubreaux.</w:t>
      </w:r>
    </w:p>
  </w:footnote>
  <w:footnote w:id="11">
    <w:p w14:paraId="42BEDFF6" w14:textId="547572E0" w:rsidR="00EF57C8" w:rsidRPr="00EA462A" w:rsidRDefault="00EF57C8" w:rsidP="00EA462A">
      <w:pPr>
        <w:pStyle w:val="NormalWeb"/>
        <w:shd w:val="clear" w:color="auto" w:fill="FFFFFF"/>
        <w:spacing w:line="240" w:lineRule="auto"/>
        <w:jc w:val="both"/>
        <w:textAlignment w:val="top"/>
        <w:rPr>
          <w:rFonts w:ascii="Verdana" w:hAnsi="Verdana"/>
          <w:color w:val="000000"/>
          <w:sz w:val="16"/>
          <w:szCs w:val="16"/>
        </w:rPr>
      </w:pPr>
      <w:r w:rsidRPr="00EA462A">
        <w:rPr>
          <w:rStyle w:val="Refdenotaalpie"/>
          <w:rFonts w:ascii="Verdana" w:hAnsi="Verdana"/>
          <w:sz w:val="16"/>
          <w:szCs w:val="16"/>
        </w:rPr>
        <w:footnoteRef/>
      </w:r>
      <w:r w:rsidRPr="00EA462A">
        <w:rPr>
          <w:rFonts w:ascii="Verdana" w:hAnsi="Verdana"/>
          <w:sz w:val="16"/>
          <w:szCs w:val="16"/>
        </w:rPr>
        <w:t xml:space="preserve"> </w:t>
      </w:r>
      <w:r w:rsidR="00C909A0" w:rsidRPr="00C909A0">
        <w:rPr>
          <w:rFonts w:ascii="Verdana" w:hAnsi="Verdana"/>
          <w:color w:val="000000"/>
          <w:sz w:val="16"/>
          <w:szCs w:val="16"/>
        </w:rPr>
        <w:t xml:space="preserve">El caso se refiere a la responsabilidad internacional del Estado por la condena en un proceso de difamación y calumnia, y las restricciones para salir del país impuestas en perjuicio Ricardo Nicolás </w:t>
      </w:r>
      <w:proofErr w:type="spellStart"/>
      <w:r w:rsidR="00C909A0" w:rsidRPr="00C909A0">
        <w:rPr>
          <w:rFonts w:ascii="Verdana" w:hAnsi="Verdana"/>
          <w:color w:val="000000"/>
          <w:sz w:val="16"/>
          <w:szCs w:val="16"/>
        </w:rPr>
        <w:t>Canese</w:t>
      </w:r>
      <w:proofErr w:type="spellEnd"/>
      <w:r w:rsidR="00C909A0" w:rsidRPr="00C909A0">
        <w:rPr>
          <w:rFonts w:ascii="Verdana" w:hAnsi="Verdana"/>
          <w:color w:val="000000"/>
          <w:sz w:val="16"/>
          <w:szCs w:val="16"/>
        </w:rPr>
        <w:t xml:space="preserve"> </w:t>
      </w:r>
      <w:proofErr w:type="spellStart"/>
      <w:r w:rsidR="00C909A0" w:rsidRPr="00C909A0">
        <w:rPr>
          <w:rFonts w:ascii="Verdana" w:hAnsi="Verdana"/>
          <w:color w:val="000000"/>
          <w:sz w:val="16"/>
          <w:szCs w:val="16"/>
        </w:rPr>
        <w:t>Krivoshein</w:t>
      </w:r>
      <w:proofErr w:type="spellEnd"/>
      <w:r w:rsidR="00C909A0" w:rsidRPr="00C909A0">
        <w:rPr>
          <w:rFonts w:ascii="Verdana" w:hAnsi="Verdana"/>
          <w:color w:val="000000"/>
          <w:sz w:val="16"/>
          <w:szCs w:val="16"/>
        </w:rPr>
        <w:t>.</w:t>
      </w:r>
      <w:r w:rsidR="00C909A0">
        <w:rPr>
          <w:rFonts w:ascii="Verdana" w:hAnsi="Verdana"/>
          <w:color w:val="000000"/>
          <w:sz w:val="16"/>
          <w:szCs w:val="16"/>
        </w:rPr>
        <w:t xml:space="preserve"> Derechos violados: </w:t>
      </w:r>
      <w:r w:rsidR="00C909A0" w:rsidRPr="00C909A0">
        <w:rPr>
          <w:rFonts w:ascii="Verdana" w:hAnsi="Verdana"/>
          <w:color w:val="000000"/>
          <w:sz w:val="16"/>
          <w:szCs w:val="16"/>
        </w:rPr>
        <w:t>Artículo 1 (Obligación de respetar los derechos.)</w:t>
      </w:r>
      <w:r w:rsidR="00215583">
        <w:rPr>
          <w:rFonts w:ascii="Verdana" w:hAnsi="Verdana"/>
          <w:color w:val="000000"/>
          <w:sz w:val="16"/>
          <w:szCs w:val="16"/>
        </w:rPr>
        <w:t>,</w:t>
      </w:r>
      <w:r w:rsidR="00C909A0" w:rsidRPr="00C909A0">
        <w:rPr>
          <w:rFonts w:ascii="Verdana" w:hAnsi="Verdana"/>
          <w:color w:val="000000"/>
          <w:sz w:val="16"/>
          <w:szCs w:val="16"/>
        </w:rPr>
        <w:t xml:space="preserve"> Artículo 13 (Libertad de pensamiento y expresión)</w:t>
      </w:r>
      <w:r w:rsidR="00215583">
        <w:rPr>
          <w:rFonts w:ascii="Verdana" w:hAnsi="Verdana"/>
          <w:color w:val="000000"/>
          <w:sz w:val="16"/>
          <w:szCs w:val="16"/>
        </w:rPr>
        <w:t>,</w:t>
      </w:r>
      <w:r w:rsidR="00C909A0" w:rsidRPr="00C909A0">
        <w:rPr>
          <w:rFonts w:ascii="Verdana" w:hAnsi="Verdana"/>
          <w:color w:val="000000"/>
          <w:sz w:val="16"/>
          <w:szCs w:val="16"/>
        </w:rPr>
        <w:t xml:space="preserve"> Artículo 2 (Deber de adoptar disposiciones de derecho interno)</w:t>
      </w:r>
      <w:r w:rsidR="00215583">
        <w:rPr>
          <w:rFonts w:ascii="Verdana" w:hAnsi="Verdana"/>
          <w:color w:val="000000"/>
          <w:sz w:val="16"/>
          <w:szCs w:val="16"/>
        </w:rPr>
        <w:t>,</w:t>
      </w:r>
      <w:r w:rsidR="00C909A0" w:rsidRPr="00C909A0">
        <w:rPr>
          <w:rFonts w:ascii="Verdana" w:hAnsi="Verdana"/>
          <w:color w:val="000000"/>
          <w:sz w:val="16"/>
          <w:szCs w:val="16"/>
        </w:rPr>
        <w:t xml:space="preserve"> Artículo 22 ( Derecho de circulación y de residencia)</w:t>
      </w:r>
      <w:r w:rsidR="00215583">
        <w:rPr>
          <w:rFonts w:ascii="Verdana" w:hAnsi="Verdana"/>
          <w:color w:val="000000"/>
          <w:sz w:val="16"/>
          <w:szCs w:val="16"/>
        </w:rPr>
        <w:t>,</w:t>
      </w:r>
      <w:r w:rsidR="00C909A0" w:rsidRPr="00C909A0">
        <w:rPr>
          <w:rFonts w:ascii="Verdana" w:hAnsi="Verdana"/>
          <w:color w:val="000000"/>
          <w:sz w:val="16"/>
          <w:szCs w:val="16"/>
        </w:rPr>
        <w:t xml:space="preserve"> Artículo 8 (Garantías Judiciales)</w:t>
      </w:r>
      <w:r w:rsidR="00215583">
        <w:rPr>
          <w:rFonts w:ascii="Verdana" w:hAnsi="Verdana"/>
          <w:color w:val="000000"/>
          <w:sz w:val="16"/>
          <w:szCs w:val="16"/>
        </w:rPr>
        <w:t>,</w:t>
      </w:r>
      <w:r w:rsidR="00C909A0" w:rsidRPr="00C909A0">
        <w:rPr>
          <w:rFonts w:ascii="Verdana" w:hAnsi="Verdana"/>
          <w:color w:val="000000"/>
          <w:sz w:val="16"/>
          <w:szCs w:val="16"/>
        </w:rPr>
        <w:t xml:space="preserve"> Artículo 9 (Principio de legalidad y de retroactividad)</w:t>
      </w:r>
      <w:r w:rsidRPr="00EA462A">
        <w:rPr>
          <w:rFonts w:ascii="Verdana" w:hAnsi="Verdana"/>
          <w:color w:val="000000"/>
          <w:sz w:val="16"/>
          <w:szCs w:val="16"/>
        </w:rPr>
        <w:t>.</w:t>
      </w:r>
    </w:p>
  </w:footnote>
  <w:footnote w:id="12">
    <w:p w14:paraId="62E40782" w14:textId="42C3DE57" w:rsidR="00EF57C8" w:rsidRPr="00EA462A" w:rsidRDefault="00EF57C8" w:rsidP="00EA462A">
      <w:pPr>
        <w:pStyle w:val="Textonotapie"/>
        <w:spacing w:line="240" w:lineRule="auto"/>
        <w:jc w:val="both"/>
        <w:rPr>
          <w:rFonts w:ascii="Verdana" w:hAnsi="Verdana"/>
          <w:sz w:val="16"/>
          <w:szCs w:val="16"/>
          <w:lang w:val="es-ES_tradnl"/>
        </w:rPr>
      </w:pPr>
      <w:r w:rsidRPr="00EA462A">
        <w:rPr>
          <w:rStyle w:val="Refdenotaalpie"/>
          <w:rFonts w:ascii="Verdana" w:hAnsi="Verdana"/>
          <w:sz w:val="16"/>
          <w:szCs w:val="16"/>
        </w:rPr>
        <w:footnoteRef/>
      </w:r>
      <w:r w:rsidR="00C909A0">
        <w:rPr>
          <w:rFonts w:ascii="Verdana" w:hAnsi="Verdana"/>
          <w:sz w:val="16"/>
          <w:szCs w:val="16"/>
          <w:lang w:val="es-ES_tradnl"/>
        </w:rPr>
        <w:t xml:space="preserve"> </w:t>
      </w:r>
      <w:r w:rsidR="00C909A0" w:rsidRPr="00C909A0">
        <w:rPr>
          <w:rFonts w:ascii="Verdana" w:hAnsi="Verdana"/>
          <w:sz w:val="16"/>
          <w:szCs w:val="16"/>
          <w:lang w:val="es-ES_tradnl"/>
        </w:rPr>
        <w:t>El caso se refiere a la responsabilidad internacional del Estado por la censura previa impuesta a la publicación del libro “Ética y Servicios de Inteligencia”, la incautación de todo material relacionado con ella, la detención arbitraria de Humberto  Antonio Palamara Iribarne y la falta de un debido proceso diligente.</w:t>
      </w:r>
      <w:r w:rsidR="00C909A0">
        <w:rPr>
          <w:rFonts w:ascii="Verdana" w:hAnsi="Verdana"/>
          <w:sz w:val="16"/>
          <w:szCs w:val="16"/>
          <w:lang w:val="es-ES_tradnl"/>
        </w:rPr>
        <w:t xml:space="preserve"> Derechos violados: </w:t>
      </w:r>
      <w:r w:rsidR="00C909A0" w:rsidRPr="00C909A0">
        <w:rPr>
          <w:rFonts w:ascii="Verdana" w:hAnsi="Verdana"/>
          <w:sz w:val="16"/>
          <w:szCs w:val="16"/>
          <w:lang w:val="es-ES_tradnl"/>
        </w:rPr>
        <w:t>Artículo 1 (Obligación de respetar los derechos.)</w:t>
      </w:r>
      <w:r w:rsidR="00215583">
        <w:rPr>
          <w:rFonts w:ascii="Verdana" w:hAnsi="Verdana"/>
          <w:sz w:val="16"/>
          <w:szCs w:val="16"/>
          <w:lang w:val="es-ES_tradnl"/>
        </w:rPr>
        <w:t>,</w:t>
      </w:r>
      <w:r w:rsidR="00C909A0" w:rsidRPr="00C909A0">
        <w:rPr>
          <w:rFonts w:ascii="Verdana" w:hAnsi="Verdana"/>
          <w:sz w:val="16"/>
          <w:szCs w:val="16"/>
          <w:lang w:val="es-ES_tradnl"/>
        </w:rPr>
        <w:t xml:space="preserve"> Artículo 13 (Libertad de pensamiento y expresión)</w:t>
      </w:r>
      <w:r w:rsidR="00215583">
        <w:rPr>
          <w:rFonts w:ascii="Verdana" w:hAnsi="Verdana"/>
          <w:sz w:val="16"/>
          <w:szCs w:val="16"/>
          <w:lang w:val="es-ES_tradnl"/>
        </w:rPr>
        <w:t>,</w:t>
      </w:r>
      <w:r w:rsidR="00C909A0" w:rsidRPr="00C909A0">
        <w:rPr>
          <w:rFonts w:ascii="Verdana" w:hAnsi="Verdana"/>
          <w:sz w:val="16"/>
          <w:szCs w:val="16"/>
          <w:lang w:val="es-ES_tradnl"/>
        </w:rPr>
        <w:t xml:space="preserve"> Artículo 2 (Deber de adoptar disposiciones de derecho interno)</w:t>
      </w:r>
      <w:r w:rsidR="00215583">
        <w:rPr>
          <w:rFonts w:ascii="Verdana" w:hAnsi="Verdana"/>
          <w:sz w:val="16"/>
          <w:szCs w:val="16"/>
          <w:lang w:val="es-ES_tradnl"/>
        </w:rPr>
        <w:t>,</w:t>
      </w:r>
      <w:r w:rsidR="00C909A0" w:rsidRPr="00C909A0">
        <w:rPr>
          <w:rFonts w:ascii="Verdana" w:hAnsi="Verdana"/>
          <w:sz w:val="16"/>
          <w:szCs w:val="16"/>
          <w:lang w:val="es-ES_tradnl"/>
        </w:rPr>
        <w:t xml:space="preserve"> Artículo 21 (Derecho a la propiedad privada)</w:t>
      </w:r>
      <w:r w:rsidR="00215583">
        <w:rPr>
          <w:rFonts w:ascii="Verdana" w:hAnsi="Verdana"/>
          <w:sz w:val="16"/>
          <w:szCs w:val="16"/>
          <w:lang w:val="es-ES_tradnl"/>
        </w:rPr>
        <w:t>,</w:t>
      </w:r>
      <w:r w:rsidR="00C909A0" w:rsidRPr="00C909A0">
        <w:rPr>
          <w:rFonts w:ascii="Verdana" w:hAnsi="Verdana"/>
          <w:sz w:val="16"/>
          <w:szCs w:val="16"/>
          <w:lang w:val="es-ES_tradnl"/>
        </w:rPr>
        <w:t xml:space="preserve"> Artículo 7 (Derecho a la libertad personal)</w:t>
      </w:r>
      <w:r w:rsidR="00215583">
        <w:rPr>
          <w:rFonts w:ascii="Verdana" w:hAnsi="Verdana"/>
          <w:sz w:val="16"/>
          <w:szCs w:val="16"/>
          <w:lang w:val="es-ES_tradnl"/>
        </w:rPr>
        <w:t>,</w:t>
      </w:r>
      <w:r w:rsidR="00C909A0" w:rsidRPr="00C909A0">
        <w:rPr>
          <w:rFonts w:ascii="Verdana" w:hAnsi="Verdana"/>
          <w:sz w:val="16"/>
          <w:szCs w:val="16"/>
          <w:lang w:val="es-ES_tradnl"/>
        </w:rPr>
        <w:t xml:space="preserve"> Artículo 8 (Garantías Judiciales)</w:t>
      </w:r>
      <w:r w:rsidR="00215583">
        <w:rPr>
          <w:rFonts w:ascii="Verdana" w:hAnsi="Verdana"/>
          <w:sz w:val="16"/>
          <w:szCs w:val="16"/>
          <w:lang w:val="es-ES_tradnl"/>
        </w:rPr>
        <w:t>,</w:t>
      </w:r>
      <w:r w:rsidR="00C909A0" w:rsidRPr="00C909A0">
        <w:rPr>
          <w:rFonts w:ascii="Verdana" w:hAnsi="Verdana"/>
          <w:sz w:val="16"/>
          <w:szCs w:val="16"/>
          <w:lang w:val="es-ES_tradnl"/>
        </w:rPr>
        <w:t xml:space="preserve"> Artículo 9 (Principio de legalidad y de retroactividad)</w:t>
      </w:r>
      <w:r w:rsidRPr="00EA462A">
        <w:rPr>
          <w:rFonts w:ascii="Verdana" w:hAnsi="Verdana"/>
          <w:sz w:val="16"/>
          <w:szCs w:val="16"/>
          <w:lang w:val="es-ES_tradnl"/>
        </w:rPr>
        <w:t>.</w:t>
      </w:r>
    </w:p>
  </w:footnote>
  <w:footnote w:id="13">
    <w:p w14:paraId="4B1EB1AC" w14:textId="21A049FC" w:rsidR="00EF57C8" w:rsidRPr="00EA462A" w:rsidRDefault="00EF57C8" w:rsidP="00EA462A">
      <w:pPr>
        <w:pStyle w:val="NormalWeb"/>
        <w:shd w:val="clear" w:color="auto" w:fill="FFFFFF"/>
        <w:spacing w:line="240" w:lineRule="auto"/>
        <w:jc w:val="both"/>
        <w:textAlignment w:val="top"/>
        <w:rPr>
          <w:rFonts w:ascii="Verdana" w:hAnsi="Verdana"/>
          <w:color w:val="000000"/>
          <w:sz w:val="16"/>
          <w:szCs w:val="16"/>
        </w:rPr>
      </w:pPr>
      <w:r w:rsidRPr="00EA462A">
        <w:rPr>
          <w:rStyle w:val="Refdenotaalpie"/>
          <w:rFonts w:ascii="Verdana" w:hAnsi="Verdana"/>
          <w:sz w:val="16"/>
          <w:szCs w:val="16"/>
        </w:rPr>
        <w:footnoteRef/>
      </w:r>
      <w:r w:rsidRPr="00EA462A">
        <w:rPr>
          <w:rFonts w:ascii="Verdana" w:hAnsi="Verdana"/>
          <w:sz w:val="16"/>
          <w:szCs w:val="16"/>
        </w:rPr>
        <w:t xml:space="preserve"> </w:t>
      </w:r>
      <w:r w:rsidR="00C909A0" w:rsidRPr="00C909A0">
        <w:rPr>
          <w:rFonts w:ascii="Verdana" w:hAnsi="Verdana"/>
          <w:sz w:val="16"/>
          <w:szCs w:val="16"/>
        </w:rPr>
        <w:t>El caso se refiere a la responsabilidad internacional del Estado por la agresión sufrida en perjuicio de Luis Gonzalo Vélez Restrepo por parte de miembros del Ejército Nacional colombiano, así como las amenazas en contra de su familia y la falta de investigación de los hechos ocurridos.</w:t>
      </w:r>
      <w:r w:rsidR="00C909A0">
        <w:rPr>
          <w:rFonts w:ascii="Verdana" w:hAnsi="Verdana"/>
          <w:sz w:val="16"/>
          <w:szCs w:val="16"/>
        </w:rPr>
        <w:t xml:space="preserve"> Derechos violados: </w:t>
      </w:r>
      <w:r w:rsidR="00C909A0" w:rsidRPr="00C909A0">
        <w:rPr>
          <w:rFonts w:ascii="Verdana" w:hAnsi="Verdana"/>
          <w:sz w:val="16"/>
          <w:szCs w:val="16"/>
        </w:rPr>
        <w:t>Artículo 1 (Obligación de respetar los derechos.)</w:t>
      </w:r>
      <w:r w:rsidR="00215583">
        <w:rPr>
          <w:rFonts w:ascii="Verdana" w:hAnsi="Verdana"/>
          <w:sz w:val="16"/>
          <w:szCs w:val="16"/>
        </w:rPr>
        <w:t>,</w:t>
      </w:r>
      <w:r w:rsidR="00C909A0" w:rsidRPr="00C909A0">
        <w:rPr>
          <w:rFonts w:ascii="Verdana" w:hAnsi="Verdana"/>
          <w:sz w:val="16"/>
          <w:szCs w:val="16"/>
        </w:rPr>
        <w:t xml:space="preserve"> Artículo 11 (Derecho a la honra y dignidad)</w:t>
      </w:r>
      <w:r w:rsidR="00215583">
        <w:rPr>
          <w:rFonts w:ascii="Verdana" w:hAnsi="Verdana"/>
          <w:sz w:val="16"/>
          <w:szCs w:val="16"/>
        </w:rPr>
        <w:t>,</w:t>
      </w:r>
      <w:r w:rsidR="00C909A0" w:rsidRPr="00C909A0">
        <w:rPr>
          <w:rFonts w:ascii="Verdana" w:hAnsi="Verdana"/>
          <w:sz w:val="16"/>
          <w:szCs w:val="16"/>
        </w:rPr>
        <w:t xml:space="preserve"> Artículo 13 (Libertad de pensamiento y expresión)</w:t>
      </w:r>
      <w:r w:rsidR="00215583">
        <w:rPr>
          <w:rFonts w:ascii="Verdana" w:hAnsi="Verdana"/>
          <w:sz w:val="16"/>
          <w:szCs w:val="16"/>
        </w:rPr>
        <w:t>,</w:t>
      </w:r>
      <w:r w:rsidR="00C909A0" w:rsidRPr="00C909A0">
        <w:rPr>
          <w:rFonts w:ascii="Verdana" w:hAnsi="Verdana"/>
          <w:sz w:val="16"/>
          <w:szCs w:val="16"/>
        </w:rPr>
        <w:t xml:space="preserve"> Artículo 17 ( Protección a la Familia)</w:t>
      </w:r>
      <w:r w:rsidR="00215583">
        <w:rPr>
          <w:rFonts w:ascii="Verdana" w:hAnsi="Verdana"/>
          <w:sz w:val="16"/>
          <w:szCs w:val="16"/>
        </w:rPr>
        <w:t>,</w:t>
      </w:r>
      <w:r w:rsidR="00C909A0" w:rsidRPr="00C909A0">
        <w:rPr>
          <w:rFonts w:ascii="Verdana" w:hAnsi="Verdana"/>
          <w:sz w:val="16"/>
          <w:szCs w:val="16"/>
        </w:rPr>
        <w:t xml:space="preserve"> Artículo 19 (Derecho de niño)</w:t>
      </w:r>
      <w:r w:rsidR="00215583">
        <w:rPr>
          <w:rFonts w:ascii="Verdana" w:hAnsi="Verdana"/>
          <w:sz w:val="16"/>
          <w:szCs w:val="16"/>
        </w:rPr>
        <w:t>,</w:t>
      </w:r>
      <w:r w:rsidR="00C909A0" w:rsidRPr="00C909A0">
        <w:rPr>
          <w:rFonts w:ascii="Verdana" w:hAnsi="Verdana"/>
          <w:sz w:val="16"/>
          <w:szCs w:val="16"/>
        </w:rPr>
        <w:t xml:space="preserve"> Artículo 22 ( Derecho de circulación y de residencia)</w:t>
      </w:r>
      <w:r w:rsidR="00215583">
        <w:rPr>
          <w:rFonts w:ascii="Verdana" w:hAnsi="Verdana"/>
          <w:sz w:val="16"/>
          <w:szCs w:val="16"/>
        </w:rPr>
        <w:t>,</w:t>
      </w:r>
      <w:r w:rsidR="00C909A0" w:rsidRPr="00C909A0">
        <w:rPr>
          <w:rFonts w:ascii="Verdana" w:hAnsi="Verdana"/>
          <w:sz w:val="16"/>
          <w:szCs w:val="16"/>
        </w:rPr>
        <w:t xml:space="preserve"> Artículo 25 (Protección Judicial)</w:t>
      </w:r>
      <w:r w:rsidR="00215583">
        <w:rPr>
          <w:rFonts w:ascii="Verdana" w:hAnsi="Verdana"/>
          <w:sz w:val="16"/>
          <w:szCs w:val="16"/>
        </w:rPr>
        <w:t>,</w:t>
      </w:r>
      <w:r w:rsidR="00C909A0" w:rsidRPr="00C909A0">
        <w:rPr>
          <w:rFonts w:ascii="Verdana" w:hAnsi="Verdana"/>
          <w:sz w:val="16"/>
          <w:szCs w:val="16"/>
        </w:rPr>
        <w:t xml:space="preserve"> Artículo 4 (Derecho a la vida)</w:t>
      </w:r>
      <w:r w:rsidR="00215583">
        <w:rPr>
          <w:rFonts w:ascii="Verdana" w:hAnsi="Verdana"/>
          <w:sz w:val="16"/>
          <w:szCs w:val="16"/>
        </w:rPr>
        <w:t>,</w:t>
      </w:r>
      <w:r w:rsidR="00C909A0" w:rsidRPr="00C909A0">
        <w:rPr>
          <w:rFonts w:ascii="Verdana" w:hAnsi="Verdana"/>
          <w:sz w:val="16"/>
          <w:szCs w:val="16"/>
        </w:rPr>
        <w:t xml:space="preserve"> Artículo 5 (Derecho a la Integridad Personal)</w:t>
      </w:r>
      <w:r w:rsidR="00215583">
        <w:rPr>
          <w:rFonts w:ascii="Verdana" w:hAnsi="Verdana"/>
          <w:sz w:val="16"/>
          <w:szCs w:val="16"/>
        </w:rPr>
        <w:t>,</w:t>
      </w:r>
      <w:r w:rsidR="00C909A0" w:rsidRPr="00C909A0">
        <w:rPr>
          <w:rFonts w:ascii="Verdana" w:hAnsi="Verdana"/>
          <w:sz w:val="16"/>
          <w:szCs w:val="16"/>
        </w:rPr>
        <w:t xml:space="preserve"> Artículo 8 (Garantías Judiciales)</w:t>
      </w:r>
      <w:r w:rsidR="00C909A0">
        <w:rPr>
          <w:rFonts w:ascii="Verdana" w:hAnsi="Verdana"/>
          <w:sz w:val="16"/>
          <w:szCs w:val="16"/>
        </w:rPr>
        <w:t>.</w:t>
      </w:r>
    </w:p>
  </w:footnote>
  <w:footnote w:id="14">
    <w:p w14:paraId="107E4FB5" w14:textId="1CD90A57" w:rsidR="00EA462A" w:rsidRPr="00EA462A" w:rsidRDefault="00EA462A" w:rsidP="00EA462A">
      <w:pPr>
        <w:pStyle w:val="Textonotapie"/>
        <w:spacing w:line="240" w:lineRule="auto"/>
        <w:jc w:val="both"/>
        <w:rPr>
          <w:rFonts w:ascii="Verdana" w:hAnsi="Verdana"/>
          <w:sz w:val="16"/>
          <w:szCs w:val="16"/>
          <w:lang w:val="es-CL"/>
        </w:rPr>
      </w:pPr>
      <w:r w:rsidRPr="00EA462A">
        <w:rPr>
          <w:rStyle w:val="Refdenotaalpie"/>
          <w:rFonts w:ascii="Verdana" w:hAnsi="Verdana"/>
          <w:sz w:val="16"/>
          <w:szCs w:val="16"/>
        </w:rPr>
        <w:footnoteRef/>
      </w:r>
      <w:r w:rsidRPr="00EA462A">
        <w:rPr>
          <w:rFonts w:ascii="Verdana" w:hAnsi="Verdana"/>
          <w:sz w:val="16"/>
          <w:szCs w:val="16"/>
          <w:lang w:val="es-CL"/>
        </w:rPr>
        <w:t xml:space="preserve"> Este caso se refiere a la responsabilidad internacional del Estado por la violación de los derechos del señor Tulio Álvarez Ramos a la libertad de expresión (art. 13 CADH), participación política (art. 23 CADH), circulación (art. 22 CADH), garantías judiciales (art. 8 CADH) y protección judicial (art. 25 CADH), en razón de un proceso penal seguido en su contra y la consecuente condena, en razón de la publicación de un artículo de opinión sobre supuestas irregularidades en el manejo de la Caja de Ahorros de la Asamblea Nacional de Venezuela.</w:t>
      </w:r>
    </w:p>
  </w:footnote>
  <w:footnote w:id="15">
    <w:p w14:paraId="3CD213BE" w14:textId="5C0B5E6B" w:rsidR="00EF57C8" w:rsidRPr="00EA462A" w:rsidRDefault="00EF57C8" w:rsidP="00EA462A">
      <w:pPr>
        <w:pStyle w:val="Textonotapie"/>
        <w:spacing w:line="240" w:lineRule="auto"/>
        <w:jc w:val="both"/>
        <w:rPr>
          <w:rFonts w:ascii="Verdana" w:hAnsi="Verdana"/>
          <w:sz w:val="16"/>
          <w:szCs w:val="16"/>
          <w:lang w:val="es-ES_tradnl"/>
        </w:rPr>
      </w:pPr>
      <w:r w:rsidRPr="00EA462A">
        <w:rPr>
          <w:rStyle w:val="Refdenotaalpie"/>
          <w:rFonts w:ascii="Verdana" w:hAnsi="Verdana"/>
          <w:sz w:val="16"/>
          <w:szCs w:val="16"/>
        </w:rPr>
        <w:footnoteRef/>
      </w:r>
      <w:r w:rsidR="00134085">
        <w:rPr>
          <w:rFonts w:ascii="Verdana" w:hAnsi="Verdana"/>
          <w:sz w:val="16"/>
          <w:szCs w:val="16"/>
          <w:lang w:val="es-ES_tradnl"/>
        </w:rPr>
        <w:t xml:space="preserve"> </w:t>
      </w:r>
      <w:r w:rsidR="00134085" w:rsidRPr="00134085">
        <w:rPr>
          <w:rFonts w:ascii="Verdana" w:hAnsi="Verdana"/>
          <w:sz w:val="16"/>
          <w:szCs w:val="16"/>
          <w:lang w:val="es-ES_tradnl"/>
        </w:rPr>
        <w:t>El caso se refiere a la responsabilidad internacional del Estado por la detención ilegal arbitraria de Alfredo López Álvarez, las condiciones de su detención y la falta de un debido proceso para cuestionar esta situación.</w:t>
      </w:r>
      <w:r w:rsidR="00134085">
        <w:rPr>
          <w:rFonts w:ascii="Verdana" w:hAnsi="Verdana"/>
          <w:sz w:val="16"/>
          <w:szCs w:val="16"/>
          <w:lang w:val="es-ES_tradnl"/>
        </w:rPr>
        <w:t xml:space="preserve"> Derechos violados: </w:t>
      </w:r>
      <w:r w:rsidR="00134085" w:rsidRPr="00134085">
        <w:rPr>
          <w:rFonts w:ascii="Verdana" w:hAnsi="Verdana"/>
          <w:sz w:val="16"/>
          <w:szCs w:val="16"/>
          <w:lang w:val="es-ES_tradnl"/>
        </w:rPr>
        <w:t>Artículo 1 (Obligación de respetar los derechos.)</w:t>
      </w:r>
      <w:r w:rsidR="00215583">
        <w:rPr>
          <w:rFonts w:ascii="Verdana" w:hAnsi="Verdana"/>
          <w:sz w:val="16"/>
          <w:szCs w:val="16"/>
          <w:lang w:val="es-ES_tradnl"/>
        </w:rPr>
        <w:t>,</w:t>
      </w:r>
      <w:r w:rsidR="00134085" w:rsidRPr="00134085">
        <w:rPr>
          <w:rFonts w:ascii="Verdana" w:hAnsi="Verdana"/>
          <w:sz w:val="16"/>
          <w:szCs w:val="16"/>
          <w:lang w:val="es-ES_tradnl"/>
        </w:rPr>
        <w:t xml:space="preserve"> Artículo 13 (Libertad de pensamiento y expresión)</w:t>
      </w:r>
      <w:r w:rsidR="00215583">
        <w:rPr>
          <w:rFonts w:ascii="Verdana" w:hAnsi="Verdana"/>
          <w:sz w:val="16"/>
          <w:szCs w:val="16"/>
          <w:lang w:val="es-ES_tradnl"/>
        </w:rPr>
        <w:t>,</w:t>
      </w:r>
      <w:r w:rsidR="00134085" w:rsidRPr="00134085">
        <w:rPr>
          <w:rFonts w:ascii="Verdana" w:hAnsi="Verdana"/>
          <w:sz w:val="16"/>
          <w:szCs w:val="16"/>
          <w:lang w:val="es-ES_tradnl"/>
        </w:rPr>
        <w:t xml:space="preserve"> Artículo 16 (Derecho a la Libertad de Asociación)</w:t>
      </w:r>
      <w:r w:rsidR="00215583">
        <w:rPr>
          <w:rFonts w:ascii="Verdana" w:hAnsi="Verdana"/>
          <w:sz w:val="16"/>
          <w:szCs w:val="16"/>
          <w:lang w:val="es-ES_tradnl"/>
        </w:rPr>
        <w:t>,</w:t>
      </w:r>
      <w:r w:rsidR="00134085" w:rsidRPr="00134085">
        <w:rPr>
          <w:rFonts w:ascii="Verdana" w:hAnsi="Verdana"/>
          <w:sz w:val="16"/>
          <w:szCs w:val="16"/>
          <w:lang w:val="es-ES_tradnl"/>
        </w:rPr>
        <w:t xml:space="preserve"> Artículo 24 (Igualdad ante la ley)</w:t>
      </w:r>
      <w:r w:rsidR="00215583">
        <w:rPr>
          <w:rFonts w:ascii="Verdana" w:hAnsi="Verdana"/>
          <w:sz w:val="16"/>
          <w:szCs w:val="16"/>
          <w:lang w:val="es-ES_tradnl"/>
        </w:rPr>
        <w:t>,</w:t>
      </w:r>
      <w:r w:rsidR="00134085" w:rsidRPr="00134085">
        <w:rPr>
          <w:rFonts w:ascii="Verdana" w:hAnsi="Verdana"/>
          <w:sz w:val="16"/>
          <w:szCs w:val="16"/>
          <w:lang w:val="es-ES_tradnl"/>
        </w:rPr>
        <w:t xml:space="preserve"> Artículo 25 (Protección Judicial)</w:t>
      </w:r>
      <w:r w:rsidR="00215583">
        <w:rPr>
          <w:rFonts w:ascii="Verdana" w:hAnsi="Verdana"/>
          <w:sz w:val="16"/>
          <w:szCs w:val="16"/>
          <w:lang w:val="es-ES_tradnl"/>
        </w:rPr>
        <w:t>,</w:t>
      </w:r>
      <w:r w:rsidR="00134085" w:rsidRPr="00134085">
        <w:rPr>
          <w:rFonts w:ascii="Verdana" w:hAnsi="Verdana"/>
          <w:sz w:val="16"/>
          <w:szCs w:val="16"/>
          <w:lang w:val="es-ES_tradnl"/>
        </w:rPr>
        <w:t xml:space="preserve"> Artículo 5 (Derecho a la Integridad Personal)</w:t>
      </w:r>
      <w:r w:rsidR="00215583">
        <w:rPr>
          <w:rFonts w:ascii="Verdana" w:hAnsi="Verdana"/>
          <w:sz w:val="16"/>
          <w:szCs w:val="16"/>
          <w:lang w:val="es-ES_tradnl"/>
        </w:rPr>
        <w:t>,</w:t>
      </w:r>
      <w:r w:rsidR="00134085" w:rsidRPr="00134085">
        <w:rPr>
          <w:rFonts w:ascii="Verdana" w:hAnsi="Verdana"/>
          <w:sz w:val="16"/>
          <w:szCs w:val="16"/>
          <w:lang w:val="es-ES_tradnl"/>
        </w:rPr>
        <w:t xml:space="preserve"> Artículo 7 (Derecho a la libertad personal)</w:t>
      </w:r>
      <w:r w:rsidR="00215583">
        <w:rPr>
          <w:rFonts w:ascii="Verdana" w:hAnsi="Verdana"/>
          <w:sz w:val="16"/>
          <w:szCs w:val="16"/>
          <w:lang w:val="es-ES_tradnl"/>
        </w:rPr>
        <w:t>,</w:t>
      </w:r>
      <w:r w:rsidR="00134085" w:rsidRPr="00134085">
        <w:rPr>
          <w:rFonts w:ascii="Verdana" w:hAnsi="Verdana"/>
          <w:sz w:val="16"/>
          <w:szCs w:val="16"/>
          <w:lang w:val="es-ES_tradnl"/>
        </w:rPr>
        <w:t xml:space="preserve"> Artículo 8 (Garantías Judiciales)</w:t>
      </w:r>
      <w:r w:rsidRPr="00EA462A">
        <w:rPr>
          <w:rFonts w:ascii="Verdana" w:hAnsi="Verdana"/>
          <w:sz w:val="16"/>
          <w:szCs w:val="16"/>
          <w:lang w:val="es-ES_tradnl"/>
        </w:rPr>
        <w:t>.</w:t>
      </w:r>
    </w:p>
  </w:footnote>
  <w:footnote w:id="16">
    <w:p w14:paraId="1E9C66BB" w14:textId="2E8CD0C2" w:rsidR="00EF57C8" w:rsidRPr="00EA462A" w:rsidRDefault="00EF57C8" w:rsidP="00EA462A">
      <w:pPr>
        <w:spacing w:line="240" w:lineRule="auto"/>
        <w:jc w:val="both"/>
        <w:rPr>
          <w:rFonts w:ascii="Verdana" w:hAnsi="Verdana"/>
          <w:color w:val="000000" w:themeColor="text1"/>
          <w:sz w:val="16"/>
          <w:szCs w:val="16"/>
          <w:lang w:val="es-ES"/>
        </w:rPr>
      </w:pPr>
      <w:r w:rsidRPr="00EA462A">
        <w:rPr>
          <w:rStyle w:val="Refdenotaalpie"/>
          <w:rFonts w:ascii="Verdana" w:hAnsi="Verdana"/>
          <w:sz w:val="16"/>
          <w:szCs w:val="16"/>
        </w:rPr>
        <w:footnoteRef/>
      </w:r>
      <w:r w:rsidRPr="00EA462A">
        <w:rPr>
          <w:rFonts w:ascii="Verdana" w:hAnsi="Verdana"/>
          <w:sz w:val="16"/>
          <w:szCs w:val="16"/>
        </w:rPr>
        <w:t xml:space="preserve"> </w:t>
      </w:r>
      <w:r w:rsidR="00134085" w:rsidRPr="00134085">
        <w:rPr>
          <w:rFonts w:ascii="Verdana" w:hAnsi="Verdana"/>
          <w:sz w:val="16"/>
          <w:szCs w:val="16"/>
        </w:rPr>
        <w:t xml:space="preserve">El caso se refiere a la responsabilidad internacional del Estado por </w:t>
      </w:r>
      <w:r w:rsidR="00134085">
        <w:rPr>
          <w:rFonts w:ascii="Verdana" w:hAnsi="Verdana"/>
          <w:sz w:val="16"/>
          <w:szCs w:val="16"/>
        </w:rPr>
        <w:t xml:space="preserve">la violación de los derecho a </w:t>
      </w:r>
      <w:r w:rsidR="00134085" w:rsidRPr="00134085">
        <w:rPr>
          <w:rFonts w:ascii="Verdana" w:hAnsi="Verdana"/>
          <w:color w:val="000000" w:themeColor="text1"/>
          <w:sz w:val="16"/>
          <w:szCs w:val="16"/>
          <w:lang w:val="es-ES"/>
        </w:rPr>
        <w:t xml:space="preserve">la libertad de </w:t>
      </w:r>
      <w:proofErr w:type="spellStart"/>
      <w:r w:rsidR="00134085" w:rsidRPr="00134085">
        <w:rPr>
          <w:rFonts w:ascii="Verdana" w:hAnsi="Verdana"/>
          <w:color w:val="000000" w:themeColor="text1"/>
          <w:sz w:val="16"/>
          <w:szCs w:val="16"/>
          <w:lang w:val="es-ES"/>
        </w:rPr>
        <w:t>expresión</w:t>
      </w:r>
      <w:proofErr w:type="spellEnd"/>
      <w:r w:rsidR="00134085">
        <w:rPr>
          <w:rFonts w:ascii="Verdana" w:hAnsi="Verdana"/>
          <w:color w:val="000000" w:themeColor="text1"/>
          <w:sz w:val="16"/>
          <w:szCs w:val="16"/>
          <w:lang w:val="es-ES"/>
        </w:rPr>
        <w:t xml:space="preserve"> (art. 13 CADH)</w:t>
      </w:r>
      <w:r w:rsidR="00134085" w:rsidRPr="00134085">
        <w:rPr>
          <w:rFonts w:ascii="Verdana" w:hAnsi="Verdana"/>
          <w:color w:val="000000" w:themeColor="text1"/>
          <w:sz w:val="16"/>
          <w:szCs w:val="16"/>
          <w:lang w:val="es-ES"/>
        </w:rPr>
        <w:t xml:space="preserve">, derecho de </w:t>
      </w:r>
      <w:proofErr w:type="spellStart"/>
      <w:r w:rsidR="00134085" w:rsidRPr="00134085">
        <w:rPr>
          <w:rFonts w:ascii="Verdana" w:hAnsi="Verdana"/>
          <w:color w:val="000000" w:themeColor="text1"/>
          <w:sz w:val="16"/>
          <w:szCs w:val="16"/>
          <w:lang w:val="es-ES"/>
        </w:rPr>
        <w:t>reunión</w:t>
      </w:r>
      <w:proofErr w:type="spellEnd"/>
      <w:r w:rsidR="00134085">
        <w:rPr>
          <w:rFonts w:ascii="Verdana" w:hAnsi="Verdana"/>
          <w:color w:val="000000" w:themeColor="text1"/>
          <w:sz w:val="16"/>
          <w:szCs w:val="16"/>
          <w:lang w:val="es-ES"/>
        </w:rPr>
        <w:t xml:space="preserve"> (art. 15 CADH)</w:t>
      </w:r>
      <w:r w:rsidR="00134085" w:rsidRPr="00134085">
        <w:rPr>
          <w:rFonts w:ascii="Verdana" w:hAnsi="Verdana"/>
          <w:color w:val="000000" w:themeColor="text1"/>
          <w:sz w:val="16"/>
          <w:szCs w:val="16"/>
          <w:lang w:val="es-ES"/>
        </w:rPr>
        <w:t xml:space="preserve">, derechos </w:t>
      </w:r>
      <w:proofErr w:type="spellStart"/>
      <w:r w:rsidR="00134085" w:rsidRPr="00134085">
        <w:rPr>
          <w:rFonts w:ascii="Verdana" w:hAnsi="Verdana"/>
          <w:color w:val="000000" w:themeColor="text1"/>
          <w:sz w:val="16"/>
          <w:szCs w:val="16"/>
          <w:lang w:val="es-ES"/>
        </w:rPr>
        <w:t>políticos</w:t>
      </w:r>
      <w:proofErr w:type="spellEnd"/>
      <w:r w:rsidR="00134085">
        <w:rPr>
          <w:rFonts w:ascii="Verdana" w:hAnsi="Verdana"/>
          <w:color w:val="000000" w:themeColor="text1"/>
          <w:sz w:val="16"/>
          <w:szCs w:val="16"/>
          <w:lang w:val="es-ES"/>
        </w:rPr>
        <w:t xml:space="preserve"> (art. 23 CADH)</w:t>
      </w:r>
      <w:r w:rsidR="00134085" w:rsidRPr="00134085">
        <w:rPr>
          <w:rFonts w:ascii="Verdana" w:hAnsi="Verdana"/>
          <w:color w:val="000000" w:themeColor="text1"/>
          <w:sz w:val="16"/>
          <w:szCs w:val="16"/>
          <w:lang w:val="es-ES"/>
        </w:rPr>
        <w:t xml:space="preserve">, derecho de </w:t>
      </w:r>
      <w:proofErr w:type="spellStart"/>
      <w:r w:rsidR="00134085" w:rsidRPr="00134085">
        <w:rPr>
          <w:rFonts w:ascii="Verdana" w:hAnsi="Verdana"/>
          <w:color w:val="000000" w:themeColor="text1"/>
          <w:sz w:val="16"/>
          <w:szCs w:val="16"/>
          <w:lang w:val="es-ES"/>
        </w:rPr>
        <w:t>asociación</w:t>
      </w:r>
      <w:proofErr w:type="spellEnd"/>
      <w:r w:rsidR="00134085">
        <w:rPr>
          <w:rFonts w:ascii="Verdana" w:hAnsi="Verdana"/>
          <w:color w:val="000000" w:themeColor="text1"/>
          <w:sz w:val="16"/>
          <w:szCs w:val="16"/>
          <w:lang w:val="es-ES"/>
        </w:rPr>
        <w:t xml:space="preserve"> (art. 16 CADH)</w:t>
      </w:r>
      <w:r w:rsidR="00134085" w:rsidRPr="00134085">
        <w:rPr>
          <w:rFonts w:ascii="Verdana" w:hAnsi="Verdana"/>
          <w:color w:val="000000" w:themeColor="text1"/>
          <w:sz w:val="16"/>
          <w:szCs w:val="16"/>
          <w:lang w:val="es-ES"/>
        </w:rPr>
        <w:t xml:space="preserve">, </w:t>
      </w:r>
      <w:proofErr w:type="spellStart"/>
      <w:r w:rsidR="00134085" w:rsidRPr="00134085">
        <w:rPr>
          <w:rFonts w:ascii="Verdana" w:hAnsi="Verdana"/>
          <w:color w:val="000000" w:themeColor="text1"/>
          <w:sz w:val="16"/>
          <w:szCs w:val="16"/>
          <w:lang w:val="es-ES"/>
        </w:rPr>
        <w:t>garantías</w:t>
      </w:r>
      <w:proofErr w:type="spellEnd"/>
      <w:r w:rsidR="00134085" w:rsidRPr="00134085">
        <w:rPr>
          <w:rFonts w:ascii="Verdana" w:hAnsi="Verdana"/>
          <w:color w:val="000000" w:themeColor="text1"/>
          <w:sz w:val="16"/>
          <w:szCs w:val="16"/>
          <w:lang w:val="es-ES"/>
        </w:rPr>
        <w:t xml:space="preserve"> judiciales</w:t>
      </w:r>
      <w:r w:rsidR="00134085">
        <w:rPr>
          <w:rFonts w:ascii="Verdana" w:hAnsi="Verdana"/>
          <w:color w:val="000000" w:themeColor="text1"/>
          <w:sz w:val="16"/>
          <w:szCs w:val="16"/>
          <w:lang w:val="es-ES"/>
        </w:rPr>
        <w:t xml:space="preserve"> (art. 8 CADH)</w:t>
      </w:r>
      <w:r w:rsidR="00134085" w:rsidRPr="00134085">
        <w:rPr>
          <w:rFonts w:ascii="Verdana" w:hAnsi="Verdana"/>
          <w:color w:val="000000" w:themeColor="text1"/>
          <w:sz w:val="16"/>
          <w:szCs w:val="16"/>
          <w:lang w:val="es-ES"/>
        </w:rPr>
        <w:t>, protección judicial</w:t>
      </w:r>
      <w:r w:rsidR="00134085">
        <w:rPr>
          <w:rFonts w:ascii="Verdana" w:hAnsi="Verdana"/>
          <w:color w:val="000000" w:themeColor="text1"/>
          <w:sz w:val="16"/>
          <w:szCs w:val="16"/>
          <w:lang w:val="es-ES"/>
        </w:rPr>
        <w:t xml:space="preserve"> (art. 25 CADH)</w:t>
      </w:r>
      <w:r w:rsidR="00134085" w:rsidRPr="00134085">
        <w:rPr>
          <w:rFonts w:ascii="Verdana" w:hAnsi="Verdana"/>
          <w:color w:val="000000" w:themeColor="text1"/>
          <w:sz w:val="16"/>
          <w:szCs w:val="16"/>
          <w:lang w:val="es-ES"/>
        </w:rPr>
        <w:t xml:space="preserve">, derecho a permanecer en el cargo en condiciones de igualdad </w:t>
      </w:r>
      <w:r w:rsidR="00134085">
        <w:rPr>
          <w:rFonts w:ascii="Verdana" w:hAnsi="Verdana"/>
          <w:color w:val="000000" w:themeColor="text1"/>
          <w:sz w:val="16"/>
          <w:szCs w:val="16"/>
          <w:lang w:val="es-ES"/>
        </w:rPr>
        <w:t xml:space="preserve">(art. 23 CADH y 1.1 CADH) </w:t>
      </w:r>
      <w:r w:rsidR="00134085" w:rsidRPr="00134085">
        <w:rPr>
          <w:rFonts w:ascii="Verdana" w:hAnsi="Verdana"/>
          <w:color w:val="000000" w:themeColor="text1"/>
          <w:sz w:val="16"/>
          <w:szCs w:val="16"/>
          <w:lang w:val="es-ES"/>
        </w:rPr>
        <w:t>y el principio de legalidad</w:t>
      </w:r>
      <w:r w:rsidR="00134085">
        <w:rPr>
          <w:rFonts w:ascii="Verdana" w:hAnsi="Verdana"/>
          <w:color w:val="000000" w:themeColor="text1"/>
          <w:sz w:val="16"/>
          <w:szCs w:val="16"/>
          <w:lang w:val="es-ES"/>
        </w:rPr>
        <w:t xml:space="preserve"> (art. 9 CADH)</w:t>
      </w:r>
      <w:r w:rsidR="00134085" w:rsidRPr="00134085">
        <w:rPr>
          <w:rFonts w:ascii="Verdana" w:hAnsi="Verdana"/>
          <w:color w:val="000000" w:themeColor="text1"/>
          <w:sz w:val="16"/>
          <w:szCs w:val="16"/>
          <w:lang w:val="es-ES"/>
        </w:rPr>
        <w:t xml:space="preserve">, en el marco de los procesos disciplinarios realizados en contra de los jueces </w:t>
      </w:r>
      <w:proofErr w:type="spellStart"/>
      <w:r w:rsidR="00134085" w:rsidRPr="00134085">
        <w:rPr>
          <w:rFonts w:ascii="Verdana" w:hAnsi="Verdana"/>
          <w:color w:val="000000" w:themeColor="text1"/>
          <w:sz w:val="16"/>
          <w:szCs w:val="16"/>
          <w:lang w:val="es-ES"/>
        </w:rPr>
        <w:t>Adán</w:t>
      </w:r>
      <w:proofErr w:type="spellEnd"/>
      <w:r w:rsidR="00134085" w:rsidRPr="00134085">
        <w:rPr>
          <w:rFonts w:ascii="Verdana" w:hAnsi="Verdana"/>
          <w:color w:val="000000" w:themeColor="text1"/>
          <w:sz w:val="16"/>
          <w:szCs w:val="16"/>
          <w:lang w:val="es-ES"/>
        </w:rPr>
        <w:t xml:space="preserve"> Guillermo </w:t>
      </w:r>
      <w:proofErr w:type="spellStart"/>
      <w:r w:rsidR="00134085" w:rsidRPr="00134085">
        <w:rPr>
          <w:rFonts w:ascii="Verdana" w:hAnsi="Verdana"/>
          <w:color w:val="000000" w:themeColor="text1"/>
          <w:sz w:val="16"/>
          <w:szCs w:val="16"/>
          <w:lang w:val="es-ES"/>
        </w:rPr>
        <w:t>López</w:t>
      </w:r>
      <w:proofErr w:type="spellEnd"/>
      <w:r w:rsidR="00134085" w:rsidRPr="00134085">
        <w:rPr>
          <w:rFonts w:ascii="Verdana" w:hAnsi="Verdana"/>
          <w:color w:val="000000" w:themeColor="text1"/>
          <w:sz w:val="16"/>
          <w:szCs w:val="16"/>
          <w:lang w:val="es-ES"/>
        </w:rPr>
        <w:t xml:space="preserve"> Lone, Luis Alonso </w:t>
      </w:r>
      <w:proofErr w:type="spellStart"/>
      <w:r w:rsidR="00134085" w:rsidRPr="00134085">
        <w:rPr>
          <w:rFonts w:ascii="Verdana" w:hAnsi="Verdana"/>
          <w:color w:val="000000" w:themeColor="text1"/>
          <w:sz w:val="16"/>
          <w:szCs w:val="16"/>
          <w:lang w:val="es-ES"/>
        </w:rPr>
        <w:t>Chévez</w:t>
      </w:r>
      <w:proofErr w:type="spellEnd"/>
      <w:r w:rsidR="00134085" w:rsidRPr="00134085">
        <w:rPr>
          <w:rFonts w:ascii="Verdana" w:hAnsi="Verdana"/>
          <w:color w:val="000000" w:themeColor="text1"/>
          <w:sz w:val="16"/>
          <w:szCs w:val="16"/>
          <w:lang w:val="es-ES"/>
        </w:rPr>
        <w:t xml:space="preserve"> de la Rocha y </w:t>
      </w:r>
      <w:proofErr w:type="spellStart"/>
      <w:r w:rsidR="00134085" w:rsidRPr="00134085">
        <w:rPr>
          <w:rFonts w:ascii="Verdana" w:hAnsi="Verdana"/>
          <w:color w:val="000000" w:themeColor="text1"/>
          <w:sz w:val="16"/>
          <w:szCs w:val="16"/>
          <w:lang w:val="es-ES"/>
        </w:rPr>
        <w:t>Ramón</w:t>
      </w:r>
      <w:proofErr w:type="spellEnd"/>
      <w:r w:rsidR="00134085" w:rsidRPr="00134085">
        <w:rPr>
          <w:rFonts w:ascii="Verdana" w:hAnsi="Verdana"/>
          <w:color w:val="000000" w:themeColor="text1"/>
          <w:sz w:val="16"/>
          <w:szCs w:val="16"/>
          <w:lang w:val="es-ES"/>
        </w:rPr>
        <w:t xml:space="preserve"> Enrique Barrios Maldonado, </w:t>
      </w:r>
      <w:proofErr w:type="spellStart"/>
      <w:r w:rsidR="00134085" w:rsidRPr="00134085">
        <w:rPr>
          <w:rFonts w:ascii="Verdana" w:hAnsi="Verdana"/>
          <w:color w:val="000000" w:themeColor="text1"/>
          <w:sz w:val="16"/>
          <w:szCs w:val="16"/>
          <w:lang w:val="es-ES"/>
        </w:rPr>
        <w:t>asi</w:t>
      </w:r>
      <w:proofErr w:type="spellEnd"/>
      <w:r w:rsidR="00134085" w:rsidRPr="00134085">
        <w:rPr>
          <w:rFonts w:ascii="Verdana" w:hAnsi="Verdana"/>
          <w:color w:val="000000" w:themeColor="text1"/>
          <w:sz w:val="16"/>
          <w:szCs w:val="16"/>
          <w:lang w:val="es-ES"/>
        </w:rPr>
        <w:t xml:space="preserve">́ como de la magistrada </w:t>
      </w:r>
      <w:proofErr w:type="spellStart"/>
      <w:r w:rsidR="00134085" w:rsidRPr="00134085">
        <w:rPr>
          <w:rFonts w:ascii="Verdana" w:hAnsi="Verdana"/>
          <w:color w:val="000000" w:themeColor="text1"/>
          <w:sz w:val="16"/>
          <w:szCs w:val="16"/>
          <w:lang w:val="es-ES"/>
        </w:rPr>
        <w:t>Tirza</w:t>
      </w:r>
      <w:proofErr w:type="spellEnd"/>
      <w:r w:rsidR="00134085" w:rsidRPr="00134085">
        <w:rPr>
          <w:rFonts w:ascii="Verdana" w:hAnsi="Verdana"/>
          <w:color w:val="000000" w:themeColor="text1"/>
          <w:sz w:val="16"/>
          <w:szCs w:val="16"/>
          <w:lang w:val="es-ES"/>
        </w:rPr>
        <w:t xml:space="preserve"> del Carmen Flores Lanza</w:t>
      </w:r>
      <w:r w:rsidRPr="00EA462A">
        <w:rPr>
          <w:rFonts w:ascii="Verdana" w:hAnsi="Verdana"/>
          <w:color w:val="000000" w:themeColor="text1"/>
          <w:sz w:val="16"/>
          <w:szCs w:val="16"/>
          <w:lang w:val="es-ES"/>
        </w:rPr>
        <w:t xml:space="preserve">. </w:t>
      </w:r>
    </w:p>
  </w:footnote>
  <w:footnote w:id="17">
    <w:p w14:paraId="21DF6B14" w14:textId="1F52BBBC" w:rsidR="00F72389" w:rsidRPr="00F72389" w:rsidRDefault="00F72389" w:rsidP="00F72389">
      <w:pPr>
        <w:pStyle w:val="Textonotapie"/>
        <w:spacing w:line="240" w:lineRule="auto"/>
        <w:jc w:val="both"/>
        <w:rPr>
          <w:rFonts w:ascii="Verdana" w:hAnsi="Verdana"/>
          <w:sz w:val="16"/>
          <w:szCs w:val="16"/>
          <w:lang w:val="es-CL"/>
        </w:rPr>
      </w:pPr>
      <w:r w:rsidRPr="00F72389">
        <w:rPr>
          <w:rStyle w:val="Refdenotaalpie"/>
          <w:rFonts w:ascii="Verdana" w:hAnsi="Verdana"/>
          <w:sz w:val="16"/>
          <w:szCs w:val="16"/>
        </w:rPr>
        <w:footnoteRef/>
      </w:r>
      <w:r w:rsidRPr="00F72389">
        <w:rPr>
          <w:rFonts w:ascii="Verdana" w:hAnsi="Verdana"/>
          <w:sz w:val="16"/>
          <w:szCs w:val="16"/>
          <w:lang w:val="es-CL"/>
        </w:rPr>
        <w:t xml:space="preserve"> </w:t>
      </w:r>
      <w:r w:rsidRPr="00F72389">
        <w:rPr>
          <w:rFonts w:ascii="Verdana" w:hAnsi="Verdana"/>
          <w:sz w:val="16"/>
          <w:szCs w:val="16"/>
          <w:lang w:val="es-CL"/>
        </w:rPr>
        <w:t xml:space="preserve">El 3 de junio de 2021 la Corte Interamericana de Derechos Humanos dictó una Sentencia mediante la cual declaró la responsabilidad internacional del Estado de Ecuador por: (i) la </w:t>
      </w:r>
      <w:proofErr w:type="spellStart"/>
      <w:r w:rsidRPr="00F72389">
        <w:rPr>
          <w:rFonts w:ascii="Verdana" w:hAnsi="Verdana"/>
          <w:sz w:val="16"/>
          <w:szCs w:val="16"/>
          <w:lang w:val="es-CL"/>
        </w:rPr>
        <w:t>violación</w:t>
      </w:r>
      <w:proofErr w:type="spellEnd"/>
      <w:r w:rsidRPr="00F72389">
        <w:rPr>
          <w:rFonts w:ascii="Verdana" w:hAnsi="Verdana"/>
          <w:sz w:val="16"/>
          <w:szCs w:val="16"/>
          <w:lang w:val="es-CL"/>
        </w:rPr>
        <w:t xml:space="preserve"> del derecho a interrogar testigos; (ii) </w:t>
      </w:r>
      <w:proofErr w:type="spellStart"/>
      <w:r w:rsidRPr="00F72389">
        <w:rPr>
          <w:rFonts w:ascii="Verdana" w:hAnsi="Verdana"/>
          <w:sz w:val="16"/>
          <w:szCs w:val="16"/>
          <w:lang w:val="es-CL"/>
        </w:rPr>
        <w:t>violación</w:t>
      </w:r>
      <w:proofErr w:type="spellEnd"/>
      <w:r w:rsidRPr="00F72389">
        <w:rPr>
          <w:rFonts w:ascii="Verdana" w:hAnsi="Verdana"/>
          <w:sz w:val="16"/>
          <w:szCs w:val="16"/>
          <w:lang w:val="es-CL"/>
        </w:rPr>
        <w:t xml:space="preserve"> del debido proceso y de las </w:t>
      </w:r>
      <w:proofErr w:type="spellStart"/>
      <w:r w:rsidRPr="00F72389">
        <w:rPr>
          <w:rFonts w:ascii="Verdana" w:hAnsi="Verdana"/>
          <w:sz w:val="16"/>
          <w:szCs w:val="16"/>
          <w:lang w:val="es-CL"/>
        </w:rPr>
        <w:t>garantías</w:t>
      </w:r>
      <w:proofErr w:type="spellEnd"/>
      <w:r w:rsidRPr="00F72389">
        <w:rPr>
          <w:rFonts w:ascii="Verdana" w:hAnsi="Verdana"/>
          <w:sz w:val="16"/>
          <w:szCs w:val="16"/>
          <w:lang w:val="es-CL"/>
        </w:rPr>
        <w:t xml:space="preserve"> judiciales indispensables relacionadas con el derecho de defensa, la </w:t>
      </w:r>
      <w:proofErr w:type="spellStart"/>
      <w:r w:rsidRPr="00F72389">
        <w:rPr>
          <w:rFonts w:ascii="Verdana" w:hAnsi="Verdana"/>
          <w:sz w:val="16"/>
          <w:szCs w:val="16"/>
          <w:lang w:val="es-CL"/>
        </w:rPr>
        <w:t>presunción</w:t>
      </w:r>
      <w:proofErr w:type="spellEnd"/>
      <w:r w:rsidRPr="00F72389">
        <w:rPr>
          <w:rFonts w:ascii="Verdana" w:hAnsi="Verdana"/>
          <w:sz w:val="16"/>
          <w:szCs w:val="16"/>
          <w:lang w:val="es-CL"/>
        </w:rPr>
        <w:t xml:space="preserve"> de inocencia, igualdad procesal, a un juicio justo, </w:t>
      </w:r>
      <w:proofErr w:type="spellStart"/>
      <w:r w:rsidRPr="00F72389">
        <w:rPr>
          <w:rFonts w:ascii="Verdana" w:hAnsi="Verdana"/>
          <w:sz w:val="16"/>
          <w:szCs w:val="16"/>
          <w:lang w:val="es-CL"/>
        </w:rPr>
        <w:t>asi</w:t>
      </w:r>
      <w:proofErr w:type="spellEnd"/>
      <w:r w:rsidRPr="00F72389">
        <w:rPr>
          <w:rFonts w:ascii="Verdana" w:hAnsi="Verdana"/>
          <w:sz w:val="16"/>
          <w:szCs w:val="16"/>
          <w:lang w:val="es-CL"/>
        </w:rPr>
        <w:t xml:space="preserve">́ como respecto al plazo razonable, y (iii) la </w:t>
      </w:r>
      <w:proofErr w:type="spellStart"/>
      <w:r w:rsidRPr="00F72389">
        <w:rPr>
          <w:rFonts w:ascii="Verdana" w:hAnsi="Verdana"/>
          <w:sz w:val="16"/>
          <w:szCs w:val="16"/>
          <w:lang w:val="es-CL"/>
        </w:rPr>
        <w:t>violación</w:t>
      </w:r>
      <w:proofErr w:type="spellEnd"/>
      <w:r w:rsidRPr="00F72389">
        <w:rPr>
          <w:rFonts w:ascii="Verdana" w:hAnsi="Verdana"/>
          <w:sz w:val="16"/>
          <w:szCs w:val="16"/>
          <w:lang w:val="es-CL"/>
        </w:rPr>
        <w:t xml:space="preserve"> al derecho a la libertad de pensamiento y </w:t>
      </w:r>
      <w:proofErr w:type="spellStart"/>
      <w:r w:rsidRPr="00F72389">
        <w:rPr>
          <w:rFonts w:ascii="Verdana" w:hAnsi="Verdana"/>
          <w:sz w:val="16"/>
          <w:szCs w:val="16"/>
          <w:lang w:val="es-CL"/>
        </w:rPr>
        <w:t>expresión</w:t>
      </w:r>
      <w:proofErr w:type="spellEnd"/>
      <w:r w:rsidRPr="00F72389">
        <w:rPr>
          <w:rFonts w:ascii="Verdana" w:hAnsi="Verdana"/>
          <w:sz w:val="16"/>
          <w:szCs w:val="16"/>
          <w:lang w:val="es-CL"/>
        </w:rPr>
        <w:t>.</w:t>
      </w:r>
      <w:r w:rsidRPr="00F72389">
        <w:rPr>
          <w:rFonts w:ascii="Verdana" w:hAnsi="Verdana"/>
          <w:sz w:val="16"/>
          <w:szCs w:val="16"/>
          <w:lang w:val="es-CL"/>
        </w:rPr>
        <w:t xml:space="preserve"> </w:t>
      </w:r>
      <w:r w:rsidRPr="00F72389">
        <w:rPr>
          <w:rFonts w:ascii="Verdana" w:hAnsi="Verdana"/>
          <w:sz w:val="16"/>
          <w:szCs w:val="16"/>
          <w:lang w:val="es-CL"/>
        </w:rPr>
        <w:t xml:space="preserve">En consecuencia, la Corte concluyó que Ecuador es responsable de la </w:t>
      </w:r>
      <w:proofErr w:type="spellStart"/>
      <w:r w:rsidRPr="00F72389">
        <w:rPr>
          <w:rFonts w:ascii="Verdana" w:hAnsi="Verdana"/>
          <w:sz w:val="16"/>
          <w:szCs w:val="16"/>
          <w:lang w:val="es-CL"/>
        </w:rPr>
        <w:t>violación</w:t>
      </w:r>
      <w:proofErr w:type="spellEnd"/>
      <w:r w:rsidRPr="00F72389">
        <w:rPr>
          <w:rFonts w:ascii="Verdana" w:hAnsi="Verdana"/>
          <w:sz w:val="16"/>
          <w:szCs w:val="16"/>
          <w:lang w:val="es-CL"/>
        </w:rPr>
        <w:t xml:space="preserve"> de los derechos reconocidos en los </w:t>
      </w:r>
      <w:proofErr w:type="spellStart"/>
      <w:r w:rsidRPr="00F72389">
        <w:rPr>
          <w:rFonts w:ascii="Verdana" w:hAnsi="Verdana"/>
          <w:sz w:val="16"/>
          <w:szCs w:val="16"/>
          <w:lang w:val="es-CL"/>
        </w:rPr>
        <w:t>artículos</w:t>
      </w:r>
      <w:proofErr w:type="spellEnd"/>
      <w:r w:rsidRPr="00F72389">
        <w:rPr>
          <w:rFonts w:ascii="Verdana" w:hAnsi="Verdana"/>
          <w:sz w:val="16"/>
          <w:szCs w:val="16"/>
          <w:lang w:val="es-CL"/>
        </w:rPr>
        <w:t xml:space="preserve"> 8.1, 8.2, 8.2.f), </w:t>
      </w:r>
      <w:proofErr w:type="spellStart"/>
      <w:r w:rsidRPr="00F72389">
        <w:rPr>
          <w:rFonts w:ascii="Verdana" w:hAnsi="Verdana"/>
          <w:sz w:val="16"/>
          <w:szCs w:val="16"/>
          <w:lang w:val="es-CL"/>
        </w:rPr>
        <w:t>asi</w:t>
      </w:r>
      <w:proofErr w:type="spellEnd"/>
      <w:r w:rsidRPr="00F72389">
        <w:rPr>
          <w:rFonts w:ascii="Verdana" w:hAnsi="Verdana"/>
          <w:sz w:val="16"/>
          <w:szCs w:val="16"/>
          <w:lang w:val="es-CL"/>
        </w:rPr>
        <w:t xml:space="preserve">́ como del artículo 13.1 de la Convención Americana sobre Derechos Humanos, en </w:t>
      </w:r>
      <w:proofErr w:type="spellStart"/>
      <w:r w:rsidRPr="00F72389">
        <w:rPr>
          <w:rFonts w:ascii="Verdana" w:hAnsi="Verdana"/>
          <w:sz w:val="16"/>
          <w:szCs w:val="16"/>
          <w:lang w:val="es-CL"/>
        </w:rPr>
        <w:t>relación</w:t>
      </w:r>
      <w:proofErr w:type="spellEnd"/>
      <w:r w:rsidRPr="00F72389">
        <w:rPr>
          <w:rFonts w:ascii="Verdana" w:hAnsi="Verdana"/>
          <w:sz w:val="16"/>
          <w:szCs w:val="16"/>
          <w:lang w:val="es-CL"/>
        </w:rPr>
        <w:t xml:space="preserve"> con el artículo 1.1 del mismo tratado, en perjuicio del </w:t>
      </w:r>
      <w:proofErr w:type="spellStart"/>
      <w:r w:rsidRPr="00F72389">
        <w:rPr>
          <w:rFonts w:ascii="Verdana" w:hAnsi="Verdana"/>
          <w:sz w:val="16"/>
          <w:szCs w:val="16"/>
          <w:lang w:val="es-CL"/>
        </w:rPr>
        <w:t>señor</w:t>
      </w:r>
      <w:proofErr w:type="spellEnd"/>
      <w:r w:rsidRPr="00F72389">
        <w:rPr>
          <w:rFonts w:ascii="Verdana" w:hAnsi="Verdana"/>
          <w:sz w:val="16"/>
          <w:szCs w:val="16"/>
          <w:lang w:val="es-CL"/>
        </w:rPr>
        <w:t xml:space="preserve"> Grijalva Bueno, en </w:t>
      </w:r>
      <w:proofErr w:type="spellStart"/>
      <w:r w:rsidRPr="00F72389">
        <w:rPr>
          <w:rFonts w:ascii="Verdana" w:hAnsi="Verdana"/>
          <w:sz w:val="16"/>
          <w:szCs w:val="16"/>
          <w:lang w:val="es-CL"/>
        </w:rPr>
        <w:t>relación</w:t>
      </w:r>
      <w:proofErr w:type="spellEnd"/>
      <w:r w:rsidRPr="00F72389">
        <w:rPr>
          <w:rFonts w:ascii="Verdana" w:hAnsi="Verdana"/>
          <w:sz w:val="16"/>
          <w:szCs w:val="16"/>
          <w:lang w:val="es-CL"/>
        </w:rPr>
        <w:t xml:space="preserve"> con el proceso penal militar. Asimismo, determinó que el Ecuador, a la luz de reconocimiento parcial de responsabilidad internacional efectuado, es responsable de la </w:t>
      </w:r>
      <w:proofErr w:type="spellStart"/>
      <w:r w:rsidRPr="00F72389">
        <w:rPr>
          <w:rFonts w:ascii="Verdana" w:hAnsi="Verdana"/>
          <w:sz w:val="16"/>
          <w:szCs w:val="16"/>
          <w:lang w:val="es-CL"/>
        </w:rPr>
        <w:t>violación</w:t>
      </w:r>
      <w:proofErr w:type="spellEnd"/>
      <w:r w:rsidRPr="00F72389">
        <w:rPr>
          <w:rFonts w:ascii="Verdana" w:hAnsi="Verdana"/>
          <w:sz w:val="16"/>
          <w:szCs w:val="16"/>
          <w:lang w:val="es-CL"/>
        </w:rPr>
        <w:t xml:space="preserve"> de los derechos reconocidos en los </w:t>
      </w:r>
      <w:proofErr w:type="spellStart"/>
      <w:r w:rsidRPr="00F72389">
        <w:rPr>
          <w:rFonts w:ascii="Verdana" w:hAnsi="Verdana"/>
          <w:sz w:val="16"/>
          <w:szCs w:val="16"/>
          <w:lang w:val="es-CL"/>
        </w:rPr>
        <w:t>artículos</w:t>
      </w:r>
      <w:proofErr w:type="spellEnd"/>
      <w:r w:rsidRPr="00F72389">
        <w:rPr>
          <w:rFonts w:ascii="Verdana" w:hAnsi="Verdana"/>
          <w:sz w:val="16"/>
          <w:szCs w:val="16"/>
          <w:lang w:val="es-CL"/>
        </w:rPr>
        <w:t xml:space="preserve"> 8.1, 8.2, 8.2.b), 8.2.c), 25.1 y 25.2.c) de la Convención Americana sobre Derechos Humanos, en </w:t>
      </w:r>
      <w:proofErr w:type="spellStart"/>
      <w:r w:rsidRPr="00F72389">
        <w:rPr>
          <w:rFonts w:ascii="Verdana" w:hAnsi="Verdana"/>
          <w:sz w:val="16"/>
          <w:szCs w:val="16"/>
          <w:lang w:val="es-CL"/>
        </w:rPr>
        <w:t>relación</w:t>
      </w:r>
      <w:proofErr w:type="spellEnd"/>
      <w:r w:rsidRPr="00F72389">
        <w:rPr>
          <w:rFonts w:ascii="Verdana" w:hAnsi="Verdana"/>
          <w:sz w:val="16"/>
          <w:szCs w:val="16"/>
          <w:lang w:val="es-CL"/>
        </w:rPr>
        <w:t xml:space="preserve"> con el artículo 1.1 de la misma Convención, respecto del proceso de </w:t>
      </w:r>
      <w:proofErr w:type="spellStart"/>
      <w:r w:rsidRPr="00F72389">
        <w:rPr>
          <w:rFonts w:ascii="Verdana" w:hAnsi="Verdana"/>
          <w:sz w:val="16"/>
          <w:szCs w:val="16"/>
          <w:lang w:val="es-CL"/>
        </w:rPr>
        <w:t>destitución</w:t>
      </w:r>
      <w:proofErr w:type="spellEnd"/>
      <w:r w:rsidRPr="00F72389">
        <w:rPr>
          <w:rFonts w:ascii="Verdana" w:hAnsi="Verdana"/>
          <w:sz w:val="16"/>
          <w:szCs w:val="16"/>
          <w:lang w:val="es-CL"/>
        </w:rPr>
        <w:t xml:space="preserve">, en perjuicio del </w:t>
      </w:r>
      <w:proofErr w:type="spellStart"/>
      <w:r w:rsidRPr="00F72389">
        <w:rPr>
          <w:rFonts w:ascii="Verdana" w:hAnsi="Verdana"/>
          <w:sz w:val="16"/>
          <w:szCs w:val="16"/>
          <w:lang w:val="es-CL"/>
        </w:rPr>
        <w:t>señor</w:t>
      </w:r>
      <w:proofErr w:type="spellEnd"/>
      <w:r w:rsidRPr="00F72389">
        <w:rPr>
          <w:rFonts w:ascii="Verdana" w:hAnsi="Verdana"/>
          <w:sz w:val="16"/>
          <w:szCs w:val="16"/>
          <w:lang w:val="es-CL"/>
        </w:rPr>
        <w:t xml:space="preserve"> Grijalva Bueno.</w:t>
      </w:r>
    </w:p>
  </w:footnote>
  <w:footnote w:id="18">
    <w:p w14:paraId="442909CE" w14:textId="20E58235" w:rsidR="00EF57C8" w:rsidRPr="00EA462A" w:rsidRDefault="00EF57C8" w:rsidP="00EA462A">
      <w:pPr>
        <w:pStyle w:val="Textonotapie"/>
        <w:spacing w:line="240" w:lineRule="auto"/>
        <w:jc w:val="both"/>
        <w:rPr>
          <w:rFonts w:ascii="Verdana" w:hAnsi="Verdana"/>
          <w:sz w:val="16"/>
          <w:szCs w:val="16"/>
          <w:lang w:val="es-ES_tradnl"/>
        </w:rPr>
      </w:pPr>
      <w:r w:rsidRPr="00EA462A">
        <w:rPr>
          <w:rStyle w:val="Refdenotaalpie"/>
          <w:rFonts w:ascii="Verdana" w:hAnsi="Verdana"/>
          <w:sz w:val="16"/>
          <w:szCs w:val="16"/>
        </w:rPr>
        <w:footnoteRef/>
      </w:r>
      <w:r w:rsidRPr="00EA462A">
        <w:rPr>
          <w:rFonts w:ascii="Verdana" w:hAnsi="Verdana"/>
          <w:sz w:val="16"/>
          <w:szCs w:val="16"/>
          <w:lang w:val="es-ES_tradnl"/>
        </w:rPr>
        <w:t xml:space="preserve"> </w:t>
      </w:r>
      <w:r w:rsidR="00134085" w:rsidRPr="00134085">
        <w:rPr>
          <w:rFonts w:ascii="Verdana" w:hAnsi="Verdana"/>
          <w:sz w:val="16"/>
          <w:szCs w:val="16"/>
          <w:lang w:val="es-ES_tradnl"/>
        </w:rPr>
        <w:t>El caso se refiere a la responsabilidad internacional del Estado por la negativa de brindar información relacionada a un proyecto de industrialización forestal al señor Marcel Claude Reyes, así como a la falta de un recurso adecuado y efectivo para cuestionar tal decisión.</w:t>
      </w:r>
      <w:r w:rsidR="00134085">
        <w:rPr>
          <w:rFonts w:ascii="Verdana" w:hAnsi="Verdana"/>
          <w:sz w:val="16"/>
          <w:szCs w:val="16"/>
          <w:lang w:val="es-ES_tradnl"/>
        </w:rPr>
        <w:t xml:space="preserve"> Derechos violados: </w:t>
      </w:r>
      <w:r w:rsidR="00134085" w:rsidRPr="00134085">
        <w:rPr>
          <w:rFonts w:ascii="Verdana" w:hAnsi="Verdana"/>
          <w:sz w:val="16"/>
          <w:szCs w:val="16"/>
          <w:lang w:val="es-ES_tradnl"/>
        </w:rPr>
        <w:t>Artículo 1 (Obligación de respetar los derechos.)</w:t>
      </w:r>
      <w:r w:rsidR="00215583">
        <w:rPr>
          <w:rFonts w:ascii="Verdana" w:hAnsi="Verdana"/>
          <w:sz w:val="16"/>
          <w:szCs w:val="16"/>
          <w:lang w:val="es-ES_tradnl"/>
        </w:rPr>
        <w:t>,</w:t>
      </w:r>
      <w:r w:rsidR="00134085" w:rsidRPr="00134085">
        <w:rPr>
          <w:rFonts w:ascii="Verdana" w:hAnsi="Verdana"/>
          <w:sz w:val="16"/>
          <w:szCs w:val="16"/>
          <w:lang w:val="es-ES_tradnl"/>
        </w:rPr>
        <w:t xml:space="preserve"> Artículo 13 (Libertad de pensamiento y expresión)</w:t>
      </w:r>
      <w:r w:rsidR="00215583">
        <w:rPr>
          <w:rFonts w:ascii="Verdana" w:hAnsi="Verdana"/>
          <w:sz w:val="16"/>
          <w:szCs w:val="16"/>
          <w:lang w:val="es-ES_tradnl"/>
        </w:rPr>
        <w:t>,</w:t>
      </w:r>
      <w:r w:rsidR="00134085" w:rsidRPr="00134085">
        <w:rPr>
          <w:rFonts w:ascii="Verdana" w:hAnsi="Verdana"/>
          <w:sz w:val="16"/>
          <w:szCs w:val="16"/>
          <w:lang w:val="es-ES_tradnl"/>
        </w:rPr>
        <w:t xml:space="preserve"> Artículo 2 (Deber de adoptar disposiciones de derecho interno)</w:t>
      </w:r>
      <w:r w:rsidR="00215583">
        <w:rPr>
          <w:rFonts w:ascii="Verdana" w:hAnsi="Verdana"/>
          <w:sz w:val="16"/>
          <w:szCs w:val="16"/>
          <w:lang w:val="es-ES_tradnl"/>
        </w:rPr>
        <w:t>,</w:t>
      </w:r>
      <w:r w:rsidR="00134085" w:rsidRPr="00134085">
        <w:rPr>
          <w:rFonts w:ascii="Verdana" w:hAnsi="Verdana"/>
          <w:sz w:val="16"/>
          <w:szCs w:val="16"/>
          <w:lang w:val="es-ES_tradnl"/>
        </w:rPr>
        <w:t xml:space="preserve"> Artículo 23 (Derechos políticos)</w:t>
      </w:r>
      <w:r w:rsidR="00215583">
        <w:rPr>
          <w:rFonts w:ascii="Verdana" w:hAnsi="Verdana"/>
          <w:sz w:val="16"/>
          <w:szCs w:val="16"/>
          <w:lang w:val="es-ES_tradnl"/>
        </w:rPr>
        <w:t>,</w:t>
      </w:r>
      <w:r w:rsidR="00134085" w:rsidRPr="00134085">
        <w:rPr>
          <w:rFonts w:ascii="Verdana" w:hAnsi="Verdana"/>
          <w:sz w:val="16"/>
          <w:szCs w:val="16"/>
          <w:lang w:val="es-ES_tradnl"/>
        </w:rPr>
        <w:t xml:space="preserve"> Artículo 25 (Protección Judicial)</w:t>
      </w:r>
      <w:r w:rsidR="00215583">
        <w:rPr>
          <w:rFonts w:ascii="Verdana" w:hAnsi="Verdana"/>
          <w:sz w:val="16"/>
          <w:szCs w:val="16"/>
          <w:lang w:val="es-ES_tradnl"/>
        </w:rPr>
        <w:t>,</w:t>
      </w:r>
      <w:r w:rsidR="00134085" w:rsidRPr="00134085">
        <w:rPr>
          <w:rFonts w:ascii="Verdana" w:hAnsi="Verdana"/>
          <w:sz w:val="16"/>
          <w:szCs w:val="16"/>
          <w:lang w:val="es-ES_tradnl"/>
        </w:rPr>
        <w:t xml:space="preserve"> Artículo 8 (Garantías Judiciales)</w:t>
      </w:r>
      <w:r w:rsidRPr="00EA462A">
        <w:rPr>
          <w:rFonts w:ascii="Verdana" w:hAnsi="Verdana"/>
          <w:sz w:val="16"/>
          <w:szCs w:val="16"/>
          <w:lang w:val="es-ES_tradnl"/>
        </w:rPr>
        <w:t>.</w:t>
      </w:r>
    </w:p>
  </w:footnote>
  <w:footnote w:id="19">
    <w:p w14:paraId="050FB95E" w14:textId="052E36FE" w:rsidR="00EF57C8" w:rsidRPr="00EA462A" w:rsidRDefault="00EF57C8" w:rsidP="00EA462A">
      <w:pPr>
        <w:pStyle w:val="NormalWeb"/>
        <w:shd w:val="clear" w:color="auto" w:fill="FFFFFF"/>
        <w:spacing w:line="240" w:lineRule="auto"/>
        <w:jc w:val="both"/>
        <w:textAlignment w:val="top"/>
        <w:rPr>
          <w:rFonts w:ascii="Verdana" w:hAnsi="Verdana"/>
          <w:color w:val="000000"/>
          <w:sz w:val="16"/>
          <w:szCs w:val="16"/>
        </w:rPr>
      </w:pPr>
      <w:r w:rsidRPr="00EA462A">
        <w:rPr>
          <w:rStyle w:val="Refdenotaalpie"/>
          <w:rFonts w:ascii="Verdana" w:hAnsi="Verdana"/>
          <w:sz w:val="16"/>
          <w:szCs w:val="16"/>
        </w:rPr>
        <w:footnoteRef/>
      </w:r>
      <w:r w:rsidR="000344B9">
        <w:rPr>
          <w:rFonts w:ascii="Verdana" w:hAnsi="Verdana"/>
          <w:color w:val="000000"/>
          <w:sz w:val="16"/>
          <w:szCs w:val="16"/>
        </w:rPr>
        <w:t xml:space="preserve"> </w:t>
      </w:r>
      <w:r w:rsidR="000344B9" w:rsidRPr="000344B9">
        <w:rPr>
          <w:rFonts w:ascii="Verdana" w:hAnsi="Verdana"/>
          <w:color w:val="000000"/>
          <w:sz w:val="16"/>
          <w:szCs w:val="16"/>
        </w:rPr>
        <w:t xml:space="preserve">El caso se refiere a la responsabilidad internacional del Estado por las desapariciones forzadas de los miembros de la Guerrilla de </w:t>
      </w:r>
      <w:proofErr w:type="spellStart"/>
      <w:r w:rsidR="000344B9" w:rsidRPr="000344B9">
        <w:rPr>
          <w:rFonts w:ascii="Verdana" w:hAnsi="Verdana"/>
          <w:color w:val="000000"/>
          <w:sz w:val="16"/>
          <w:szCs w:val="16"/>
        </w:rPr>
        <w:t>Araguaia</w:t>
      </w:r>
      <w:proofErr w:type="spellEnd"/>
      <w:r w:rsidR="000344B9" w:rsidRPr="000344B9">
        <w:rPr>
          <w:rFonts w:ascii="Verdana" w:hAnsi="Verdana"/>
          <w:color w:val="000000"/>
          <w:sz w:val="16"/>
          <w:szCs w:val="16"/>
        </w:rPr>
        <w:t xml:space="preserve"> ocurridas entre 1972 y 1975, así como por la falta de investigación de tales hechos.</w:t>
      </w:r>
      <w:r w:rsidR="000344B9">
        <w:rPr>
          <w:rFonts w:ascii="Verdana" w:hAnsi="Verdana"/>
          <w:color w:val="000000"/>
          <w:sz w:val="16"/>
          <w:szCs w:val="16"/>
        </w:rPr>
        <w:t xml:space="preserve"> Derechos violados: </w:t>
      </w:r>
      <w:r w:rsidR="000344B9" w:rsidRPr="000344B9">
        <w:rPr>
          <w:rFonts w:ascii="Verdana" w:hAnsi="Verdana"/>
          <w:color w:val="000000"/>
          <w:sz w:val="16"/>
          <w:szCs w:val="16"/>
        </w:rPr>
        <w:t>Artículo 1 (Obligación de respetar los derechos.)</w:t>
      </w:r>
      <w:r w:rsidR="00215583">
        <w:rPr>
          <w:rFonts w:ascii="Verdana" w:hAnsi="Verdana"/>
          <w:color w:val="000000"/>
          <w:sz w:val="16"/>
          <w:szCs w:val="16"/>
        </w:rPr>
        <w:t>,</w:t>
      </w:r>
      <w:r w:rsidR="000344B9" w:rsidRPr="000344B9">
        <w:rPr>
          <w:rFonts w:ascii="Verdana" w:hAnsi="Verdana"/>
          <w:color w:val="000000"/>
          <w:sz w:val="16"/>
          <w:szCs w:val="16"/>
        </w:rPr>
        <w:t xml:space="preserve"> Artículo 13 (Libertad de pensamiento y expresión)</w:t>
      </w:r>
      <w:r w:rsidR="00215583">
        <w:rPr>
          <w:rFonts w:ascii="Verdana" w:hAnsi="Verdana"/>
          <w:color w:val="000000"/>
          <w:sz w:val="16"/>
          <w:szCs w:val="16"/>
        </w:rPr>
        <w:t>,</w:t>
      </w:r>
      <w:r w:rsidR="000344B9" w:rsidRPr="000344B9">
        <w:rPr>
          <w:rFonts w:ascii="Verdana" w:hAnsi="Verdana"/>
          <w:color w:val="000000"/>
          <w:sz w:val="16"/>
          <w:szCs w:val="16"/>
        </w:rPr>
        <w:t xml:space="preserve"> Artículo 2 (Deber de adoptar disposiciones de derecho interno)</w:t>
      </w:r>
      <w:r w:rsidR="00215583">
        <w:rPr>
          <w:rFonts w:ascii="Verdana" w:hAnsi="Verdana"/>
          <w:color w:val="000000"/>
          <w:sz w:val="16"/>
          <w:szCs w:val="16"/>
        </w:rPr>
        <w:t>,</w:t>
      </w:r>
      <w:r w:rsidR="000344B9" w:rsidRPr="000344B9">
        <w:rPr>
          <w:rFonts w:ascii="Verdana" w:hAnsi="Verdana"/>
          <w:color w:val="000000"/>
          <w:sz w:val="16"/>
          <w:szCs w:val="16"/>
        </w:rPr>
        <w:t xml:space="preserve"> Artículo 25 (Protección Judicial)</w:t>
      </w:r>
      <w:r w:rsidR="00215583">
        <w:rPr>
          <w:rFonts w:ascii="Verdana" w:hAnsi="Verdana"/>
          <w:color w:val="000000"/>
          <w:sz w:val="16"/>
          <w:szCs w:val="16"/>
        </w:rPr>
        <w:t>,</w:t>
      </w:r>
      <w:r w:rsidR="000344B9" w:rsidRPr="000344B9">
        <w:rPr>
          <w:rFonts w:ascii="Verdana" w:hAnsi="Verdana"/>
          <w:color w:val="000000"/>
          <w:sz w:val="16"/>
          <w:szCs w:val="16"/>
        </w:rPr>
        <w:t xml:space="preserve"> Artículo 3 (Derecho al reconocimiento de la personalidad jurídica)</w:t>
      </w:r>
      <w:r w:rsidR="00215583">
        <w:rPr>
          <w:rFonts w:ascii="Verdana" w:hAnsi="Verdana"/>
          <w:color w:val="000000"/>
          <w:sz w:val="16"/>
          <w:szCs w:val="16"/>
        </w:rPr>
        <w:t>,</w:t>
      </w:r>
      <w:r w:rsidR="000344B9" w:rsidRPr="000344B9">
        <w:rPr>
          <w:rFonts w:ascii="Verdana" w:hAnsi="Verdana"/>
          <w:color w:val="000000"/>
          <w:sz w:val="16"/>
          <w:szCs w:val="16"/>
        </w:rPr>
        <w:t xml:space="preserve"> Artículo 5 (Derecho a la Integridad Personal)</w:t>
      </w:r>
      <w:r w:rsidR="00215583">
        <w:rPr>
          <w:rFonts w:ascii="Verdana" w:hAnsi="Verdana"/>
          <w:color w:val="000000"/>
          <w:sz w:val="16"/>
          <w:szCs w:val="16"/>
        </w:rPr>
        <w:t>,</w:t>
      </w:r>
      <w:r w:rsidR="000344B9" w:rsidRPr="000344B9">
        <w:rPr>
          <w:rFonts w:ascii="Verdana" w:hAnsi="Verdana"/>
          <w:color w:val="000000"/>
          <w:sz w:val="16"/>
          <w:szCs w:val="16"/>
        </w:rPr>
        <w:t xml:space="preserve"> Artículo 7 (Derecho a la libertad personal)</w:t>
      </w:r>
      <w:r w:rsidR="00215583">
        <w:rPr>
          <w:rFonts w:ascii="Verdana" w:hAnsi="Verdana"/>
          <w:color w:val="000000"/>
          <w:sz w:val="16"/>
          <w:szCs w:val="16"/>
        </w:rPr>
        <w:t>,</w:t>
      </w:r>
      <w:r w:rsidR="000344B9" w:rsidRPr="000344B9">
        <w:rPr>
          <w:rFonts w:ascii="Verdana" w:hAnsi="Verdana"/>
          <w:color w:val="000000"/>
          <w:sz w:val="16"/>
          <w:szCs w:val="16"/>
        </w:rPr>
        <w:t xml:space="preserve"> Artículo 8 (Garantías Judiciales)</w:t>
      </w:r>
      <w:r w:rsidR="00215583">
        <w:rPr>
          <w:rFonts w:ascii="Verdana" w:hAnsi="Verdana"/>
          <w:color w:val="000000"/>
          <w:sz w:val="16"/>
          <w:szCs w:val="16"/>
        </w:rPr>
        <w:t>,</w:t>
      </w:r>
      <w:r w:rsidR="000344B9" w:rsidRPr="000344B9">
        <w:rPr>
          <w:rFonts w:ascii="Verdana" w:hAnsi="Verdana"/>
          <w:color w:val="000000"/>
          <w:sz w:val="16"/>
          <w:szCs w:val="16"/>
        </w:rPr>
        <w:t xml:space="preserve"> Artículo 9 (Principio de legalidad y de retroactividad)</w:t>
      </w:r>
      <w:r w:rsidRPr="00EA462A">
        <w:rPr>
          <w:rFonts w:ascii="Verdana" w:hAnsi="Verdana"/>
          <w:color w:val="000000"/>
          <w:sz w:val="16"/>
          <w:szCs w:val="16"/>
        </w:rPr>
        <w:t>.</w:t>
      </w:r>
    </w:p>
  </w:footnote>
  <w:footnote w:id="20">
    <w:p w14:paraId="2CFDBE8A" w14:textId="2BD8C217" w:rsidR="00EF57C8" w:rsidRPr="00EA462A" w:rsidRDefault="00EF57C8" w:rsidP="00EA462A">
      <w:pPr>
        <w:pStyle w:val="Textonotapie"/>
        <w:spacing w:line="240" w:lineRule="auto"/>
        <w:jc w:val="both"/>
        <w:rPr>
          <w:rFonts w:ascii="Verdana" w:hAnsi="Verdana"/>
          <w:sz w:val="16"/>
          <w:szCs w:val="16"/>
          <w:lang w:val="es-CL"/>
        </w:rPr>
      </w:pPr>
      <w:r w:rsidRPr="00EA462A">
        <w:rPr>
          <w:rStyle w:val="Refdenotaalpie"/>
          <w:rFonts w:ascii="Verdana" w:hAnsi="Verdana"/>
          <w:sz w:val="16"/>
          <w:szCs w:val="16"/>
        </w:rPr>
        <w:footnoteRef/>
      </w:r>
      <w:r w:rsidR="000344B9">
        <w:rPr>
          <w:rFonts w:ascii="Verdana" w:hAnsi="Verdana"/>
          <w:sz w:val="16"/>
          <w:szCs w:val="16"/>
          <w:lang w:val="es-CL"/>
        </w:rPr>
        <w:t xml:space="preserve"> La Corte </w:t>
      </w:r>
      <w:r w:rsidR="000344B9" w:rsidRPr="000344B9">
        <w:rPr>
          <w:rFonts w:ascii="Verdana" w:hAnsi="Verdana"/>
          <w:sz w:val="16"/>
          <w:szCs w:val="16"/>
          <w:lang w:val="es-CL"/>
        </w:rPr>
        <w:t xml:space="preserve">declaró que el Estado es responsable por la </w:t>
      </w:r>
      <w:proofErr w:type="spellStart"/>
      <w:r w:rsidR="000344B9" w:rsidRPr="000344B9">
        <w:rPr>
          <w:rFonts w:ascii="Verdana" w:hAnsi="Verdana"/>
          <w:sz w:val="16"/>
          <w:szCs w:val="16"/>
          <w:lang w:val="es-CL"/>
        </w:rPr>
        <w:t>violación</w:t>
      </w:r>
      <w:proofErr w:type="spellEnd"/>
      <w:r w:rsidR="000344B9" w:rsidRPr="000344B9">
        <w:rPr>
          <w:rFonts w:ascii="Verdana" w:hAnsi="Verdana"/>
          <w:sz w:val="16"/>
          <w:szCs w:val="16"/>
          <w:lang w:val="es-CL"/>
        </w:rPr>
        <w:t xml:space="preserve"> de los derechos al reconocimiento de la personalidad </w:t>
      </w:r>
      <w:r w:rsidR="000344B9">
        <w:rPr>
          <w:rFonts w:ascii="Verdana" w:hAnsi="Verdana"/>
          <w:sz w:val="16"/>
          <w:szCs w:val="16"/>
          <w:lang w:val="es-CL"/>
        </w:rPr>
        <w:t>Jurídica (art. 3 CADH)</w:t>
      </w:r>
      <w:r w:rsidR="000344B9" w:rsidRPr="000344B9">
        <w:rPr>
          <w:rFonts w:ascii="Verdana" w:hAnsi="Verdana"/>
          <w:sz w:val="16"/>
          <w:szCs w:val="16"/>
          <w:lang w:val="es-CL"/>
        </w:rPr>
        <w:t>, a la propiedad colectiva</w:t>
      </w:r>
      <w:r w:rsidR="000344B9">
        <w:rPr>
          <w:rFonts w:ascii="Verdana" w:hAnsi="Verdana"/>
          <w:sz w:val="16"/>
          <w:szCs w:val="16"/>
          <w:lang w:val="es-CL"/>
        </w:rPr>
        <w:t xml:space="preserve"> (art. 21 CADH)</w:t>
      </w:r>
      <w:r w:rsidR="000344B9" w:rsidRPr="000344B9">
        <w:rPr>
          <w:rFonts w:ascii="Verdana" w:hAnsi="Verdana"/>
          <w:sz w:val="16"/>
          <w:szCs w:val="16"/>
          <w:lang w:val="es-CL"/>
        </w:rPr>
        <w:t xml:space="preserve">, a los derechos </w:t>
      </w:r>
      <w:proofErr w:type="spellStart"/>
      <w:r w:rsidR="000344B9" w:rsidRPr="000344B9">
        <w:rPr>
          <w:rFonts w:ascii="Verdana" w:hAnsi="Verdana"/>
          <w:sz w:val="16"/>
          <w:szCs w:val="16"/>
          <w:lang w:val="es-CL"/>
        </w:rPr>
        <w:t>políticos</w:t>
      </w:r>
      <w:proofErr w:type="spellEnd"/>
      <w:r w:rsidR="000344B9">
        <w:rPr>
          <w:rFonts w:ascii="Verdana" w:hAnsi="Verdana"/>
          <w:sz w:val="16"/>
          <w:szCs w:val="16"/>
          <w:lang w:val="es-CL"/>
        </w:rPr>
        <w:t xml:space="preserve"> (art. 23 CADH)</w:t>
      </w:r>
      <w:r w:rsidR="000344B9" w:rsidRPr="000344B9">
        <w:rPr>
          <w:rFonts w:ascii="Verdana" w:hAnsi="Verdana"/>
          <w:sz w:val="16"/>
          <w:szCs w:val="16"/>
          <w:lang w:val="es-CL"/>
        </w:rPr>
        <w:t xml:space="preserve">, a la identidad cultural </w:t>
      </w:r>
      <w:r w:rsidR="000344B9">
        <w:rPr>
          <w:rFonts w:ascii="Verdana" w:hAnsi="Verdana"/>
          <w:sz w:val="16"/>
          <w:szCs w:val="16"/>
          <w:lang w:val="es-CL"/>
        </w:rPr>
        <w:t xml:space="preserve">(art. 1.1 CADH) </w:t>
      </w:r>
      <w:r w:rsidR="000344B9" w:rsidRPr="000344B9">
        <w:rPr>
          <w:rFonts w:ascii="Verdana" w:hAnsi="Verdana"/>
          <w:sz w:val="16"/>
          <w:szCs w:val="16"/>
          <w:lang w:val="es-CL"/>
        </w:rPr>
        <w:t>y al deber de adoptar las disposiciones de derecho interno</w:t>
      </w:r>
      <w:r w:rsidR="000344B9">
        <w:rPr>
          <w:rFonts w:ascii="Verdana" w:hAnsi="Verdana"/>
          <w:sz w:val="16"/>
          <w:szCs w:val="16"/>
          <w:lang w:val="es-CL"/>
        </w:rPr>
        <w:t xml:space="preserve"> (art. 2 CADH)</w:t>
      </w:r>
      <w:r w:rsidR="000344B9" w:rsidRPr="000344B9">
        <w:rPr>
          <w:rFonts w:ascii="Verdana" w:hAnsi="Verdana"/>
          <w:sz w:val="16"/>
          <w:szCs w:val="16"/>
          <w:lang w:val="es-CL"/>
        </w:rPr>
        <w:t>. Asimismo, el Estado violó el derecho a la protección judicial</w:t>
      </w:r>
      <w:r w:rsidR="000344B9">
        <w:rPr>
          <w:rFonts w:ascii="Verdana" w:hAnsi="Verdana"/>
          <w:sz w:val="16"/>
          <w:szCs w:val="16"/>
          <w:lang w:val="es-CL"/>
        </w:rPr>
        <w:t xml:space="preserve"> (art. 25 CADH)</w:t>
      </w:r>
      <w:r w:rsidR="000344B9" w:rsidRPr="000344B9">
        <w:rPr>
          <w:rFonts w:ascii="Verdana" w:hAnsi="Verdana"/>
          <w:sz w:val="16"/>
          <w:szCs w:val="16"/>
          <w:lang w:val="es-CL"/>
        </w:rPr>
        <w:t xml:space="preserve">, en </w:t>
      </w:r>
      <w:proofErr w:type="spellStart"/>
      <w:r w:rsidR="000344B9" w:rsidRPr="000344B9">
        <w:rPr>
          <w:rFonts w:ascii="Verdana" w:hAnsi="Verdana"/>
          <w:sz w:val="16"/>
          <w:szCs w:val="16"/>
          <w:lang w:val="es-CL"/>
        </w:rPr>
        <w:t>relación</w:t>
      </w:r>
      <w:proofErr w:type="spellEnd"/>
      <w:r w:rsidR="000344B9" w:rsidRPr="000344B9">
        <w:rPr>
          <w:rFonts w:ascii="Verdana" w:hAnsi="Verdana"/>
          <w:sz w:val="16"/>
          <w:szCs w:val="16"/>
          <w:lang w:val="es-CL"/>
        </w:rPr>
        <w:t xml:space="preserve"> con el deber de adoptar disposiciones de derecho interno </w:t>
      </w:r>
      <w:r w:rsidR="000344B9">
        <w:rPr>
          <w:rFonts w:ascii="Verdana" w:hAnsi="Verdana"/>
          <w:sz w:val="16"/>
          <w:szCs w:val="16"/>
          <w:lang w:val="es-CL"/>
        </w:rPr>
        <w:t xml:space="preserve"> (art. 2 CADH) </w:t>
      </w:r>
      <w:r w:rsidR="000344B9" w:rsidRPr="000344B9">
        <w:rPr>
          <w:rFonts w:ascii="Verdana" w:hAnsi="Verdana"/>
          <w:sz w:val="16"/>
          <w:szCs w:val="16"/>
          <w:lang w:val="es-CL"/>
        </w:rPr>
        <w:t xml:space="preserve">y el derecho de acceso a la </w:t>
      </w:r>
      <w:proofErr w:type="spellStart"/>
      <w:r w:rsidR="000344B9" w:rsidRPr="000344B9">
        <w:rPr>
          <w:rFonts w:ascii="Verdana" w:hAnsi="Verdana"/>
          <w:sz w:val="16"/>
          <w:szCs w:val="16"/>
          <w:lang w:val="es-CL"/>
        </w:rPr>
        <w:t>información</w:t>
      </w:r>
      <w:proofErr w:type="spellEnd"/>
      <w:r w:rsidR="000344B9">
        <w:rPr>
          <w:rFonts w:ascii="Verdana" w:hAnsi="Verdana"/>
          <w:sz w:val="16"/>
          <w:szCs w:val="16"/>
          <w:lang w:val="es-CL"/>
        </w:rPr>
        <w:t xml:space="preserve"> (art. 13 CADH)</w:t>
      </w:r>
      <w:r w:rsidR="000344B9" w:rsidRPr="000344B9">
        <w:rPr>
          <w:rFonts w:ascii="Verdana" w:hAnsi="Verdana"/>
          <w:sz w:val="16"/>
          <w:szCs w:val="16"/>
          <w:lang w:val="es-CL"/>
        </w:rPr>
        <w:t xml:space="preserve">, al no contar con recursos adecuados ni efectivos </w:t>
      </w:r>
      <w:r w:rsidR="000344B9">
        <w:rPr>
          <w:rFonts w:ascii="Verdana" w:hAnsi="Verdana"/>
          <w:sz w:val="16"/>
          <w:szCs w:val="16"/>
          <w:lang w:val="es-CL"/>
        </w:rPr>
        <w:t xml:space="preserve">(art. 25 CADH) </w:t>
      </w:r>
      <w:r w:rsidR="000344B9" w:rsidRPr="000344B9">
        <w:rPr>
          <w:rFonts w:ascii="Verdana" w:hAnsi="Verdana"/>
          <w:sz w:val="16"/>
          <w:szCs w:val="16"/>
          <w:lang w:val="es-CL"/>
        </w:rPr>
        <w:t>para exigir tales derechos</w:t>
      </w:r>
      <w:r w:rsidRPr="00EA462A">
        <w:rPr>
          <w:rFonts w:ascii="Verdana" w:hAnsi="Verdana"/>
          <w:sz w:val="16"/>
          <w:szCs w:val="16"/>
          <w:lang w:val="es-CL"/>
        </w:rPr>
        <w:t>.</w:t>
      </w:r>
    </w:p>
  </w:footnote>
  <w:footnote w:id="21">
    <w:p w14:paraId="27AAF69F" w14:textId="05F74CD5" w:rsidR="00EF57C8" w:rsidRPr="00EA462A" w:rsidRDefault="00EF57C8" w:rsidP="00EA462A">
      <w:pPr>
        <w:spacing w:line="240" w:lineRule="auto"/>
        <w:jc w:val="both"/>
        <w:rPr>
          <w:rFonts w:ascii="Verdana" w:eastAsia="Times New Roman" w:hAnsi="Verdana"/>
          <w:sz w:val="16"/>
          <w:szCs w:val="16"/>
        </w:rPr>
      </w:pPr>
      <w:r w:rsidRPr="00EA462A">
        <w:rPr>
          <w:rStyle w:val="Refdenotaalpie"/>
          <w:rFonts w:ascii="Verdana" w:hAnsi="Verdana"/>
          <w:sz w:val="16"/>
          <w:szCs w:val="16"/>
        </w:rPr>
        <w:footnoteRef/>
      </w:r>
      <w:r w:rsidR="00510C52">
        <w:rPr>
          <w:rFonts w:ascii="Verdana" w:eastAsia="Times New Roman" w:hAnsi="Verdana"/>
          <w:sz w:val="16"/>
          <w:szCs w:val="16"/>
        </w:rPr>
        <w:t xml:space="preserve"> La Corte </w:t>
      </w:r>
      <w:r w:rsidR="00510C52" w:rsidRPr="00510C52">
        <w:rPr>
          <w:rFonts w:ascii="Verdana" w:eastAsia="Times New Roman" w:hAnsi="Verdana"/>
          <w:sz w:val="16"/>
          <w:szCs w:val="16"/>
        </w:rPr>
        <w:t xml:space="preserve">declaró responsable internacionalmente al Estado Plurinacional de Bolivia por la </w:t>
      </w:r>
      <w:proofErr w:type="spellStart"/>
      <w:r w:rsidR="00510C52" w:rsidRPr="00510C52">
        <w:rPr>
          <w:rFonts w:ascii="Verdana" w:eastAsia="Times New Roman" w:hAnsi="Verdana"/>
          <w:sz w:val="16"/>
          <w:szCs w:val="16"/>
        </w:rPr>
        <w:t>violación</w:t>
      </w:r>
      <w:proofErr w:type="spellEnd"/>
      <w:r w:rsidR="00510C52" w:rsidRPr="00510C52">
        <w:rPr>
          <w:rFonts w:ascii="Verdana" w:eastAsia="Times New Roman" w:hAnsi="Verdana"/>
          <w:sz w:val="16"/>
          <w:szCs w:val="16"/>
        </w:rPr>
        <w:t xml:space="preserve"> de los derechos a la integridad personal, a la libertad personal, a la dignidad, a la vida privada y familiar, de acceso a la </w:t>
      </w:r>
      <w:proofErr w:type="spellStart"/>
      <w:r w:rsidR="00510C52" w:rsidRPr="00510C52">
        <w:rPr>
          <w:rFonts w:ascii="Verdana" w:eastAsia="Times New Roman" w:hAnsi="Verdana"/>
          <w:sz w:val="16"/>
          <w:szCs w:val="16"/>
        </w:rPr>
        <w:t>información</w:t>
      </w:r>
      <w:proofErr w:type="spellEnd"/>
      <w:r w:rsidR="00510C52" w:rsidRPr="00510C52">
        <w:rPr>
          <w:rFonts w:ascii="Verdana" w:eastAsia="Times New Roman" w:hAnsi="Verdana"/>
          <w:sz w:val="16"/>
          <w:szCs w:val="16"/>
        </w:rPr>
        <w:t xml:space="preserve"> y a fundar una familia, reconocidos en los </w:t>
      </w:r>
      <w:proofErr w:type="spellStart"/>
      <w:r w:rsidR="00510C52" w:rsidRPr="00510C52">
        <w:rPr>
          <w:rFonts w:ascii="Verdana" w:eastAsia="Times New Roman" w:hAnsi="Verdana"/>
          <w:sz w:val="16"/>
          <w:szCs w:val="16"/>
        </w:rPr>
        <w:t>artículos</w:t>
      </w:r>
      <w:proofErr w:type="spellEnd"/>
      <w:r w:rsidR="00510C52" w:rsidRPr="00510C52">
        <w:rPr>
          <w:rFonts w:ascii="Verdana" w:eastAsia="Times New Roman" w:hAnsi="Verdana"/>
          <w:sz w:val="16"/>
          <w:szCs w:val="16"/>
        </w:rPr>
        <w:t xml:space="preserve"> 5.1, 7.1, 11.1, 11.2, 13.1 y 17.2 de la Convención Americana sobre Derechos Humanos (en adelante también “la Convención Americana” o “la Convención”), en </w:t>
      </w:r>
      <w:proofErr w:type="spellStart"/>
      <w:r w:rsidR="00510C52" w:rsidRPr="00510C52">
        <w:rPr>
          <w:rFonts w:ascii="Verdana" w:eastAsia="Times New Roman" w:hAnsi="Verdana"/>
          <w:sz w:val="16"/>
          <w:szCs w:val="16"/>
        </w:rPr>
        <w:t>relación</w:t>
      </w:r>
      <w:proofErr w:type="spellEnd"/>
      <w:r w:rsidR="00510C52" w:rsidRPr="00510C52">
        <w:rPr>
          <w:rFonts w:ascii="Verdana" w:eastAsia="Times New Roman" w:hAnsi="Verdana"/>
          <w:sz w:val="16"/>
          <w:szCs w:val="16"/>
        </w:rPr>
        <w:t xml:space="preserve"> con las obligaciones de respetar y garantizar esos derechos y de no discriminar contenidas en el artículo 1.1 de la misma, </w:t>
      </w:r>
      <w:proofErr w:type="spellStart"/>
      <w:r w:rsidR="00510C52" w:rsidRPr="00510C52">
        <w:rPr>
          <w:rFonts w:ascii="Verdana" w:eastAsia="Times New Roman" w:hAnsi="Verdana"/>
          <w:sz w:val="16"/>
          <w:szCs w:val="16"/>
        </w:rPr>
        <w:t>asi</w:t>
      </w:r>
      <w:proofErr w:type="spellEnd"/>
      <w:r w:rsidR="00510C52" w:rsidRPr="00510C52">
        <w:rPr>
          <w:rFonts w:ascii="Verdana" w:eastAsia="Times New Roman" w:hAnsi="Verdana"/>
          <w:sz w:val="16"/>
          <w:szCs w:val="16"/>
        </w:rPr>
        <w:t xml:space="preserve">́ como por no cumplir con sus obligaciones bajo el artículo 7.a) y b) de la Convención de </w:t>
      </w:r>
      <w:proofErr w:type="spellStart"/>
      <w:r w:rsidR="00510C52" w:rsidRPr="00510C52">
        <w:rPr>
          <w:rFonts w:ascii="Verdana" w:eastAsia="Times New Roman" w:hAnsi="Verdana"/>
          <w:sz w:val="16"/>
          <w:szCs w:val="16"/>
        </w:rPr>
        <w:t>Belém</w:t>
      </w:r>
      <w:proofErr w:type="spellEnd"/>
      <w:r w:rsidR="00510C52" w:rsidRPr="00510C52">
        <w:rPr>
          <w:rFonts w:ascii="Verdana" w:eastAsia="Times New Roman" w:hAnsi="Verdana"/>
          <w:sz w:val="16"/>
          <w:szCs w:val="16"/>
        </w:rPr>
        <w:t xml:space="preserve"> do Pará, en perjuicio de la </w:t>
      </w:r>
      <w:proofErr w:type="spellStart"/>
      <w:r w:rsidR="00510C52" w:rsidRPr="00510C52">
        <w:rPr>
          <w:rFonts w:ascii="Verdana" w:eastAsia="Times New Roman" w:hAnsi="Verdana"/>
          <w:sz w:val="16"/>
          <w:szCs w:val="16"/>
        </w:rPr>
        <w:t>señora</w:t>
      </w:r>
      <w:proofErr w:type="spellEnd"/>
      <w:r w:rsidR="00510C52" w:rsidRPr="00510C52">
        <w:rPr>
          <w:rFonts w:ascii="Verdana" w:eastAsia="Times New Roman" w:hAnsi="Verdana"/>
          <w:sz w:val="16"/>
          <w:szCs w:val="16"/>
        </w:rPr>
        <w:t xml:space="preserve"> I.V. </w:t>
      </w:r>
      <w:proofErr w:type="spellStart"/>
      <w:r w:rsidR="00510C52" w:rsidRPr="00510C52">
        <w:rPr>
          <w:rFonts w:ascii="Verdana" w:eastAsia="Times New Roman" w:hAnsi="Verdana"/>
          <w:sz w:val="16"/>
          <w:szCs w:val="16"/>
        </w:rPr>
        <w:t>Además</w:t>
      </w:r>
      <w:proofErr w:type="spellEnd"/>
      <w:r w:rsidR="00510C52" w:rsidRPr="00510C52">
        <w:rPr>
          <w:rFonts w:ascii="Verdana" w:eastAsia="Times New Roman" w:hAnsi="Verdana"/>
          <w:sz w:val="16"/>
          <w:szCs w:val="16"/>
        </w:rPr>
        <w:t xml:space="preserve">, la Corte concluyó que el Estado es responsable por la </w:t>
      </w:r>
      <w:proofErr w:type="spellStart"/>
      <w:r w:rsidR="00510C52" w:rsidRPr="00510C52">
        <w:rPr>
          <w:rFonts w:ascii="Verdana" w:eastAsia="Times New Roman" w:hAnsi="Verdana"/>
          <w:sz w:val="16"/>
          <w:szCs w:val="16"/>
        </w:rPr>
        <w:t>violación</w:t>
      </w:r>
      <w:proofErr w:type="spellEnd"/>
      <w:r w:rsidR="00510C52" w:rsidRPr="00510C52">
        <w:rPr>
          <w:rFonts w:ascii="Verdana" w:eastAsia="Times New Roman" w:hAnsi="Verdana"/>
          <w:sz w:val="16"/>
          <w:szCs w:val="16"/>
        </w:rPr>
        <w:t xml:space="preserve"> del derecho a la integridad personal, reconocido en el artículo 5.1 y 5.2 de la Convención Americana sobre Derechos Humanos, en </w:t>
      </w:r>
      <w:proofErr w:type="spellStart"/>
      <w:r w:rsidR="00510C52" w:rsidRPr="00510C52">
        <w:rPr>
          <w:rFonts w:ascii="Verdana" w:eastAsia="Times New Roman" w:hAnsi="Verdana"/>
          <w:sz w:val="16"/>
          <w:szCs w:val="16"/>
        </w:rPr>
        <w:t>relación</w:t>
      </w:r>
      <w:proofErr w:type="spellEnd"/>
      <w:r w:rsidR="00510C52" w:rsidRPr="00510C52">
        <w:rPr>
          <w:rFonts w:ascii="Verdana" w:eastAsia="Times New Roman" w:hAnsi="Verdana"/>
          <w:sz w:val="16"/>
          <w:szCs w:val="16"/>
        </w:rPr>
        <w:t xml:space="preserve"> con la obligación de respetar, contenida en el artículo 1.1 de la misma, en perjuicio de la </w:t>
      </w:r>
      <w:proofErr w:type="spellStart"/>
      <w:r w:rsidR="00510C52" w:rsidRPr="00510C52">
        <w:rPr>
          <w:rFonts w:ascii="Verdana" w:eastAsia="Times New Roman" w:hAnsi="Verdana"/>
          <w:sz w:val="16"/>
          <w:szCs w:val="16"/>
        </w:rPr>
        <w:t>señora</w:t>
      </w:r>
      <w:proofErr w:type="spellEnd"/>
      <w:r w:rsidR="00510C52" w:rsidRPr="00510C52">
        <w:rPr>
          <w:rFonts w:ascii="Verdana" w:eastAsia="Times New Roman" w:hAnsi="Verdana"/>
          <w:sz w:val="16"/>
          <w:szCs w:val="16"/>
        </w:rPr>
        <w:t xml:space="preserve"> I.V. Finalmente, la Corte declaró al Estado responsable por la </w:t>
      </w:r>
      <w:proofErr w:type="spellStart"/>
      <w:r w:rsidR="00510C52" w:rsidRPr="00510C52">
        <w:rPr>
          <w:rFonts w:ascii="Verdana" w:eastAsia="Times New Roman" w:hAnsi="Verdana"/>
          <w:sz w:val="16"/>
          <w:szCs w:val="16"/>
        </w:rPr>
        <w:t>violación</w:t>
      </w:r>
      <w:proofErr w:type="spellEnd"/>
      <w:r w:rsidR="00510C52" w:rsidRPr="00510C52">
        <w:rPr>
          <w:rFonts w:ascii="Verdana" w:eastAsia="Times New Roman" w:hAnsi="Verdana"/>
          <w:sz w:val="16"/>
          <w:szCs w:val="16"/>
        </w:rPr>
        <w:t xml:space="preserve"> de los derechos a las </w:t>
      </w:r>
      <w:proofErr w:type="spellStart"/>
      <w:r w:rsidR="00510C52" w:rsidRPr="00510C52">
        <w:rPr>
          <w:rFonts w:ascii="Verdana" w:eastAsia="Times New Roman" w:hAnsi="Verdana"/>
          <w:sz w:val="16"/>
          <w:szCs w:val="16"/>
        </w:rPr>
        <w:t>garantías</w:t>
      </w:r>
      <w:proofErr w:type="spellEnd"/>
      <w:r w:rsidR="00510C52" w:rsidRPr="00510C52">
        <w:rPr>
          <w:rFonts w:ascii="Verdana" w:eastAsia="Times New Roman" w:hAnsi="Verdana"/>
          <w:sz w:val="16"/>
          <w:szCs w:val="16"/>
        </w:rPr>
        <w:t xml:space="preserve"> judiciales y protección judicial, reconocidos en los </w:t>
      </w:r>
      <w:proofErr w:type="spellStart"/>
      <w:r w:rsidR="00510C52" w:rsidRPr="00510C52">
        <w:rPr>
          <w:rFonts w:ascii="Verdana" w:eastAsia="Times New Roman" w:hAnsi="Verdana"/>
          <w:sz w:val="16"/>
          <w:szCs w:val="16"/>
        </w:rPr>
        <w:t>artículos</w:t>
      </w:r>
      <w:proofErr w:type="spellEnd"/>
      <w:r w:rsidR="00510C52" w:rsidRPr="00510C52">
        <w:rPr>
          <w:rFonts w:ascii="Verdana" w:eastAsia="Times New Roman" w:hAnsi="Verdana"/>
          <w:sz w:val="16"/>
          <w:szCs w:val="16"/>
        </w:rPr>
        <w:t xml:space="preserve"> 8.1 y 25.1 de la Convención Americana, en </w:t>
      </w:r>
      <w:proofErr w:type="spellStart"/>
      <w:r w:rsidR="00510C52" w:rsidRPr="00510C52">
        <w:rPr>
          <w:rFonts w:ascii="Verdana" w:eastAsia="Times New Roman" w:hAnsi="Verdana"/>
          <w:sz w:val="16"/>
          <w:szCs w:val="16"/>
        </w:rPr>
        <w:t>relación</w:t>
      </w:r>
      <w:proofErr w:type="spellEnd"/>
      <w:r w:rsidR="00510C52" w:rsidRPr="00510C52">
        <w:rPr>
          <w:rFonts w:ascii="Verdana" w:eastAsia="Times New Roman" w:hAnsi="Verdana"/>
          <w:sz w:val="16"/>
          <w:szCs w:val="16"/>
        </w:rPr>
        <w:t xml:space="preserve"> con las obligaciones de respetar y garantizar esos derechos y de no discriminar contenidas en el artículo 1.1 de la misma, </w:t>
      </w:r>
      <w:proofErr w:type="spellStart"/>
      <w:r w:rsidR="00510C52" w:rsidRPr="00510C52">
        <w:rPr>
          <w:rFonts w:ascii="Verdana" w:eastAsia="Times New Roman" w:hAnsi="Verdana"/>
          <w:sz w:val="16"/>
          <w:szCs w:val="16"/>
        </w:rPr>
        <w:t>asi</w:t>
      </w:r>
      <w:proofErr w:type="spellEnd"/>
      <w:r w:rsidR="00510C52" w:rsidRPr="00510C52">
        <w:rPr>
          <w:rFonts w:ascii="Verdana" w:eastAsia="Times New Roman" w:hAnsi="Verdana"/>
          <w:sz w:val="16"/>
          <w:szCs w:val="16"/>
        </w:rPr>
        <w:t xml:space="preserve">́ como por no cumplir con sus obligaciones bajo el artículo 7.b), c), f) y g) de la Convención de </w:t>
      </w:r>
      <w:proofErr w:type="spellStart"/>
      <w:r w:rsidR="00510C52" w:rsidRPr="00510C52">
        <w:rPr>
          <w:rFonts w:ascii="Verdana" w:eastAsia="Times New Roman" w:hAnsi="Verdana"/>
          <w:sz w:val="16"/>
          <w:szCs w:val="16"/>
        </w:rPr>
        <w:t>Belém</w:t>
      </w:r>
      <w:proofErr w:type="spellEnd"/>
      <w:r w:rsidR="00510C52" w:rsidRPr="00510C52">
        <w:rPr>
          <w:rFonts w:ascii="Verdana" w:eastAsia="Times New Roman" w:hAnsi="Verdana"/>
          <w:sz w:val="16"/>
          <w:szCs w:val="16"/>
        </w:rPr>
        <w:t xml:space="preserve"> do Pará, en perjuicio de la </w:t>
      </w:r>
      <w:proofErr w:type="spellStart"/>
      <w:r w:rsidR="00510C52" w:rsidRPr="00510C52">
        <w:rPr>
          <w:rFonts w:ascii="Verdana" w:eastAsia="Times New Roman" w:hAnsi="Verdana"/>
          <w:sz w:val="16"/>
          <w:szCs w:val="16"/>
        </w:rPr>
        <w:t>señora</w:t>
      </w:r>
      <w:proofErr w:type="spellEnd"/>
      <w:r w:rsidR="00510C52" w:rsidRPr="00510C52">
        <w:rPr>
          <w:rFonts w:ascii="Verdana" w:eastAsia="Times New Roman" w:hAnsi="Verdana"/>
          <w:sz w:val="16"/>
          <w:szCs w:val="16"/>
        </w:rPr>
        <w:t xml:space="preserve"> I.V.</w:t>
      </w:r>
      <w:r w:rsidRPr="00EA462A">
        <w:rPr>
          <w:rFonts w:ascii="Verdana" w:eastAsia="Times New Roman" w:hAnsi="Verdana"/>
          <w:sz w:val="16"/>
          <w:szCs w:val="16"/>
        </w:rPr>
        <w:t>.</w:t>
      </w:r>
    </w:p>
  </w:footnote>
  <w:footnote w:id="22">
    <w:p w14:paraId="4B44EAA3" w14:textId="639C3D06" w:rsidR="00EF57C8" w:rsidRPr="00EA462A" w:rsidRDefault="00EF57C8" w:rsidP="00EA462A">
      <w:pPr>
        <w:pStyle w:val="Textonotapie"/>
        <w:spacing w:line="240" w:lineRule="auto"/>
        <w:jc w:val="both"/>
        <w:rPr>
          <w:rFonts w:ascii="Verdana" w:hAnsi="Verdana"/>
          <w:sz w:val="16"/>
          <w:szCs w:val="16"/>
          <w:lang w:val="es-CL"/>
        </w:rPr>
      </w:pPr>
      <w:r w:rsidRPr="00EA462A">
        <w:rPr>
          <w:rStyle w:val="Refdenotaalpie"/>
          <w:rFonts w:ascii="Verdana" w:hAnsi="Verdana"/>
          <w:sz w:val="16"/>
          <w:szCs w:val="16"/>
        </w:rPr>
        <w:footnoteRef/>
      </w:r>
      <w:r w:rsidRPr="00EA462A">
        <w:rPr>
          <w:rFonts w:ascii="Verdana" w:hAnsi="Verdana"/>
          <w:sz w:val="16"/>
          <w:szCs w:val="16"/>
          <w:lang w:val="es-CL"/>
        </w:rPr>
        <w:t xml:space="preserve"> </w:t>
      </w:r>
      <w:r w:rsidR="00510C52">
        <w:rPr>
          <w:rFonts w:ascii="Verdana" w:hAnsi="Verdana"/>
          <w:sz w:val="16"/>
          <w:szCs w:val="16"/>
          <w:lang w:val="es-CL"/>
        </w:rPr>
        <w:t>La C</w:t>
      </w:r>
      <w:r w:rsidRPr="00EA462A">
        <w:rPr>
          <w:rFonts w:ascii="Verdana" w:hAnsi="Verdana"/>
          <w:sz w:val="16"/>
          <w:szCs w:val="16"/>
          <w:lang w:val="es-CL"/>
        </w:rPr>
        <w:t xml:space="preserve">orte declaró que el Estado es responsable por la violación de sus derechos a la participación política </w:t>
      </w:r>
      <w:r w:rsidR="00510C52">
        <w:rPr>
          <w:rFonts w:ascii="Verdana" w:hAnsi="Verdana"/>
          <w:sz w:val="16"/>
          <w:szCs w:val="16"/>
          <w:lang w:val="es-CL"/>
        </w:rPr>
        <w:t xml:space="preserve">(art. 23 CADH) </w:t>
      </w:r>
      <w:r w:rsidRPr="00EA462A">
        <w:rPr>
          <w:rFonts w:ascii="Verdana" w:hAnsi="Verdana"/>
          <w:sz w:val="16"/>
          <w:szCs w:val="16"/>
          <w:lang w:val="es-CL"/>
        </w:rPr>
        <w:t>y libertad de pensamiento y expresión</w:t>
      </w:r>
      <w:r w:rsidR="00510C52">
        <w:rPr>
          <w:rFonts w:ascii="Verdana" w:hAnsi="Verdana"/>
          <w:sz w:val="16"/>
          <w:szCs w:val="16"/>
          <w:lang w:val="es-CL"/>
        </w:rPr>
        <w:t xml:space="preserve"> (art. 13 CADH)</w:t>
      </w:r>
      <w:r w:rsidRPr="00EA462A">
        <w:rPr>
          <w:rFonts w:ascii="Verdana" w:hAnsi="Verdana"/>
          <w:sz w:val="16"/>
          <w:szCs w:val="16"/>
          <w:lang w:val="es-CL"/>
        </w:rPr>
        <w:t>, en relación con el principio de no discriminación</w:t>
      </w:r>
      <w:r w:rsidR="00510C52">
        <w:rPr>
          <w:rFonts w:ascii="Verdana" w:hAnsi="Verdana"/>
          <w:sz w:val="16"/>
          <w:szCs w:val="16"/>
          <w:lang w:val="es-CL"/>
        </w:rPr>
        <w:t xml:space="preserve"> (art. 1.1 CADH)</w:t>
      </w:r>
      <w:r w:rsidRPr="00EA462A">
        <w:rPr>
          <w:rFonts w:ascii="Verdana" w:hAnsi="Verdana"/>
          <w:sz w:val="16"/>
          <w:szCs w:val="16"/>
          <w:lang w:val="es-CL"/>
        </w:rPr>
        <w:t>. Además, la Corte concluyó que el Estado es responsable por haber incumplido su obligación de garantizar los derechos de acceso a la justicia y a un recurso efectivo para tutelar los derechos de las víctimas y, en razón de la terminación arbitraria de su relación laboral, por la violación de su derecho al trabajo.</w:t>
      </w:r>
    </w:p>
    <w:p w14:paraId="3B6DFB50" w14:textId="09C5B904" w:rsidR="00EF57C8" w:rsidRPr="00EA462A" w:rsidRDefault="00EF57C8" w:rsidP="00EA462A">
      <w:pPr>
        <w:pStyle w:val="Textonotapie"/>
        <w:spacing w:line="240" w:lineRule="auto"/>
        <w:jc w:val="both"/>
        <w:rPr>
          <w:rFonts w:ascii="Verdana" w:hAnsi="Verdana"/>
          <w:sz w:val="16"/>
          <w:szCs w:val="16"/>
          <w:lang w:val="es-CL"/>
        </w:rPr>
      </w:pPr>
    </w:p>
  </w:footnote>
  <w:footnote w:id="23">
    <w:p w14:paraId="50AAFEC1" w14:textId="56EDB736" w:rsidR="00EF57C8" w:rsidRPr="00EA462A" w:rsidRDefault="00EF57C8" w:rsidP="00EA462A">
      <w:pPr>
        <w:pStyle w:val="Textonotapie"/>
        <w:spacing w:line="240" w:lineRule="auto"/>
        <w:jc w:val="both"/>
        <w:rPr>
          <w:rFonts w:ascii="Verdana" w:hAnsi="Verdana"/>
          <w:sz w:val="16"/>
          <w:szCs w:val="16"/>
          <w:lang w:val="es-CL"/>
        </w:rPr>
      </w:pPr>
      <w:r w:rsidRPr="00EA462A">
        <w:rPr>
          <w:rStyle w:val="Refdenotaalpie"/>
          <w:rFonts w:ascii="Verdana" w:hAnsi="Verdana"/>
          <w:sz w:val="16"/>
          <w:szCs w:val="16"/>
        </w:rPr>
        <w:footnoteRef/>
      </w:r>
      <w:r w:rsidRPr="00EA462A">
        <w:rPr>
          <w:rFonts w:ascii="Verdana" w:hAnsi="Verdana"/>
          <w:sz w:val="16"/>
          <w:szCs w:val="16"/>
          <w:lang w:val="es-CL"/>
        </w:rPr>
        <w:t xml:space="preserve"> </w:t>
      </w:r>
      <w:r w:rsidR="00F821A9">
        <w:rPr>
          <w:rFonts w:ascii="Verdana" w:hAnsi="Verdana"/>
          <w:sz w:val="16"/>
          <w:szCs w:val="16"/>
          <w:lang w:val="es-CL"/>
        </w:rPr>
        <w:t xml:space="preserve">La Corte </w:t>
      </w:r>
      <w:r w:rsidR="00F821A9" w:rsidRPr="00F821A9">
        <w:rPr>
          <w:rFonts w:ascii="Verdana" w:hAnsi="Verdana"/>
          <w:sz w:val="16"/>
          <w:szCs w:val="16"/>
          <w:lang w:val="es-CL"/>
        </w:rPr>
        <w:t xml:space="preserve">declaró responsable internacionalmente al Estado por la muerte del periodista Nelson Carvajal </w:t>
      </w:r>
      <w:proofErr w:type="spellStart"/>
      <w:r w:rsidR="00F821A9" w:rsidRPr="00F821A9">
        <w:rPr>
          <w:rFonts w:ascii="Verdana" w:hAnsi="Verdana"/>
          <w:sz w:val="16"/>
          <w:szCs w:val="16"/>
          <w:lang w:val="es-CL"/>
        </w:rPr>
        <w:t>Carvajal</w:t>
      </w:r>
      <w:proofErr w:type="spellEnd"/>
      <w:r w:rsidR="00F821A9" w:rsidRPr="00F821A9">
        <w:rPr>
          <w:rFonts w:ascii="Verdana" w:hAnsi="Verdana"/>
          <w:sz w:val="16"/>
          <w:szCs w:val="16"/>
          <w:lang w:val="es-CL"/>
        </w:rPr>
        <w:t xml:space="preserve"> y por una falta al deber de garantizar su derecho a la libertad de </w:t>
      </w:r>
      <w:proofErr w:type="spellStart"/>
      <w:r w:rsidR="00F821A9" w:rsidRPr="00F821A9">
        <w:rPr>
          <w:rFonts w:ascii="Verdana" w:hAnsi="Verdana"/>
          <w:sz w:val="16"/>
          <w:szCs w:val="16"/>
          <w:lang w:val="es-CL"/>
        </w:rPr>
        <w:t>expresión</w:t>
      </w:r>
      <w:proofErr w:type="spellEnd"/>
      <w:r w:rsidR="00F821A9">
        <w:rPr>
          <w:rFonts w:ascii="Verdana" w:hAnsi="Verdana"/>
          <w:sz w:val="16"/>
          <w:szCs w:val="16"/>
          <w:lang w:val="es-CL"/>
        </w:rPr>
        <w:t xml:space="preserve"> (art. 13 CADH)</w:t>
      </w:r>
      <w:r w:rsidR="00F821A9" w:rsidRPr="00F821A9">
        <w:rPr>
          <w:rFonts w:ascii="Verdana" w:hAnsi="Verdana"/>
          <w:sz w:val="16"/>
          <w:szCs w:val="16"/>
          <w:lang w:val="es-CL"/>
        </w:rPr>
        <w:t xml:space="preserve">. Nelson Carvajal fue asesinado en Pitalito, departamento del Huila, el 16 de abril de 1998. La Corte consideró responsable al Estado por la </w:t>
      </w:r>
      <w:proofErr w:type="spellStart"/>
      <w:r w:rsidR="00F821A9" w:rsidRPr="00F821A9">
        <w:rPr>
          <w:rFonts w:ascii="Verdana" w:hAnsi="Verdana"/>
          <w:sz w:val="16"/>
          <w:szCs w:val="16"/>
          <w:lang w:val="es-CL"/>
        </w:rPr>
        <w:t>violación</w:t>
      </w:r>
      <w:proofErr w:type="spellEnd"/>
      <w:r w:rsidR="00F821A9" w:rsidRPr="00F821A9">
        <w:rPr>
          <w:rFonts w:ascii="Verdana" w:hAnsi="Verdana"/>
          <w:sz w:val="16"/>
          <w:szCs w:val="16"/>
          <w:lang w:val="es-CL"/>
        </w:rPr>
        <w:t xml:space="preserve"> al derecho a las </w:t>
      </w:r>
      <w:proofErr w:type="spellStart"/>
      <w:r w:rsidR="00F821A9" w:rsidRPr="00F821A9">
        <w:rPr>
          <w:rFonts w:ascii="Verdana" w:hAnsi="Verdana"/>
          <w:sz w:val="16"/>
          <w:szCs w:val="16"/>
          <w:lang w:val="es-CL"/>
        </w:rPr>
        <w:t>garantías</w:t>
      </w:r>
      <w:proofErr w:type="spellEnd"/>
      <w:r w:rsidR="00F821A9" w:rsidRPr="00F821A9">
        <w:rPr>
          <w:rFonts w:ascii="Verdana" w:hAnsi="Verdana"/>
          <w:sz w:val="16"/>
          <w:szCs w:val="16"/>
          <w:lang w:val="es-CL"/>
        </w:rPr>
        <w:t xml:space="preserve"> judiciales </w:t>
      </w:r>
      <w:r w:rsidR="00F821A9">
        <w:rPr>
          <w:rFonts w:ascii="Verdana" w:hAnsi="Verdana"/>
          <w:sz w:val="16"/>
          <w:szCs w:val="16"/>
          <w:lang w:val="es-CL"/>
        </w:rPr>
        <w:t xml:space="preserve">(art. 8 CADH) </w:t>
      </w:r>
      <w:r w:rsidR="00F821A9" w:rsidRPr="00F821A9">
        <w:rPr>
          <w:rFonts w:ascii="Verdana" w:hAnsi="Verdana"/>
          <w:sz w:val="16"/>
          <w:szCs w:val="16"/>
          <w:lang w:val="es-CL"/>
        </w:rPr>
        <w:t xml:space="preserve">por las investigaciones de ese hecho, por la </w:t>
      </w:r>
      <w:proofErr w:type="spellStart"/>
      <w:r w:rsidR="00F821A9" w:rsidRPr="00F821A9">
        <w:rPr>
          <w:rFonts w:ascii="Verdana" w:hAnsi="Verdana"/>
          <w:sz w:val="16"/>
          <w:szCs w:val="16"/>
          <w:lang w:val="es-CL"/>
        </w:rPr>
        <w:t>violación</w:t>
      </w:r>
      <w:proofErr w:type="spellEnd"/>
      <w:r w:rsidR="00F821A9" w:rsidRPr="00F821A9">
        <w:rPr>
          <w:rFonts w:ascii="Verdana" w:hAnsi="Verdana"/>
          <w:sz w:val="16"/>
          <w:szCs w:val="16"/>
          <w:lang w:val="es-CL"/>
        </w:rPr>
        <w:t xml:space="preserve"> al derecho a la integridad personal </w:t>
      </w:r>
      <w:r w:rsidR="00F821A9">
        <w:rPr>
          <w:rFonts w:ascii="Verdana" w:hAnsi="Verdana"/>
          <w:sz w:val="16"/>
          <w:szCs w:val="16"/>
          <w:lang w:val="es-CL"/>
        </w:rPr>
        <w:t xml:space="preserve">(art. 5 CADH) </w:t>
      </w:r>
      <w:r w:rsidR="00F821A9" w:rsidRPr="00F821A9">
        <w:rPr>
          <w:rFonts w:ascii="Verdana" w:hAnsi="Verdana"/>
          <w:sz w:val="16"/>
          <w:szCs w:val="16"/>
          <w:lang w:val="es-CL"/>
        </w:rPr>
        <w:t xml:space="preserve">y de protección de la familia de los familiares de la </w:t>
      </w:r>
      <w:proofErr w:type="spellStart"/>
      <w:r w:rsidR="00F821A9" w:rsidRPr="00F821A9">
        <w:rPr>
          <w:rFonts w:ascii="Verdana" w:hAnsi="Verdana"/>
          <w:sz w:val="16"/>
          <w:szCs w:val="16"/>
          <w:lang w:val="es-CL"/>
        </w:rPr>
        <w:t>víctima</w:t>
      </w:r>
      <w:proofErr w:type="spellEnd"/>
      <w:r w:rsidR="00F821A9" w:rsidRPr="00F821A9">
        <w:rPr>
          <w:rFonts w:ascii="Verdana" w:hAnsi="Verdana"/>
          <w:sz w:val="16"/>
          <w:szCs w:val="16"/>
          <w:lang w:val="es-CL"/>
        </w:rPr>
        <w:t xml:space="preserve"> directa</w:t>
      </w:r>
      <w:r w:rsidR="00F821A9">
        <w:rPr>
          <w:rFonts w:ascii="Verdana" w:hAnsi="Verdana"/>
          <w:sz w:val="16"/>
          <w:szCs w:val="16"/>
          <w:lang w:val="es-CL"/>
        </w:rPr>
        <w:t xml:space="preserve"> (art. 17 CADH)</w:t>
      </w:r>
      <w:r w:rsidR="00F821A9" w:rsidRPr="00F821A9">
        <w:rPr>
          <w:rFonts w:ascii="Verdana" w:hAnsi="Verdana"/>
          <w:sz w:val="16"/>
          <w:szCs w:val="16"/>
          <w:lang w:val="es-CL"/>
        </w:rPr>
        <w:t xml:space="preserve">, </w:t>
      </w:r>
      <w:proofErr w:type="spellStart"/>
      <w:r w:rsidR="00F821A9" w:rsidRPr="00F821A9">
        <w:rPr>
          <w:rFonts w:ascii="Verdana" w:hAnsi="Verdana"/>
          <w:sz w:val="16"/>
          <w:szCs w:val="16"/>
          <w:lang w:val="es-CL"/>
        </w:rPr>
        <w:t>asi</w:t>
      </w:r>
      <w:proofErr w:type="spellEnd"/>
      <w:r w:rsidR="00F821A9" w:rsidRPr="00F821A9">
        <w:rPr>
          <w:rFonts w:ascii="Verdana" w:hAnsi="Verdana"/>
          <w:sz w:val="16"/>
          <w:szCs w:val="16"/>
          <w:lang w:val="es-CL"/>
        </w:rPr>
        <w:t xml:space="preserve">́ como los derechos de </w:t>
      </w:r>
      <w:proofErr w:type="spellStart"/>
      <w:r w:rsidR="00F821A9" w:rsidRPr="00F821A9">
        <w:rPr>
          <w:rFonts w:ascii="Verdana" w:hAnsi="Verdana"/>
          <w:sz w:val="16"/>
          <w:szCs w:val="16"/>
          <w:lang w:val="es-CL"/>
        </w:rPr>
        <w:t>circulación</w:t>
      </w:r>
      <w:proofErr w:type="spellEnd"/>
      <w:r w:rsidR="00F821A9" w:rsidRPr="00F821A9">
        <w:rPr>
          <w:rFonts w:ascii="Verdana" w:hAnsi="Verdana"/>
          <w:sz w:val="16"/>
          <w:szCs w:val="16"/>
          <w:lang w:val="es-CL"/>
        </w:rPr>
        <w:t xml:space="preserve"> y residencia </w:t>
      </w:r>
      <w:r w:rsidR="00F821A9">
        <w:rPr>
          <w:rFonts w:ascii="Verdana" w:hAnsi="Verdana"/>
          <w:sz w:val="16"/>
          <w:szCs w:val="16"/>
          <w:lang w:val="es-CL"/>
        </w:rPr>
        <w:t xml:space="preserve">(art. 22 CADH) </w:t>
      </w:r>
      <w:r w:rsidR="00F821A9" w:rsidRPr="00F821A9">
        <w:rPr>
          <w:rFonts w:ascii="Verdana" w:hAnsi="Verdana"/>
          <w:sz w:val="16"/>
          <w:szCs w:val="16"/>
          <w:lang w:val="es-CL"/>
        </w:rPr>
        <w:t xml:space="preserve">de algunos de los familiares de Nelson Carvajal que se vieron forzados a salir de su lugar de residencia habitual y desplazarse en </w:t>
      </w:r>
      <w:proofErr w:type="spellStart"/>
      <w:r w:rsidR="00F821A9" w:rsidRPr="00F821A9">
        <w:rPr>
          <w:rFonts w:ascii="Verdana" w:hAnsi="Verdana"/>
          <w:sz w:val="16"/>
          <w:szCs w:val="16"/>
          <w:lang w:val="es-CL"/>
        </w:rPr>
        <w:t>razón</w:t>
      </w:r>
      <w:proofErr w:type="spellEnd"/>
      <w:r w:rsidR="00F821A9" w:rsidRPr="00F821A9">
        <w:rPr>
          <w:rFonts w:ascii="Verdana" w:hAnsi="Verdana"/>
          <w:sz w:val="16"/>
          <w:szCs w:val="16"/>
          <w:lang w:val="es-CL"/>
        </w:rPr>
        <w:t xml:space="preserve"> de la situación de riesgo que soportaban, y el temor que </w:t>
      </w:r>
      <w:proofErr w:type="spellStart"/>
      <w:r w:rsidR="00F821A9" w:rsidRPr="00F821A9">
        <w:rPr>
          <w:rFonts w:ascii="Verdana" w:hAnsi="Verdana"/>
          <w:sz w:val="16"/>
          <w:szCs w:val="16"/>
          <w:lang w:val="es-CL"/>
        </w:rPr>
        <w:t>sentían</w:t>
      </w:r>
      <w:proofErr w:type="spellEnd"/>
      <w:r w:rsidRPr="00EA462A">
        <w:rPr>
          <w:rFonts w:ascii="Verdana" w:hAnsi="Verdana"/>
          <w:sz w:val="16"/>
          <w:szCs w:val="16"/>
          <w:lang w:val="es-CL"/>
        </w:rPr>
        <w:t>.</w:t>
      </w:r>
    </w:p>
    <w:p w14:paraId="0AAEA7CF" w14:textId="1769CB5A" w:rsidR="00EF57C8" w:rsidRPr="00EA462A" w:rsidRDefault="00EF57C8" w:rsidP="00EA462A">
      <w:pPr>
        <w:pStyle w:val="Textonotapie"/>
        <w:spacing w:line="240" w:lineRule="auto"/>
        <w:jc w:val="both"/>
        <w:rPr>
          <w:rFonts w:ascii="Verdana" w:hAnsi="Verdana"/>
          <w:sz w:val="16"/>
          <w:szCs w:val="16"/>
          <w:lang w:val="es-CL"/>
        </w:rPr>
      </w:pPr>
    </w:p>
  </w:footnote>
  <w:footnote w:id="24">
    <w:p w14:paraId="636A74C3" w14:textId="61D4288E" w:rsidR="00EF57C8" w:rsidRPr="00EA462A" w:rsidRDefault="00EF57C8" w:rsidP="00EA462A">
      <w:pPr>
        <w:spacing w:line="240" w:lineRule="auto"/>
        <w:jc w:val="both"/>
        <w:rPr>
          <w:rFonts w:ascii="Verdana" w:eastAsia="Times New Roman" w:hAnsi="Verdana"/>
          <w:sz w:val="16"/>
          <w:szCs w:val="16"/>
        </w:rPr>
      </w:pPr>
      <w:r w:rsidRPr="00EA462A">
        <w:rPr>
          <w:rStyle w:val="Refdenotaalpie"/>
          <w:rFonts w:ascii="Verdana" w:hAnsi="Verdana"/>
          <w:sz w:val="16"/>
          <w:szCs w:val="16"/>
        </w:rPr>
        <w:footnoteRef/>
      </w:r>
      <w:r w:rsidRPr="00EA462A">
        <w:rPr>
          <w:rFonts w:ascii="Verdana" w:hAnsi="Verdana"/>
          <w:sz w:val="16"/>
          <w:szCs w:val="16"/>
        </w:rPr>
        <w:t xml:space="preserve"> </w:t>
      </w:r>
      <w:r w:rsidR="00F821A9">
        <w:rPr>
          <w:rFonts w:ascii="Verdana" w:eastAsia="Times New Roman" w:hAnsi="Verdana"/>
          <w:sz w:val="16"/>
          <w:szCs w:val="16"/>
        </w:rPr>
        <w:t xml:space="preserve">La Corte consideré responsable al Estado por la violación del </w:t>
      </w:r>
      <w:r w:rsidR="00F821A9" w:rsidRPr="00F821A9">
        <w:rPr>
          <w:rFonts w:ascii="Verdana" w:eastAsia="Times New Roman" w:hAnsi="Verdana"/>
          <w:sz w:val="16"/>
          <w:szCs w:val="16"/>
        </w:rPr>
        <w:t>Artículo 1 (Obligación de respetar los derechos), Artículo 13 (Libertad de pensamiento y expresión), Artículo 17 ( Protección a la Familia), Artículo 23 (Derechos políticos), Artículo 5 (Derecho a la Integridad Personal), Artículo 7 (Derecho a la libertad personal), Artículo 8 (Garantías Judiciales)</w:t>
      </w:r>
      <w:r w:rsidRPr="00EA462A">
        <w:rPr>
          <w:rFonts w:ascii="Verdana" w:eastAsia="Times New Roman" w:hAnsi="Verdana"/>
          <w:sz w:val="16"/>
          <w:szCs w:val="16"/>
        </w:rPr>
        <w:t xml:space="preserve">. </w:t>
      </w:r>
    </w:p>
  </w:footnote>
  <w:footnote w:id="25">
    <w:p w14:paraId="4CF9D183" w14:textId="7EB5B44A" w:rsidR="00EF57C8" w:rsidRPr="00EA462A" w:rsidRDefault="00EF57C8" w:rsidP="00EA462A">
      <w:pPr>
        <w:pStyle w:val="Textonotapie"/>
        <w:spacing w:line="240" w:lineRule="auto"/>
        <w:jc w:val="both"/>
        <w:rPr>
          <w:rFonts w:ascii="Verdana" w:hAnsi="Verdana"/>
          <w:sz w:val="16"/>
          <w:szCs w:val="16"/>
          <w:lang w:val="es-ES_tradnl"/>
        </w:rPr>
      </w:pPr>
      <w:r w:rsidRPr="00EA462A">
        <w:rPr>
          <w:rStyle w:val="Refdenotaalpie"/>
          <w:rFonts w:ascii="Verdana" w:hAnsi="Verdana"/>
          <w:sz w:val="16"/>
          <w:szCs w:val="16"/>
        </w:rPr>
        <w:footnoteRef/>
      </w:r>
      <w:r w:rsidRPr="00EA462A">
        <w:rPr>
          <w:rFonts w:ascii="Verdana" w:hAnsi="Verdana"/>
          <w:sz w:val="16"/>
          <w:szCs w:val="16"/>
          <w:lang w:val="es-ES_tradnl"/>
        </w:rPr>
        <w:t xml:space="preserve"> </w:t>
      </w:r>
      <w:r w:rsidR="00F821A9" w:rsidRPr="00F821A9">
        <w:rPr>
          <w:rFonts w:ascii="Verdana" w:hAnsi="Verdana"/>
          <w:sz w:val="16"/>
          <w:szCs w:val="16"/>
          <w:lang w:val="es-ES_tradnl"/>
        </w:rPr>
        <w:t>El caso se refiere a la responsabilidad internacional del Estado por la ejecución extrajudicial de Jesús Valle Jaramillo, así como a la falta de investigación y sanción de los responsables del hecho.</w:t>
      </w:r>
      <w:r w:rsidR="00F821A9">
        <w:rPr>
          <w:rFonts w:ascii="Verdana" w:hAnsi="Verdana"/>
          <w:sz w:val="16"/>
          <w:szCs w:val="16"/>
          <w:lang w:val="es-ES_tradnl"/>
        </w:rPr>
        <w:t xml:space="preserve"> Los derechos violados: </w:t>
      </w:r>
      <w:r w:rsidR="00F821A9" w:rsidRPr="00F821A9">
        <w:rPr>
          <w:rFonts w:ascii="Verdana" w:hAnsi="Verdana"/>
          <w:sz w:val="16"/>
          <w:szCs w:val="16"/>
          <w:lang w:val="es-ES_tradnl"/>
        </w:rPr>
        <w:t>Artículo 1 (Obligación de respetar los derechos), Artículo 11 (Derecho a la honra y dignidad), Artículo 13 (Libertad de pensamiento y expresión), Artículo 16 (Derecho a la Libertad de Asociación)</w:t>
      </w:r>
      <w:r w:rsidR="00F821A9">
        <w:rPr>
          <w:rFonts w:ascii="Verdana" w:hAnsi="Verdana"/>
          <w:sz w:val="16"/>
          <w:szCs w:val="16"/>
          <w:lang w:val="es-ES_tradnl"/>
        </w:rPr>
        <w:t>,</w:t>
      </w:r>
      <w:r w:rsidR="00F821A9" w:rsidRPr="00F821A9">
        <w:rPr>
          <w:rFonts w:ascii="Verdana" w:hAnsi="Verdana"/>
          <w:sz w:val="16"/>
          <w:szCs w:val="16"/>
          <w:lang w:val="es-ES_tradnl"/>
        </w:rPr>
        <w:t xml:space="preserve"> Artículo 17 ( Protección a la Familia), Artículo 22 (Derecho de circulación y de residencia), Artículo 25 (Protección Judicial), Artículo 4 (Derecho a la vida)</w:t>
      </w:r>
      <w:r w:rsidR="00215583">
        <w:rPr>
          <w:rFonts w:ascii="Verdana" w:hAnsi="Verdana"/>
          <w:sz w:val="16"/>
          <w:szCs w:val="16"/>
          <w:lang w:val="es-ES_tradnl"/>
        </w:rPr>
        <w:t>,</w:t>
      </w:r>
      <w:r w:rsidR="00F821A9" w:rsidRPr="00F821A9">
        <w:rPr>
          <w:rFonts w:ascii="Verdana" w:hAnsi="Verdana"/>
          <w:sz w:val="16"/>
          <w:szCs w:val="16"/>
          <w:lang w:val="es-ES_tradnl"/>
        </w:rPr>
        <w:t xml:space="preserve"> Artículo 5 (Derecho a la Integridad Personal), Artículo 7 (Derecho a la libertad personal), Artículo 8 (Garantías Judiciales)</w:t>
      </w:r>
      <w:r w:rsidRPr="00EA462A">
        <w:rPr>
          <w:rFonts w:ascii="Verdana" w:hAnsi="Verdana"/>
          <w:sz w:val="16"/>
          <w:szCs w:val="16"/>
          <w:lang w:val="es-ES_tradnl"/>
        </w:rPr>
        <w:t>.</w:t>
      </w:r>
    </w:p>
  </w:footnote>
  <w:footnote w:id="26">
    <w:p w14:paraId="0494D2FB" w14:textId="4D54D4C1" w:rsidR="00EF57C8" w:rsidRPr="00EA462A" w:rsidRDefault="00EF57C8" w:rsidP="00EA462A">
      <w:pPr>
        <w:spacing w:line="240" w:lineRule="auto"/>
        <w:jc w:val="both"/>
        <w:rPr>
          <w:rFonts w:ascii="Verdana" w:hAnsi="Verdana"/>
          <w:sz w:val="16"/>
          <w:szCs w:val="16"/>
        </w:rPr>
      </w:pPr>
      <w:r w:rsidRPr="00EA462A">
        <w:rPr>
          <w:rStyle w:val="Refdenotaalpie"/>
          <w:rFonts w:ascii="Verdana" w:hAnsi="Verdana"/>
          <w:sz w:val="16"/>
          <w:szCs w:val="16"/>
        </w:rPr>
        <w:footnoteRef/>
      </w:r>
      <w:r w:rsidRPr="00EA462A">
        <w:rPr>
          <w:rFonts w:ascii="Verdana" w:hAnsi="Verdana"/>
          <w:sz w:val="16"/>
          <w:szCs w:val="16"/>
        </w:rPr>
        <w:t xml:space="preserve"> </w:t>
      </w:r>
      <w:r w:rsidR="00F12642" w:rsidRPr="00F12642">
        <w:rPr>
          <w:rFonts w:ascii="Verdana" w:hAnsi="Verdana"/>
          <w:sz w:val="16"/>
          <w:szCs w:val="16"/>
        </w:rPr>
        <w:t>El caso se refiere a la responsabilidad internacional del Estado por la condena a Eduardo Kimel por el delito de calumnia debido a la publicación de un libro.</w:t>
      </w:r>
      <w:r w:rsidR="00F12642">
        <w:rPr>
          <w:rFonts w:ascii="Verdana" w:hAnsi="Verdana"/>
          <w:sz w:val="16"/>
          <w:szCs w:val="16"/>
        </w:rPr>
        <w:t xml:space="preserve"> Derechos violados: </w:t>
      </w:r>
      <w:r w:rsidR="00F12642" w:rsidRPr="00F12642">
        <w:rPr>
          <w:rFonts w:ascii="Verdana" w:hAnsi="Verdana"/>
          <w:sz w:val="16"/>
          <w:szCs w:val="16"/>
        </w:rPr>
        <w:t>Artículo 1 (Obligación de respetar los derechos), Artículo 13 (Libertad de pensamiento y expresión), Artículo 2 (Deber de adoptar disposiciones de derecho interno), Artículo 25 (Protección Judicial), Artículo 8 (Garantías Judiciales)</w:t>
      </w:r>
      <w:r w:rsidRPr="00EA462A">
        <w:rPr>
          <w:rFonts w:ascii="Verdana" w:hAnsi="Verdana"/>
          <w:sz w:val="16"/>
          <w:szCs w:val="16"/>
        </w:rPr>
        <w:t>.</w:t>
      </w:r>
    </w:p>
  </w:footnote>
  <w:footnote w:id="27">
    <w:p w14:paraId="4802C30C" w14:textId="79876305" w:rsidR="00EF57C8" w:rsidRPr="00EA462A" w:rsidRDefault="00EF57C8" w:rsidP="00EA462A">
      <w:pPr>
        <w:pStyle w:val="Textonotapie"/>
        <w:spacing w:line="240" w:lineRule="auto"/>
        <w:jc w:val="both"/>
        <w:rPr>
          <w:rFonts w:ascii="Verdana" w:hAnsi="Verdana"/>
          <w:sz w:val="16"/>
          <w:szCs w:val="16"/>
          <w:lang w:val="es-ES_tradnl"/>
        </w:rPr>
      </w:pPr>
      <w:r w:rsidRPr="00EA462A">
        <w:rPr>
          <w:rStyle w:val="Refdenotaalpie"/>
          <w:rFonts w:ascii="Verdana" w:hAnsi="Verdana"/>
          <w:sz w:val="16"/>
          <w:szCs w:val="16"/>
        </w:rPr>
        <w:footnoteRef/>
      </w:r>
      <w:r w:rsidRPr="00EA462A">
        <w:rPr>
          <w:rFonts w:ascii="Verdana" w:hAnsi="Verdana"/>
          <w:sz w:val="16"/>
          <w:szCs w:val="16"/>
          <w:lang w:val="es-ES_tradnl"/>
        </w:rPr>
        <w:t xml:space="preserve"> </w:t>
      </w:r>
      <w:r w:rsidR="00F12642" w:rsidRPr="00F12642">
        <w:rPr>
          <w:rFonts w:ascii="Verdana" w:hAnsi="Verdana"/>
          <w:sz w:val="16"/>
          <w:szCs w:val="16"/>
          <w:lang w:val="es-ES_tradnl"/>
        </w:rPr>
        <w:t xml:space="preserve">El caso se refiere a la responsabilidad internacional del Estado por la sanción judicial impuesta a Jorge </w:t>
      </w:r>
      <w:proofErr w:type="spellStart"/>
      <w:r w:rsidR="00F12642" w:rsidRPr="00F12642">
        <w:rPr>
          <w:rFonts w:ascii="Verdana" w:hAnsi="Verdana"/>
          <w:sz w:val="16"/>
          <w:szCs w:val="16"/>
          <w:lang w:val="es-ES_tradnl"/>
        </w:rPr>
        <w:t>Fontevecchia</w:t>
      </w:r>
      <w:proofErr w:type="spellEnd"/>
      <w:r w:rsidR="00F12642" w:rsidRPr="00F12642">
        <w:rPr>
          <w:rFonts w:ascii="Verdana" w:hAnsi="Verdana"/>
          <w:sz w:val="16"/>
          <w:szCs w:val="16"/>
          <w:lang w:val="es-ES_tradnl"/>
        </w:rPr>
        <w:t xml:space="preserve"> y </w:t>
      </w:r>
      <w:proofErr w:type="spellStart"/>
      <w:r w:rsidR="00F12642" w:rsidRPr="00F12642">
        <w:rPr>
          <w:rFonts w:ascii="Verdana" w:hAnsi="Verdana"/>
          <w:sz w:val="16"/>
          <w:szCs w:val="16"/>
          <w:lang w:val="es-ES_tradnl"/>
        </w:rPr>
        <w:t>Hector</w:t>
      </w:r>
      <w:proofErr w:type="spellEnd"/>
      <w:r w:rsidR="00F12642" w:rsidRPr="00F12642">
        <w:rPr>
          <w:rFonts w:ascii="Verdana" w:hAnsi="Verdana"/>
          <w:sz w:val="16"/>
          <w:szCs w:val="16"/>
          <w:lang w:val="es-ES_tradnl"/>
        </w:rPr>
        <w:t xml:space="preserve"> </w:t>
      </w:r>
      <w:proofErr w:type="spellStart"/>
      <w:r w:rsidR="00F12642" w:rsidRPr="00F12642">
        <w:rPr>
          <w:rFonts w:ascii="Verdana" w:hAnsi="Verdana"/>
          <w:sz w:val="16"/>
          <w:szCs w:val="16"/>
          <w:lang w:val="es-ES_tradnl"/>
        </w:rPr>
        <w:t>D’Amico</w:t>
      </w:r>
      <w:proofErr w:type="spellEnd"/>
      <w:r w:rsidR="00F12642" w:rsidRPr="00F12642">
        <w:rPr>
          <w:rFonts w:ascii="Verdana" w:hAnsi="Verdana"/>
          <w:sz w:val="16"/>
          <w:szCs w:val="16"/>
          <w:lang w:val="es-ES_tradnl"/>
        </w:rPr>
        <w:t xml:space="preserve"> debido a una publicación que supuestamente habría afectado la vida privada del entonces Presidente de Argentina. </w:t>
      </w:r>
      <w:r w:rsidR="00F12642">
        <w:rPr>
          <w:rFonts w:ascii="Verdana" w:hAnsi="Verdana"/>
          <w:sz w:val="16"/>
          <w:szCs w:val="16"/>
          <w:lang w:val="es-ES_tradnl"/>
        </w:rPr>
        <w:t xml:space="preserve">Derechos violados: </w:t>
      </w:r>
      <w:r w:rsidR="00F12642" w:rsidRPr="00F12642">
        <w:rPr>
          <w:rFonts w:ascii="Verdana" w:hAnsi="Verdana"/>
          <w:sz w:val="16"/>
          <w:szCs w:val="16"/>
          <w:lang w:val="es-ES_tradnl"/>
        </w:rPr>
        <w:t>Artículo 1 (Obligación de respetar los derechos), Artículo 11 (Derecho a la honra y dignidad), Artículo 13 (Libertad de pensamiento y expresión), Artículo 2 (Deber de adoptar disposiciones de derecho interno)</w:t>
      </w:r>
      <w:r w:rsidRPr="00EA462A">
        <w:rPr>
          <w:rFonts w:ascii="Verdana" w:hAnsi="Verdana"/>
          <w:sz w:val="16"/>
          <w:szCs w:val="16"/>
          <w:lang w:val="es-ES_tradnl"/>
        </w:rPr>
        <w:t>.</w:t>
      </w:r>
    </w:p>
  </w:footnote>
  <w:footnote w:id="28">
    <w:p w14:paraId="4AAD3D1B" w14:textId="610AC96A" w:rsidR="00446489" w:rsidRPr="00446489" w:rsidRDefault="00446489" w:rsidP="00446489">
      <w:pPr>
        <w:pStyle w:val="Textonotapie"/>
        <w:spacing w:line="240" w:lineRule="auto"/>
        <w:jc w:val="both"/>
        <w:rPr>
          <w:rFonts w:ascii="Verdana" w:hAnsi="Verdana"/>
          <w:sz w:val="16"/>
          <w:szCs w:val="16"/>
          <w:lang w:val="es-CL"/>
        </w:rPr>
      </w:pPr>
      <w:r w:rsidRPr="00446489">
        <w:rPr>
          <w:rStyle w:val="Refdenotaalpie"/>
          <w:rFonts w:ascii="Verdana" w:hAnsi="Verdana"/>
          <w:sz w:val="16"/>
          <w:szCs w:val="16"/>
        </w:rPr>
        <w:footnoteRef/>
      </w:r>
      <w:r w:rsidRPr="00446489">
        <w:rPr>
          <w:rFonts w:ascii="Verdana" w:hAnsi="Verdana"/>
          <w:sz w:val="16"/>
          <w:szCs w:val="16"/>
          <w:lang w:val="es-CL"/>
        </w:rPr>
        <w:t xml:space="preserve"> </w:t>
      </w:r>
      <w:r w:rsidRPr="00446489">
        <w:rPr>
          <w:rFonts w:ascii="Verdana" w:hAnsi="Verdana"/>
          <w:sz w:val="16"/>
          <w:szCs w:val="16"/>
          <w:lang w:val="es-CL"/>
        </w:rPr>
        <w:t xml:space="preserve">El 5 de mayo de 2021 la Corte Interamericana de Derechos Humanos </w:t>
      </w:r>
      <w:proofErr w:type="spellStart"/>
      <w:r w:rsidRPr="00446489">
        <w:rPr>
          <w:rFonts w:ascii="Verdana" w:hAnsi="Verdana"/>
          <w:sz w:val="16"/>
          <w:szCs w:val="16"/>
          <w:lang w:val="es-CL"/>
        </w:rPr>
        <w:t>emitio</w:t>
      </w:r>
      <w:proofErr w:type="spellEnd"/>
      <w:r w:rsidRPr="00446489">
        <w:rPr>
          <w:rFonts w:ascii="Verdana" w:hAnsi="Verdana"/>
          <w:sz w:val="16"/>
          <w:szCs w:val="16"/>
          <w:lang w:val="es-CL"/>
        </w:rPr>
        <w:t xml:space="preserve">́ una </w:t>
      </w:r>
      <w:proofErr w:type="spellStart"/>
      <w:r w:rsidRPr="00446489">
        <w:rPr>
          <w:rFonts w:ascii="Verdana" w:hAnsi="Verdana"/>
          <w:sz w:val="16"/>
          <w:szCs w:val="16"/>
          <w:lang w:val="es-CL"/>
        </w:rPr>
        <w:t>Opinión</w:t>
      </w:r>
      <w:proofErr w:type="spellEnd"/>
      <w:r w:rsidRPr="00446489">
        <w:rPr>
          <w:rFonts w:ascii="Verdana" w:hAnsi="Verdana"/>
          <w:sz w:val="16"/>
          <w:szCs w:val="16"/>
          <w:lang w:val="es-CL"/>
        </w:rPr>
        <w:t xml:space="preserve"> Consultiva en respuesta a la consulta realizada por la </w:t>
      </w:r>
      <w:proofErr w:type="spellStart"/>
      <w:r w:rsidRPr="00446489">
        <w:rPr>
          <w:rFonts w:ascii="Verdana" w:hAnsi="Verdana"/>
          <w:sz w:val="16"/>
          <w:szCs w:val="16"/>
          <w:lang w:val="es-CL"/>
        </w:rPr>
        <w:t>Comisión</w:t>
      </w:r>
      <w:proofErr w:type="spellEnd"/>
      <w:r w:rsidRPr="00446489">
        <w:rPr>
          <w:rFonts w:ascii="Verdana" w:hAnsi="Verdana"/>
          <w:sz w:val="16"/>
          <w:szCs w:val="16"/>
          <w:lang w:val="es-CL"/>
        </w:rPr>
        <w:t xml:space="preserve"> Interamericana de Derechos Humanos sobre “el alcance de las obligaciones de los estados, bajo el sistema interamericano, sobre las </w:t>
      </w:r>
      <w:proofErr w:type="spellStart"/>
      <w:r w:rsidRPr="00446489">
        <w:rPr>
          <w:rFonts w:ascii="Verdana" w:hAnsi="Verdana"/>
          <w:sz w:val="16"/>
          <w:szCs w:val="16"/>
          <w:lang w:val="es-CL"/>
        </w:rPr>
        <w:t>garantías</w:t>
      </w:r>
      <w:proofErr w:type="spellEnd"/>
      <w:r w:rsidRPr="00446489">
        <w:rPr>
          <w:rFonts w:ascii="Verdana" w:hAnsi="Verdana"/>
          <w:sz w:val="16"/>
          <w:szCs w:val="16"/>
          <w:lang w:val="es-CL"/>
        </w:rPr>
        <w:t xml:space="preserve"> a la libertad sindical, su </w:t>
      </w:r>
      <w:proofErr w:type="spellStart"/>
      <w:r w:rsidRPr="00446489">
        <w:rPr>
          <w:rFonts w:ascii="Verdana" w:hAnsi="Verdana"/>
          <w:sz w:val="16"/>
          <w:szCs w:val="16"/>
          <w:lang w:val="es-CL"/>
        </w:rPr>
        <w:t>relación</w:t>
      </w:r>
      <w:proofErr w:type="spellEnd"/>
      <w:r w:rsidRPr="00446489">
        <w:rPr>
          <w:rFonts w:ascii="Verdana" w:hAnsi="Verdana"/>
          <w:sz w:val="16"/>
          <w:szCs w:val="16"/>
          <w:lang w:val="es-CL"/>
        </w:rPr>
        <w:t xml:space="preserve"> con otros derechos y </w:t>
      </w:r>
      <w:proofErr w:type="spellStart"/>
      <w:r w:rsidRPr="00446489">
        <w:rPr>
          <w:rFonts w:ascii="Verdana" w:hAnsi="Verdana"/>
          <w:sz w:val="16"/>
          <w:szCs w:val="16"/>
          <w:lang w:val="es-CL"/>
        </w:rPr>
        <w:t>aplicación</w:t>
      </w:r>
      <w:proofErr w:type="spellEnd"/>
      <w:r w:rsidRPr="00446489">
        <w:rPr>
          <w:rFonts w:ascii="Verdana" w:hAnsi="Verdana"/>
          <w:sz w:val="16"/>
          <w:szCs w:val="16"/>
          <w:lang w:val="es-CL"/>
        </w:rPr>
        <w:t xml:space="preserve"> desde una perspectiva de </w:t>
      </w:r>
      <w:proofErr w:type="spellStart"/>
      <w:r w:rsidRPr="00446489">
        <w:rPr>
          <w:rFonts w:ascii="Verdana" w:hAnsi="Verdana"/>
          <w:sz w:val="16"/>
          <w:szCs w:val="16"/>
          <w:lang w:val="es-CL"/>
        </w:rPr>
        <w:t>género</w:t>
      </w:r>
      <w:proofErr w:type="spellEnd"/>
      <w:r w:rsidRPr="00446489">
        <w:rPr>
          <w:rFonts w:ascii="Verdana" w:hAnsi="Verdana"/>
          <w:sz w:val="16"/>
          <w:szCs w:val="16"/>
          <w:lang w:val="es-CL"/>
        </w:rPr>
        <w:t xml:space="preserve">”. La </w:t>
      </w:r>
      <w:proofErr w:type="spellStart"/>
      <w:r w:rsidRPr="00446489">
        <w:rPr>
          <w:rFonts w:ascii="Verdana" w:hAnsi="Verdana"/>
          <w:sz w:val="16"/>
          <w:szCs w:val="16"/>
          <w:lang w:val="es-CL"/>
        </w:rPr>
        <w:t>Comisión</w:t>
      </w:r>
      <w:proofErr w:type="spellEnd"/>
      <w:r w:rsidRPr="00446489">
        <w:rPr>
          <w:rFonts w:ascii="Verdana" w:hAnsi="Verdana"/>
          <w:sz w:val="16"/>
          <w:szCs w:val="16"/>
          <w:lang w:val="es-CL"/>
        </w:rPr>
        <w:t xml:space="preserve"> Interamericana planteó distintas preguntas en su consulta, las cuales fueron reformuladas por la Corte en tres cuestiones generales y englobantes, para ser abordadas en los siguientes </w:t>
      </w:r>
      <w:proofErr w:type="spellStart"/>
      <w:r w:rsidRPr="00446489">
        <w:rPr>
          <w:rFonts w:ascii="Verdana" w:hAnsi="Verdana"/>
          <w:sz w:val="16"/>
          <w:szCs w:val="16"/>
          <w:lang w:val="es-CL"/>
        </w:rPr>
        <w:t>términos</w:t>
      </w:r>
      <w:proofErr w:type="spellEnd"/>
      <w:r w:rsidRPr="00446489">
        <w:rPr>
          <w:rFonts w:ascii="Verdana" w:hAnsi="Verdana"/>
          <w:sz w:val="16"/>
          <w:szCs w:val="16"/>
          <w:lang w:val="es-CL"/>
        </w:rPr>
        <w:t>:</w:t>
      </w:r>
      <w:r w:rsidRPr="00446489">
        <w:rPr>
          <w:rFonts w:ascii="Verdana" w:hAnsi="Verdana"/>
          <w:sz w:val="16"/>
          <w:szCs w:val="16"/>
          <w:lang w:val="es-CL"/>
        </w:rPr>
        <w:t xml:space="preserve"> </w:t>
      </w:r>
      <w:r w:rsidRPr="00446489">
        <w:rPr>
          <w:rFonts w:ascii="Verdana" w:hAnsi="Verdana"/>
          <w:sz w:val="16"/>
          <w:szCs w:val="16"/>
          <w:lang w:val="es-CL"/>
        </w:rPr>
        <w:t xml:space="preserve">Teniendo en cuenta los </w:t>
      </w:r>
      <w:proofErr w:type="spellStart"/>
      <w:r w:rsidRPr="00446489">
        <w:rPr>
          <w:rFonts w:ascii="Verdana" w:hAnsi="Verdana"/>
          <w:sz w:val="16"/>
          <w:szCs w:val="16"/>
          <w:lang w:val="es-CL"/>
        </w:rPr>
        <w:t>artículos</w:t>
      </w:r>
      <w:proofErr w:type="spellEnd"/>
      <w:r w:rsidRPr="00446489">
        <w:rPr>
          <w:rFonts w:ascii="Verdana" w:hAnsi="Verdana"/>
          <w:sz w:val="16"/>
          <w:szCs w:val="16"/>
          <w:lang w:val="es-CL"/>
        </w:rPr>
        <w:t xml:space="preserve"> 26, 13, 15, 16, 24, 25, 1.1 y 2 de la Convención Americana, 3, 6, 7 y 8 del Protocolo de San Salvador, 2, 3, 4, 5 y 6 de la Convención </w:t>
      </w:r>
      <w:proofErr w:type="spellStart"/>
      <w:r w:rsidRPr="00446489">
        <w:rPr>
          <w:rFonts w:ascii="Verdana" w:hAnsi="Verdana"/>
          <w:sz w:val="16"/>
          <w:szCs w:val="16"/>
          <w:lang w:val="es-CL"/>
        </w:rPr>
        <w:t>Belém</w:t>
      </w:r>
      <w:proofErr w:type="spellEnd"/>
      <w:r w:rsidRPr="00446489">
        <w:rPr>
          <w:rFonts w:ascii="Verdana" w:hAnsi="Verdana"/>
          <w:sz w:val="16"/>
          <w:szCs w:val="16"/>
          <w:lang w:val="es-CL"/>
        </w:rPr>
        <w:t xml:space="preserve"> Do Pará, 34, 44, y 45 de la Carta de la OEA, y II, IV, XIV, XXI, y XXII de la </w:t>
      </w:r>
      <w:proofErr w:type="spellStart"/>
      <w:r w:rsidRPr="00446489">
        <w:rPr>
          <w:rFonts w:ascii="Verdana" w:hAnsi="Verdana"/>
          <w:sz w:val="16"/>
          <w:szCs w:val="16"/>
          <w:lang w:val="es-CL"/>
        </w:rPr>
        <w:t>Declaración</w:t>
      </w:r>
      <w:proofErr w:type="spellEnd"/>
      <w:r w:rsidRPr="00446489">
        <w:rPr>
          <w:rFonts w:ascii="Verdana" w:hAnsi="Verdana"/>
          <w:sz w:val="16"/>
          <w:szCs w:val="16"/>
          <w:lang w:val="es-CL"/>
        </w:rPr>
        <w:t xml:space="preserve"> Americana:</w:t>
      </w:r>
      <w:r w:rsidRPr="00446489">
        <w:rPr>
          <w:rFonts w:ascii="Verdana" w:hAnsi="Verdana"/>
          <w:sz w:val="16"/>
          <w:szCs w:val="16"/>
          <w:lang w:val="es-CL"/>
        </w:rPr>
        <w:t xml:space="preserve"> </w:t>
      </w:r>
      <w:r w:rsidRPr="00446489">
        <w:rPr>
          <w:rFonts w:ascii="Verdana" w:hAnsi="Verdana"/>
          <w:sz w:val="16"/>
          <w:szCs w:val="16"/>
          <w:lang w:val="es-CL"/>
        </w:rPr>
        <w:t>1) ¿C</w:t>
      </w:r>
      <w:proofErr w:type="spellStart"/>
      <w:r w:rsidRPr="00446489">
        <w:rPr>
          <w:rFonts w:ascii="Verdana" w:hAnsi="Verdana"/>
          <w:sz w:val="16"/>
          <w:szCs w:val="16"/>
          <w:lang w:val="es-CL"/>
        </w:rPr>
        <w:t>uál</w:t>
      </w:r>
      <w:proofErr w:type="spellEnd"/>
      <w:r w:rsidRPr="00446489">
        <w:rPr>
          <w:rFonts w:ascii="Verdana" w:hAnsi="Verdana"/>
          <w:sz w:val="16"/>
          <w:szCs w:val="16"/>
          <w:lang w:val="es-CL"/>
        </w:rPr>
        <w:t xml:space="preserve"> es el alcance de los derechos a la libertad sindical, la </w:t>
      </w:r>
      <w:proofErr w:type="spellStart"/>
      <w:r w:rsidRPr="00446489">
        <w:rPr>
          <w:rFonts w:ascii="Verdana" w:hAnsi="Verdana"/>
          <w:sz w:val="16"/>
          <w:szCs w:val="16"/>
          <w:lang w:val="es-CL"/>
        </w:rPr>
        <w:t>negociación</w:t>
      </w:r>
      <w:proofErr w:type="spellEnd"/>
      <w:r w:rsidRPr="00446489">
        <w:rPr>
          <w:rFonts w:ascii="Verdana" w:hAnsi="Verdana"/>
          <w:sz w:val="16"/>
          <w:szCs w:val="16"/>
          <w:lang w:val="es-CL"/>
        </w:rPr>
        <w:t xml:space="preserve"> colectiva y la huelga, y </w:t>
      </w:r>
      <w:proofErr w:type="spellStart"/>
      <w:r w:rsidRPr="00446489">
        <w:rPr>
          <w:rFonts w:ascii="Verdana" w:hAnsi="Verdana"/>
          <w:sz w:val="16"/>
          <w:szCs w:val="16"/>
          <w:lang w:val="es-CL"/>
        </w:rPr>
        <w:t>cuál</w:t>
      </w:r>
      <w:proofErr w:type="spellEnd"/>
      <w:r w:rsidRPr="00446489">
        <w:rPr>
          <w:rFonts w:ascii="Verdana" w:hAnsi="Verdana"/>
          <w:sz w:val="16"/>
          <w:szCs w:val="16"/>
          <w:lang w:val="es-CL"/>
        </w:rPr>
        <w:t xml:space="preserve"> es su </w:t>
      </w:r>
      <w:proofErr w:type="spellStart"/>
      <w:r w:rsidRPr="00446489">
        <w:rPr>
          <w:rFonts w:ascii="Verdana" w:hAnsi="Verdana"/>
          <w:sz w:val="16"/>
          <w:szCs w:val="16"/>
          <w:lang w:val="es-CL"/>
        </w:rPr>
        <w:t>relación</w:t>
      </w:r>
      <w:proofErr w:type="spellEnd"/>
      <w:r w:rsidRPr="00446489">
        <w:rPr>
          <w:rFonts w:ascii="Verdana" w:hAnsi="Verdana"/>
          <w:sz w:val="16"/>
          <w:szCs w:val="16"/>
          <w:lang w:val="es-CL"/>
        </w:rPr>
        <w:t xml:space="preserve"> con los derechos a la libertad de </w:t>
      </w:r>
      <w:proofErr w:type="spellStart"/>
      <w:r w:rsidRPr="00446489">
        <w:rPr>
          <w:rFonts w:ascii="Verdana" w:hAnsi="Verdana"/>
          <w:sz w:val="16"/>
          <w:szCs w:val="16"/>
          <w:lang w:val="es-CL"/>
        </w:rPr>
        <w:t>expresión</w:t>
      </w:r>
      <w:proofErr w:type="spellEnd"/>
      <w:r w:rsidRPr="00446489">
        <w:rPr>
          <w:rFonts w:ascii="Verdana" w:hAnsi="Verdana"/>
          <w:sz w:val="16"/>
          <w:szCs w:val="16"/>
          <w:lang w:val="es-CL"/>
        </w:rPr>
        <w:t xml:space="preserve">, la libertad de </w:t>
      </w:r>
      <w:proofErr w:type="spellStart"/>
      <w:r w:rsidRPr="00446489">
        <w:rPr>
          <w:rFonts w:ascii="Verdana" w:hAnsi="Verdana"/>
          <w:sz w:val="16"/>
          <w:szCs w:val="16"/>
          <w:lang w:val="es-CL"/>
        </w:rPr>
        <w:t>asociación</w:t>
      </w:r>
      <w:proofErr w:type="spellEnd"/>
      <w:r w:rsidRPr="00446489">
        <w:rPr>
          <w:rFonts w:ascii="Verdana" w:hAnsi="Verdana"/>
          <w:sz w:val="16"/>
          <w:szCs w:val="16"/>
          <w:lang w:val="es-CL"/>
        </w:rPr>
        <w:t xml:space="preserve">, el derecho de </w:t>
      </w:r>
      <w:proofErr w:type="spellStart"/>
      <w:r w:rsidRPr="00446489">
        <w:rPr>
          <w:rFonts w:ascii="Verdana" w:hAnsi="Verdana"/>
          <w:sz w:val="16"/>
          <w:szCs w:val="16"/>
          <w:lang w:val="es-CL"/>
        </w:rPr>
        <w:t>reunión y el derecho</w:t>
      </w:r>
      <w:proofErr w:type="spellEnd"/>
      <w:r w:rsidRPr="00446489">
        <w:rPr>
          <w:rFonts w:ascii="Verdana" w:hAnsi="Verdana"/>
          <w:sz w:val="16"/>
          <w:szCs w:val="16"/>
          <w:lang w:val="es-CL"/>
        </w:rPr>
        <w:t xml:space="preserve"> al trabajo y a sus condiciones justas, equitativas y satisfactorias?;</w:t>
      </w:r>
      <w:r w:rsidRPr="00446489">
        <w:rPr>
          <w:rFonts w:ascii="Verdana" w:hAnsi="Verdana"/>
          <w:sz w:val="16"/>
          <w:szCs w:val="16"/>
          <w:lang w:val="es-CL"/>
        </w:rPr>
        <w:t xml:space="preserve"> </w:t>
      </w:r>
      <w:r w:rsidRPr="00446489">
        <w:rPr>
          <w:rFonts w:ascii="Verdana" w:hAnsi="Verdana"/>
          <w:sz w:val="16"/>
          <w:szCs w:val="16"/>
          <w:lang w:val="es-CL"/>
        </w:rPr>
        <w:t>2) ¿</w:t>
      </w:r>
      <w:proofErr w:type="spellStart"/>
      <w:r w:rsidRPr="00446489">
        <w:rPr>
          <w:rFonts w:ascii="Verdana" w:hAnsi="Verdana"/>
          <w:sz w:val="16"/>
          <w:szCs w:val="16"/>
          <w:lang w:val="es-CL"/>
        </w:rPr>
        <w:t>Cuál</w:t>
      </w:r>
      <w:proofErr w:type="spellEnd"/>
      <w:r w:rsidRPr="00446489">
        <w:rPr>
          <w:rFonts w:ascii="Verdana" w:hAnsi="Verdana"/>
          <w:sz w:val="16"/>
          <w:szCs w:val="16"/>
          <w:lang w:val="es-CL"/>
        </w:rPr>
        <w:t xml:space="preserve"> es el contenido del derecho de las mujeres de ser libres de toda forma de discriminación y violencia en el ejercicio de sus derechos a la libertad sindical, la </w:t>
      </w:r>
      <w:proofErr w:type="spellStart"/>
      <w:r w:rsidRPr="00446489">
        <w:rPr>
          <w:rFonts w:ascii="Verdana" w:hAnsi="Verdana"/>
          <w:sz w:val="16"/>
          <w:szCs w:val="16"/>
          <w:lang w:val="es-CL"/>
        </w:rPr>
        <w:t xml:space="preserve">negociación </w:t>
      </w:r>
      <w:proofErr w:type="spellEnd"/>
      <w:r w:rsidRPr="00446489">
        <w:rPr>
          <w:rFonts w:ascii="Verdana" w:hAnsi="Verdana"/>
          <w:sz w:val="16"/>
          <w:szCs w:val="16"/>
          <w:lang w:val="es-CL"/>
        </w:rPr>
        <w:t>colectiva y la huelga?;</w:t>
      </w:r>
      <w:r w:rsidRPr="00446489">
        <w:rPr>
          <w:rFonts w:ascii="Verdana" w:hAnsi="Verdana"/>
          <w:sz w:val="16"/>
          <w:szCs w:val="16"/>
          <w:lang w:val="es-CL"/>
        </w:rPr>
        <w:t xml:space="preserve"> </w:t>
      </w:r>
      <w:r w:rsidRPr="00446489">
        <w:rPr>
          <w:rFonts w:ascii="Verdana" w:hAnsi="Verdana"/>
          <w:sz w:val="16"/>
          <w:szCs w:val="16"/>
          <w:lang w:val="es-CL"/>
        </w:rPr>
        <w:t>3) ¿</w:t>
      </w:r>
      <w:proofErr w:type="spellStart"/>
      <w:r w:rsidRPr="00446489">
        <w:rPr>
          <w:rFonts w:ascii="Verdana" w:hAnsi="Verdana"/>
          <w:sz w:val="16"/>
          <w:szCs w:val="16"/>
          <w:lang w:val="es-CL"/>
        </w:rPr>
        <w:t>Cuál</w:t>
      </w:r>
      <w:proofErr w:type="spellEnd"/>
      <w:r w:rsidRPr="00446489">
        <w:rPr>
          <w:rFonts w:ascii="Verdana" w:hAnsi="Verdana"/>
          <w:sz w:val="16"/>
          <w:szCs w:val="16"/>
          <w:lang w:val="es-CL"/>
        </w:rPr>
        <w:t xml:space="preserve"> es el alcance del deber del Estado para proteger la </w:t>
      </w:r>
      <w:proofErr w:type="spellStart"/>
      <w:r w:rsidRPr="00446489">
        <w:rPr>
          <w:rFonts w:ascii="Verdana" w:hAnsi="Verdana"/>
          <w:sz w:val="16"/>
          <w:szCs w:val="16"/>
          <w:lang w:val="es-CL"/>
        </w:rPr>
        <w:t>autonomía</w:t>
      </w:r>
      <w:proofErr w:type="spellEnd"/>
      <w:r w:rsidRPr="00446489">
        <w:rPr>
          <w:rFonts w:ascii="Verdana" w:hAnsi="Verdana"/>
          <w:sz w:val="16"/>
          <w:szCs w:val="16"/>
          <w:lang w:val="es-CL"/>
        </w:rPr>
        <w:t xml:space="preserve"> sindical y garantizar la </w:t>
      </w:r>
      <w:proofErr w:type="spellStart"/>
      <w:r w:rsidRPr="00446489">
        <w:rPr>
          <w:rFonts w:ascii="Verdana" w:hAnsi="Verdana"/>
          <w:sz w:val="16"/>
          <w:szCs w:val="16"/>
          <w:lang w:val="es-CL"/>
        </w:rPr>
        <w:t>participación</w:t>
      </w:r>
      <w:proofErr w:type="spellEnd"/>
      <w:r w:rsidRPr="00446489">
        <w:rPr>
          <w:rFonts w:ascii="Verdana" w:hAnsi="Verdana"/>
          <w:sz w:val="16"/>
          <w:szCs w:val="16"/>
          <w:lang w:val="es-CL"/>
        </w:rPr>
        <w:t xml:space="preserve"> efectiva de las mujeres como integrantes y lideresas sindicales?, y ¿</w:t>
      </w:r>
      <w:proofErr w:type="spellStart"/>
      <w:r w:rsidRPr="00446489">
        <w:rPr>
          <w:rFonts w:ascii="Verdana" w:hAnsi="Verdana"/>
          <w:sz w:val="16"/>
          <w:szCs w:val="16"/>
          <w:lang w:val="es-CL"/>
        </w:rPr>
        <w:t>cuál</w:t>
      </w:r>
      <w:proofErr w:type="spellEnd"/>
      <w:r w:rsidRPr="00446489">
        <w:rPr>
          <w:rFonts w:ascii="Verdana" w:hAnsi="Verdana"/>
          <w:sz w:val="16"/>
          <w:szCs w:val="16"/>
          <w:lang w:val="es-CL"/>
        </w:rPr>
        <w:t xml:space="preserve"> es el alcance de las obligaciones del Estado respecto a garantizar la </w:t>
      </w:r>
      <w:proofErr w:type="spellStart"/>
      <w:r w:rsidRPr="00446489">
        <w:rPr>
          <w:rFonts w:ascii="Verdana" w:hAnsi="Verdana"/>
          <w:sz w:val="16"/>
          <w:szCs w:val="16"/>
          <w:lang w:val="es-CL"/>
        </w:rPr>
        <w:t>participación</w:t>
      </w:r>
      <w:proofErr w:type="spellEnd"/>
      <w:r w:rsidRPr="00446489">
        <w:rPr>
          <w:rFonts w:ascii="Verdana" w:hAnsi="Verdana"/>
          <w:sz w:val="16"/>
          <w:szCs w:val="16"/>
          <w:lang w:val="es-CL"/>
        </w:rPr>
        <w:t xml:space="preserve"> de los sindicatos en el </w:t>
      </w:r>
      <w:proofErr w:type="spellStart"/>
      <w:r w:rsidRPr="00446489">
        <w:rPr>
          <w:rFonts w:ascii="Verdana" w:hAnsi="Verdana"/>
          <w:sz w:val="16"/>
          <w:szCs w:val="16"/>
          <w:lang w:val="es-CL"/>
        </w:rPr>
        <w:t>diseño</w:t>
      </w:r>
      <w:proofErr w:type="spellEnd"/>
      <w:r w:rsidRPr="00446489">
        <w:rPr>
          <w:rFonts w:ascii="Verdana" w:hAnsi="Verdana"/>
          <w:sz w:val="16"/>
          <w:szCs w:val="16"/>
          <w:lang w:val="es-CL"/>
        </w:rPr>
        <w:t xml:space="preserve"> de las normas y </w:t>
      </w:r>
      <w:proofErr w:type="spellStart"/>
      <w:r w:rsidRPr="00446489">
        <w:rPr>
          <w:rFonts w:ascii="Verdana" w:hAnsi="Verdana"/>
          <w:sz w:val="16"/>
          <w:szCs w:val="16"/>
          <w:lang w:val="es-CL"/>
        </w:rPr>
        <w:t>políticas</w:t>
      </w:r>
      <w:proofErr w:type="spellEnd"/>
      <w:r w:rsidRPr="00446489">
        <w:rPr>
          <w:rFonts w:ascii="Verdana" w:hAnsi="Verdana"/>
          <w:sz w:val="16"/>
          <w:szCs w:val="16"/>
          <w:lang w:val="es-CL"/>
        </w:rPr>
        <w:t xml:space="preserve"> </w:t>
      </w:r>
      <w:proofErr w:type="spellStart"/>
      <w:r w:rsidRPr="00446489">
        <w:rPr>
          <w:rFonts w:ascii="Verdana" w:hAnsi="Verdana"/>
          <w:sz w:val="16"/>
          <w:szCs w:val="16"/>
          <w:lang w:val="es-CL"/>
        </w:rPr>
        <w:t>públicas</w:t>
      </w:r>
      <w:proofErr w:type="spellEnd"/>
      <w:r w:rsidRPr="00446489">
        <w:rPr>
          <w:rFonts w:ascii="Verdana" w:hAnsi="Verdana"/>
          <w:sz w:val="16"/>
          <w:szCs w:val="16"/>
          <w:lang w:val="es-CL"/>
        </w:rPr>
        <w:t xml:space="preserve"> relacionadas al trabajo en contextos de cambios en el mercado de trabajo mediante el uso de nuevas </w:t>
      </w:r>
      <w:proofErr w:type="spellStart"/>
      <w:r w:rsidRPr="00446489">
        <w:rPr>
          <w:rFonts w:ascii="Verdana" w:hAnsi="Verdana"/>
          <w:sz w:val="16"/>
          <w:szCs w:val="16"/>
          <w:lang w:val="es-CL"/>
        </w:rPr>
        <w:t>tecnologías</w:t>
      </w:r>
      <w:proofErr w:type="spellEnd"/>
      <w:r w:rsidRPr="00446489">
        <w:rPr>
          <w:rFonts w:ascii="Verdana" w:hAnsi="Verdana"/>
          <w:sz w:val="16"/>
          <w:szCs w:val="16"/>
          <w:lang w:val="es-CL"/>
        </w:rPr>
        <w:t>?</w:t>
      </w:r>
    </w:p>
  </w:footnote>
  <w:footnote w:id="29">
    <w:p w14:paraId="4F7C974E" w14:textId="6AE0702A" w:rsidR="00EF57C8" w:rsidRPr="00EA462A" w:rsidRDefault="00EF57C8" w:rsidP="00EA462A">
      <w:pPr>
        <w:spacing w:line="240" w:lineRule="auto"/>
        <w:jc w:val="both"/>
        <w:rPr>
          <w:rFonts w:ascii="Verdana" w:eastAsia="Times New Roman" w:hAnsi="Verdana" w:cs="Times New Roman"/>
          <w:sz w:val="16"/>
          <w:szCs w:val="16"/>
          <w:lang w:eastAsia="es-ES"/>
        </w:rPr>
      </w:pPr>
      <w:r w:rsidRPr="00EA462A">
        <w:rPr>
          <w:rStyle w:val="Refdenotaalpie"/>
          <w:rFonts w:ascii="Verdana" w:hAnsi="Verdana"/>
          <w:sz w:val="16"/>
          <w:szCs w:val="16"/>
        </w:rPr>
        <w:footnoteRef/>
      </w:r>
      <w:r w:rsidRPr="00EA462A">
        <w:rPr>
          <w:rFonts w:ascii="Verdana" w:hAnsi="Verdana"/>
          <w:sz w:val="16"/>
          <w:szCs w:val="16"/>
        </w:rPr>
        <w:t xml:space="preserve"> </w:t>
      </w:r>
      <w:r w:rsidR="00A87244" w:rsidRPr="00A87244">
        <w:rPr>
          <w:rFonts w:ascii="Verdana" w:eastAsia="Times New Roman" w:hAnsi="Verdana" w:cs="Times New Roman"/>
          <w:sz w:val="16"/>
          <w:szCs w:val="16"/>
          <w:lang w:eastAsia="es-ES"/>
        </w:rPr>
        <w:t>El caso se refiere a la responsabilidad internacional del Estado por las restricciones a la libertad de expresión en perjuicio de 20 trabajadores del canal de televisión RCTV en el marco de sus labores periodísticas, así como la afectación a su integridad personal.</w:t>
      </w:r>
      <w:r w:rsidR="00A87244">
        <w:rPr>
          <w:rFonts w:ascii="Verdana" w:eastAsia="Times New Roman" w:hAnsi="Verdana" w:cs="Times New Roman"/>
          <w:sz w:val="16"/>
          <w:szCs w:val="16"/>
          <w:lang w:eastAsia="es-ES"/>
        </w:rPr>
        <w:t xml:space="preserve"> Derechos violados: </w:t>
      </w:r>
      <w:r w:rsidR="00A87244" w:rsidRPr="00A87244">
        <w:rPr>
          <w:rFonts w:ascii="Verdana" w:eastAsia="Times New Roman" w:hAnsi="Verdana" w:cs="Times New Roman"/>
          <w:sz w:val="16"/>
          <w:szCs w:val="16"/>
          <w:lang w:eastAsia="es-ES"/>
        </w:rPr>
        <w:t>Artículo 1 (Obligación de respetar los derechos), Artículo 13 (Libertad de pensamiento y expresión), Artículo 24 (Igualdad ante la ley), Artículo 25 (Protección Judicial), Artículo 5 (Derecho a la Integridad Personal), Artículo 8 (Garantías Judiciales)</w:t>
      </w:r>
      <w:r w:rsidRPr="00EA462A">
        <w:rPr>
          <w:rFonts w:ascii="Verdana" w:eastAsia="Times New Roman" w:hAnsi="Verdana" w:cs="Times New Roman"/>
          <w:sz w:val="16"/>
          <w:szCs w:val="16"/>
          <w:lang w:eastAsia="es-ES"/>
        </w:rPr>
        <w:t>.</w:t>
      </w:r>
    </w:p>
  </w:footnote>
  <w:footnote w:id="30">
    <w:p w14:paraId="31219DEB" w14:textId="1A00A19A" w:rsidR="00EF57C8" w:rsidRPr="00EA462A" w:rsidRDefault="00EF57C8" w:rsidP="00EA462A">
      <w:pPr>
        <w:pStyle w:val="Textonotapie"/>
        <w:spacing w:line="240" w:lineRule="auto"/>
        <w:jc w:val="both"/>
        <w:rPr>
          <w:rFonts w:ascii="Verdana" w:hAnsi="Verdana"/>
          <w:sz w:val="16"/>
          <w:szCs w:val="16"/>
          <w:lang w:val="es-ES_tradnl"/>
        </w:rPr>
      </w:pPr>
      <w:r w:rsidRPr="00EA462A">
        <w:rPr>
          <w:rStyle w:val="Refdenotaalpie"/>
          <w:rFonts w:ascii="Verdana" w:hAnsi="Verdana"/>
          <w:sz w:val="16"/>
          <w:szCs w:val="16"/>
        </w:rPr>
        <w:footnoteRef/>
      </w:r>
      <w:r w:rsidRPr="00EA462A">
        <w:rPr>
          <w:rFonts w:ascii="Verdana" w:hAnsi="Verdana"/>
          <w:sz w:val="16"/>
          <w:szCs w:val="16"/>
          <w:lang w:val="es-ES_tradnl"/>
        </w:rPr>
        <w:t xml:space="preserve"> </w:t>
      </w:r>
      <w:r w:rsidR="00A87244" w:rsidRPr="00A87244">
        <w:rPr>
          <w:rFonts w:ascii="Verdana" w:hAnsi="Verdana"/>
          <w:sz w:val="16"/>
          <w:szCs w:val="16"/>
          <w:lang w:val="es-ES_tradnl"/>
        </w:rPr>
        <w:t>El caso se refiere a la responsabilidad internacional del Estado por la ejecución extrajudi</w:t>
      </w:r>
      <w:r w:rsidR="00A87244">
        <w:rPr>
          <w:rFonts w:ascii="Verdana" w:hAnsi="Verdana"/>
          <w:sz w:val="16"/>
          <w:szCs w:val="16"/>
          <w:lang w:val="es-ES_tradnl"/>
        </w:rPr>
        <w:t>ci</w:t>
      </w:r>
      <w:r w:rsidR="00A87244" w:rsidRPr="00A87244">
        <w:rPr>
          <w:rFonts w:ascii="Verdana" w:hAnsi="Verdana"/>
          <w:sz w:val="16"/>
          <w:szCs w:val="16"/>
          <w:lang w:val="es-ES_tradnl"/>
        </w:rPr>
        <w:t>al de Manuel Cepeda Vargas, así como por la falta de investigación y sanción de los responsables.</w:t>
      </w:r>
      <w:r w:rsidR="00A87244">
        <w:rPr>
          <w:rFonts w:ascii="Verdana" w:hAnsi="Verdana"/>
          <w:sz w:val="16"/>
          <w:szCs w:val="16"/>
          <w:lang w:val="es-ES_tradnl"/>
        </w:rPr>
        <w:t xml:space="preserve"> Derechos violados: </w:t>
      </w:r>
      <w:r w:rsidR="00A87244" w:rsidRPr="00A87244">
        <w:rPr>
          <w:rFonts w:ascii="Verdana" w:hAnsi="Verdana"/>
          <w:sz w:val="16"/>
          <w:szCs w:val="16"/>
          <w:lang w:val="es-ES_tradnl"/>
        </w:rPr>
        <w:t>Artículo 1 (Obligación de respetar los derechos.)</w:t>
      </w:r>
      <w:r w:rsidR="00215583">
        <w:rPr>
          <w:rFonts w:ascii="Verdana" w:hAnsi="Verdana"/>
          <w:sz w:val="16"/>
          <w:szCs w:val="16"/>
          <w:lang w:val="es-ES_tradnl"/>
        </w:rPr>
        <w:t>,</w:t>
      </w:r>
      <w:r w:rsidR="00A87244" w:rsidRPr="00A87244">
        <w:rPr>
          <w:rFonts w:ascii="Verdana" w:hAnsi="Verdana"/>
          <w:sz w:val="16"/>
          <w:szCs w:val="16"/>
          <w:lang w:val="es-ES_tradnl"/>
        </w:rPr>
        <w:t xml:space="preserve"> Artículo 11 (Derecho a la honra y dignidad)</w:t>
      </w:r>
      <w:r w:rsidR="00215583">
        <w:rPr>
          <w:rFonts w:ascii="Verdana" w:hAnsi="Verdana"/>
          <w:sz w:val="16"/>
          <w:szCs w:val="16"/>
          <w:lang w:val="es-ES_tradnl"/>
        </w:rPr>
        <w:t>,</w:t>
      </w:r>
      <w:r w:rsidR="00A87244" w:rsidRPr="00A87244">
        <w:rPr>
          <w:rFonts w:ascii="Verdana" w:hAnsi="Verdana"/>
          <w:sz w:val="16"/>
          <w:szCs w:val="16"/>
          <w:lang w:val="es-ES_tradnl"/>
        </w:rPr>
        <w:t xml:space="preserve"> Artículo 13 (Libertad de pensamiento y expresión)</w:t>
      </w:r>
      <w:r w:rsidR="00215583">
        <w:rPr>
          <w:rFonts w:ascii="Verdana" w:hAnsi="Verdana"/>
          <w:sz w:val="16"/>
          <w:szCs w:val="16"/>
          <w:lang w:val="es-ES_tradnl"/>
        </w:rPr>
        <w:t>,</w:t>
      </w:r>
      <w:r w:rsidR="00A87244" w:rsidRPr="00A87244">
        <w:rPr>
          <w:rFonts w:ascii="Verdana" w:hAnsi="Verdana"/>
          <w:sz w:val="16"/>
          <w:szCs w:val="16"/>
          <w:lang w:val="es-ES_tradnl"/>
        </w:rPr>
        <w:t xml:space="preserve"> Artículo 16 (Derecho a la Libertad de Asociación), Artículo 22 ( Derecho de circulación y de residencia), Artículo 23 (Derechos políticos</w:t>
      </w:r>
      <w:r w:rsidR="00A87244">
        <w:rPr>
          <w:rFonts w:ascii="Verdana" w:hAnsi="Verdana"/>
          <w:sz w:val="16"/>
          <w:szCs w:val="16"/>
          <w:lang w:val="es-ES_tradnl"/>
        </w:rPr>
        <w:t>)</w:t>
      </w:r>
      <w:r w:rsidR="00A87244" w:rsidRPr="00A87244">
        <w:rPr>
          <w:rFonts w:ascii="Verdana" w:hAnsi="Verdana"/>
          <w:sz w:val="16"/>
          <w:szCs w:val="16"/>
          <w:lang w:val="es-ES_tradnl"/>
        </w:rPr>
        <w:t>, Artículo 25 (Protección Judicial), Artículo 4 (Derecho a la vida), Artículo 5 (Derecho a la Integridad Personal), Artículo 8 (Garantías Judiciales)</w:t>
      </w:r>
      <w:r w:rsidRPr="00EA462A">
        <w:rPr>
          <w:rFonts w:ascii="Verdana" w:hAnsi="Verdana"/>
          <w:sz w:val="16"/>
          <w:szCs w:val="16"/>
          <w:lang w:val="es-ES_tradnl"/>
        </w:rPr>
        <w:t>.</w:t>
      </w:r>
    </w:p>
  </w:footnote>
  <w:footnote w:id="31">
    <w:p w14:paraId="6F7FF757" w14:textId="43D4ABD0" w:rsidR="00EF57C8" w:rsidRPr="00EA462A" w:rsidRDefault="00EF57C8" w:rsidP="00EA462A">
      <w:pPr>
        <w:pStyle w:val="Textonotapie"/>
        <w:spacing w:line="240" w:lineRule="auto"/>
        <w:jc w:val="both"/>
        <w:rPr>
          <w:rFonts w:ascii="Verdana" w:hAnsi="Verdana"/>
          <w:sz w:val="16"/>
          <w:szCs w:val="16"/>
          <w:lang w:val="es-ES_tradnl"/>
        </w:rPr>
      </w:pPr>
      <w:r w:rsidRPr="00EA462A">
        <w:rPr>
          <w:rStyle w:val="Refdenotaalpie"/>
          <w:rFonts w:ascii="Verdana" w:hAnsi="Verdana"/>
          <w:sz w:val="16"/>
          <w:szCs w:val="16"/>
        </w:rPr>
        <w:footnoteRef/>
      </w:r>
      <w:r w:rsidRPr="00EA462A">
        <w:rPr>
          <w:rFonts w:ascii="Verdana" w:hAnsi="Verdana"/>
          <w:sz w:val="16"/>
          <w:szCs w:val="16"/>
          <w:lang w:val="es-ES_tradnl"/>
        </w:rPr>
        <w:t xml:space="preserve"> </w:t>
      </w:r>
      <w:r w:rsidR="00794341" w:rsidRPr="00794341">
        <w:rPr>
          <w:rFonts w:ascii="Verdana" w:hAnsi="Verdana"/>
          <w:sz w:val="16"/>
          <w:szCs w:val="16"/>
          <w:lang w:val="es-ES_tradnl"/>
        </w:rPr>
        <w:t xml:space="preserve">El caso se refiere a la responsabilidad internacional del Estado por la ejecución extrajudicial de Néstor José </w:t>
      </w:r>
      <w:proofErr w:type="spellStart"/>
      <w:r w:rsidR="00794341" w:rsidRPr="00794341">
        <w:rPr>
          <w:rFonts w:ascii="Verdana" w:hAnsi="Verdana"/>
          <w:sz w:val="16"/>
          <w:szCs w:val="16"/>
          <w:lang w:val="es-ES_tradnl"/>
        </w:rPr>
        <w:t>Uzcátegui</w:t>
      </w:r>
      <w:proofErr w:type="spellEnd"/>
      <w:r w:rsidR="00794341" w:rsidRPr="00794341">
        <w:rPr>
          <w:rFonts w:ascii="Verdana" w:hAnsi="Verdana"/>
          <w:sz w:val="16"/>
          <w:szCs w:val="16"/>
          <w:lang w:val="es-ES_tradnl"/>
        </w:rPr>
        <w:t xml:space="preserve"> así como las afectaciones a la integridad de sus familiares.</w:t>
      </w:r>
      <w:r w:rsidR="00794341">
        <w:rPr>
          <w:rFonts w:ascii="Verdana" w:hAnsi="Verdana"/>
          <w:sz w:val="16"/>
          <w:szCs w:val="16"/>
          <w:lang w:val="es-ES_tradnl"/>
        </w:rPr>
        <w:t xml:space="preserve"> Derechos violados: </w:t>
      </w:r>
      <w:r w:rsidR="00794341" w:rsidRPr="00794341">
        <w:rPr>
          <w:rFonts w:ascii="Verdana" w:hAnsi="Verdana"/>
          <w:sz w:val="16"/>
          <w:szCs w:val="16"/>
          <w:lang w:val="es-ES_tradnl"/>
        </w:rPr>
        <w:t>Artículo 1 (Obligación de respetar los derechos), Artículo 11 (Derecho a la honra y dignidad), Artículo 13 (Libertad de pensamiento y expresión), Artículo 2 (Deber de adoptar disposiciones de derecho interno), Artículo 25 (Protección Judicial), Artículo 4 (Derecho a la vida), Artículo 5 (Derecho a la Integridad Personal), Artículo 6 (Prohibición de la esclavitud y servidumbre), Artículo 7 (Derecho a la libertad personal), Artículo 8 (Garantías Judiciales), Artículo 9 (Principio de legalidad y de retroactividad)</w:t>
      </w:r>
      <w:r w:rsidRPr="00EA462A">
        <w:rPr>
          <w:rFonts w:ascii="Verdana" w:hAnsi="Verdana"/>
          <w:sz w:val="16"/>
          <w:szCs w:val="16"/>
          <w:lang w:val="es-ES_tradnl"/>
        </w:rPr>
        <w:t>.</w:t>
      </w:r>
    </w:p>
  </w:footnote>
  <w:footnote w:id="32">
    <w:p w14:paraId="7581A986" w14:textId="49EE9D75" w:rsidR="00311AF8" w:rsidRPr="00311AF8" w:rsidRDefault="00311AF8" w:rsidP="00311AF8">
      <w:pPr>
        <w:pStyle w:val="Textonotapie"/>
        <w:spacing w:line="240" w:lineRule="auto"/>
        <w:jc w:val="both"/>
        <w:rPr>
          <w:rFonts w:ascii="Verdana" w:hAnsi="Verdana"/>
          <w:sz w:val="16"/>
          <w:szCs w:val="16"/>
          <w:lang w:val="es-ES"/>
        </w:rPr>
      </w:pPr>
      <w:r w:rsidRPr="00311AF8">
        <w:rPr>
          <w:rStyle w:val="Refdenotaalpie"/>
          <w:rFonts w:ascii="Verdana" w:hAnsi="Verdana"/>
          <w:sz w:val="16"/>
          <w:szCs w:val="16"/>
        </w:rPr>
        <w:footnoteRef/>
      </w:r>
      <w:r w:rsidRPr="00311AF8">
        <w:rPr>
          <w:rFonts w:ascii="Verdana" w:hAnsi="Verdana"/>
          <w:sz w:val="16"/>
          <w:szCs w:val="16"/>
          <w:lang w:val="es-CL"/>
        </w:rPr>
        <w:t xml:space="preserve"> </w:t>
      </w:r>
      <w:r w:rsidRPr="00311AF8">
        <w:rPr>
          <w:rFonts w:ascii="Verdana" w:hAnsi="Verdana"/>
          <w:sz w:val="16"/>
          <w:szCs w:val="16"/>
          <w:lang w:val="es-CL"/>
        </w:rPr>
        <w:t xml:space="preserve">El 26 de agosto de 2021 la Corte Interamericana de Derechos Humanos dictó una Sentencia mediante la cual declaró la responsabilidad internacional del Estado de Colombia por la </w:t>
      </w:r>
      <w:proofErr w:type="spellStart"/>
      <w:r w:rsidRPr="00311AF8">
        <w:rPr>
          <w:rFonts w:ascii="Verdana" w:hAnsi="Verdana"/>
          <w:sz w:val="16"/>
          <w:szCs w:val="16"/>
          <w:lang w:val="es-CL"/>
        </w:rPr>
        <w:t>violación</w:t>
      </w:r>
      <w:proofErr w:type="spellEnd"/>
      <w:r w:rsidRPr="00311AF8">
        <w:rPr>
          <w:rFonts w:ascii="Verdana" w:hAnsi="Verdana"/>
          <w:sz w:val="16"/>
          <w:szCs w:val="16"/>
          <w:lang w:val="es-CL"/>
        </w:rPr>
        <w:t xml:space="preserve"> de los derechos a la integridad personal, libertad personal, honra y dignidad y libertad de pensamiento y </w:t>
      </w:r>
      <w:proofErr w:type="spellStart"/>
      <w:r w:rsidRPr="00311AF8">
        <w:rPr>
          <w:rFonts w:ascii="Verdana" w:hAnsi="Verdana"/>
          <w:sz w:val="16"/>
          <w:szCs w:val="16"/>
          <w:lang w:val="es-CL"/>
        </w:rPr>
        <w:t>expresión</w:t>
      </w:r>
      <w:proofErr w:type="spellEnd"/>
      <w:r w:rsidRPr="00311AF8">
        <w:rPr>
          <w:rFonts w:ascii="Verdana" w:hAnsi="Verdana"/>
          <w:sz w:val="16"/>
          <w:szCs w:val="16"/>
          <w:lang w:val="es-CL"/>
        </w:rPr>
        <w:t xml:space="preserve"> en perjuicio de la periodista </w:t>
      </w:r>
      <w:proofErr w:type="spellStart"/>
      <w:r w:rsidRPr="00311AF8">
        <w:rPr>
          <w:rFonts w:ascii="Verdana" w:hAnsi="Verdana"/>
          <w:sz w:val="16"/>
          <w:szCs w:val="16"/>
          <w:lang w:val="es-CL"/>
        </w:rPr>
        <w:t>Jineth</w:t>
      </w:r>
      <w:proofErr w:type="spellEnd"/>
      <w:r w:rsidRPr="00311AF8">
        <w:rPr>
          <w:rFonts w:ascii="Verdana" w:hAnsi="Verdana"/>
          <w:sz w:val="16"/>
          <w:szCs w:val="16"/>
          <w:lang w:val="es-CL"/>
        </w:rPr>
        <w:t xml:space="preserve"> Bedoya Lima, como resultado de los hechos ocurridos el 25 de mayo de 2000, cuando la </w:t>
      </w:r>
      <w:proofErr w:type="spellStart"/>
      <w:r w:rsidRPr="00311AF8">
        <w:rPr>
          <w:rFonts w:ascii="Verdana" w:hAnsi="Verdana"/>
          <w:sz w:val="16"/>
          <w:szCs w:val="16"/>
          <w:lang w:val="es-CL"/>
        </w:rPr>
        <w:t>señora</w:t>
      </w:r>
      <w:proofErr w:type="spellEnd"/>
      <w:r w:rsidRPr="00311AF8">
        <w:rPr>
          <w:rFonts w:ascii="Verdana" w:hAnsi="Verdana"/>
          <w:sz w:val="16"/>
          <w:szCs w:val="16"/>
          <w:lang w:val="es-CL"/>
        </w:rPr>
        <w:t xml:space="preserve"> Bedoya fue interceptada y secuestrada a las puertas de la </w:t>
      </w:r>
      <w:proofErr w:type="spellStart"/>
      <w:r w:rsidRPr="00311AF8">
        <w:rPr>
          <w:rFonts w:ascii="Verdana" w:hAnsi="Verdana"/>
          <w:sz w:val="16"/>
          <w:szCs w:val="16"/>
          <w:lang w:val="es-CL"/>
        </w:rPr>
        <w:t>Cárcel</w:t>
      </w:r>
      <w:proofErr w:type="spellEnd"/>
      <w:r w:rsidRPr="00311AF8">
        <w:rPr>
          <w:rFonts w:ascii="Verdana" w:hAnsi="Verdana"/>
          <w:sz w:val="16"/>
          <w:szCs w:val="16"/>
          <w:lang w:val="es-CL"/>
        </w:rPr>
        <w:t xml:space="preserve"> La Modelo por paramilitares y sometida durante las aproximadamente 10 horas que duró dicho secuestro a un trato vejatorio y extremadamente violento, durante el cual </w:t>
      </w:r>
      <w:proofErr w:type="spellStart"/>
      <w:r w:rsidRPr="00311AF8">
        <w:rPr>
          <w:rFonts w:ascii="Verdana" w:hAnsi="Verdana"/>
          <w:sz w:val="16"/>
          <w:szCs w:val="16"/>
          <w:lang w:val="es-CL"/>
        </w:rPr>
        <w:t>sufrio</w:t>
      </w:r>
      <w:proofErr w:type="spellEnd"/>
      <w:r w:rsidRPr="00311AF8">
        <w:rPr>
          <w:rFonts w:ascii="Verdana" w:hAnsi="Verdana"/>
          <w:sz w:val="16"/>
          <w:szCs w:val="16"/>
          <w:lang w:val="es-CL"/>
        </w:rPr>
        <w:t xml:space="preserve">́ graves agresiones verbales y </w:t>
      </w:r>
      <w:proofErr w:type="spellStart"/>
      <w:r w:rsidRPr="00311AF8">
        <w:rPr>
          <w:rFonts w:ascii="Verdana" w:hAnsi="Verdana"/>
          <w:sz w:val="16"/>
          <w:szCs w:val="16"/>
          <w:lang w:val="es-CL"/>
        </w:rPr>
        <w:t>físicas</w:t>
      </w:r>
      <w:proofErr w:type="spellEnd"/>
      <w:r w:rsidRPr="00311AF8">
        <w:rPr>
          <w:rFonts w:ascii="Verdana" w:hAnsi="Verdana"/>
          <w:sz w:val="16"/>
          <w:szCs w:val="16"/>
          <w:lang w:val="es-CL"/>
        </w:rPr>
        <w:t xml:space="preserve">, dentro de las que se incluye una </w:t>
      </w:r>
      <w:proofErr w:type="spellStart"/>
      <w:r w:rsidRPr="00311AF8">
        <w:rPr>
          <w:rFonts w:ascii="Verdana" w:hAnsi="Verdana"/>
          <w:sz w:val="16"/>
          <w:szCs w:val="16"/>
          <w:lang w:val="es-CL"/>
        </w:rPr>
        <w:t>violación</w:t>
      </w:r>
      <w:proofErr w:type="spellEnd"/>
      <w:r w:rsidRPr="00311AF8">
        <w:rPr>
          <w:rFonts w:ascii="Verdana" w:hAnsi="Verdana"/>
          <w:sz w:val="16"/>
          <w:szCs w:val="16"/>
          <w:lang w:val="es-CL"/>
        </w:rPr>
        <w:t xml:space="preserve"> sexual por parte de varios de los secuestradores. Asimismo, se declaró la responsabilidad internacional del Estado por la </w:t>
      </w:r>
      <w:proofErr w:type="spellStart"/>
      <w:r w:rsidRPr="00311AF8">
        <w:rPr>
          <w:rFonts w:ascii="Verdana" w:hAnsi="Verdana"/>
          <w:sz w:val="16"/>
          <w:szCs w:val="16"/>
          <w:lang w:val="es-CL"/>
        </w:rPr>
        <w:t>violación</w:t>
      </w:r>
      <w:proofErr w:type="spellEnd"/>
      <w:r w:rsidRPr="00311AF8">
        <w:rPr>
          <w:rFonts w:ascii="Verdana" w:hAnsi="Verdana"/>
          <w:sz w:val="16"/>
          <w:szCs w:val="16"/>
          <w:lang w:val="es-CL"/>
        </w:rPr>
        <w:t xml:space="preserve"> de los derechos a las </w:t>
      </w:r>
      <w:proofErr w:type="spellStart"/>
      <w:r w:rsidRPr="00311AF8">
        <w:rPr>
          <w:rFonts w:ascii="Verdana" w:hAnsi="Verdana"/>
          <w:sz w:val="16"/>
          <w:szCs w:val="16"/>
          <w:lang w:val="es-CL"/>
        </w:rPr>
        <w:t>garantías</w:t>
      </w:r>
      <w:proofErr w:type="spellEnd"/>
      <w:r w:rsidRPr="00311AF8">
        <w:rPr>
          <w:rFonts w:ascii="Verdana" w:hAnsi="Verdana"/>
          <w:sz w:val="16"/>
          <w:szCs w:val="16"/>
          <w:lang w:val="es-CL"/>
        </w:rPr>
        <w:t xml:space="preserve"> judiciales, protección judicial e igualdad ante la ley por la falta de debida diligencia en las investigaciones realizadas sobre dichos hechos, el </w:t>
      </w:r>
      <w:proofErr w:type="spellStart"/>
      <w:r w:rsidRPr="00311AF8">
        <w:rPr>
          <w:rFonts w:ascii="Verdana" w:hAnsi="Verdana"/>
          <w:sz w:val="16"/>
          <w:szCs w:val="16"/>
          <w:lang w:val="es-CL"/>
        </w:rPr>
        <w:t>carácter</w:t>
      </w:r>
      <w:proofErr w:type="spellEnd"/>
      <w:r w:rsidRPr="00311AF8">
        <w:rPr>
          <w:rFonts w:ascii="Verdana" w:hAnsi="Verdana"/>
          <w:sz w:val="16"/>
          <w:szCs w:val="16"/>
          <w:lang w:val="es-CL"/>
        </w:rPr>
        <w:t xml:space="preserve"> discriminatorio en </w:t>
      </w:r>
      <w:proofErr w:type="spellStart"/>
      <w:r w:rsidRPr="00311AF8">
        <w:rPr>
          <w:rFonts w:ascii="Verdana" w:hAnsi="Verdana"/>
          <w:sz w:val="16"/>
          <w:szCs w:val="16"/>
          <w:lang w:val="es-CL"/>
        </w:rPr>
        <w:t>razón</w:t>
      </w:r>
      <w:proofErr w:type="spellEnd"/>
      <w:r w:rsidRPr="00311AF8">
        <w:rPr>
          <w:rFonts w:ascii="Verdana" w:hAnsi="Verdana"/>
          <w:sz w:val="16"/>
          <w:szCs w:val="16"/>
          <w:lang w:val="es-CL"/>
        </w:rPr>
        <w:t xml:space="preserve"> de </w:t>
      </w:r>
      <w:proofErr w:type="spellStart"/>
      <w:r w:rsidRPr="00311AF8">
        <w:rPr>
          <w:rFonts w:ascii="Verdana" w:hAnsi="Verdana"/>
          <w:sz w:val="16"/>
          <w:szCs w:val="16"/>
          <w:lang w:val="es-CL"/>
        </w:rPr>
        <w:t>género</w:t>
      </w:r>
      <w:proofErr w:type="spellEnd"/>
      <w:r w:rsidRPr="00311AF8">
        <w:rPr>
          <w:rFonts w:ascii="Verdana" w:hAnsi="Verdana"/>
          <w:sz w:val="16"/>
          <w:szCs w:val="16"/>
          <w:lang w:val="es-CL"/>
        </w:rPr>
        <w:t xml:space="preserve"> de dichas investigaciones y la </w:t>
      </w:r>
      <w:proofErr w:type="spellStart"/>
      <w:r w:rsidRPr="00311AF8">
        <w:rPr>
          <w:rFonts w:ascii="Verdana" w:hAnsi="Verdana"/>
          <w:sz w:val="16"/>
          <w:szCs w:val="16"/>
          <w:lang w:val="es-CL"/>
        </w:rPr>
        <w:t>violación</w:t>
      </w:r>
      <w:proofErr w:type="spellEnd"/>
      <w:r w:rsidRPr="00311AF8">
        <w:rPr>
          <w:rFonts w:ascii="Verdana" w:hAnsi="Verdana"/>
          <w:sz w:val="16"/>
          <w:szCs w:val="16"/>
          <w:lang w:val="es-CL"/>
        </w:rPr>
        <w:t xml:space="preserve"> del plazo razonable. Por otro lado, el Tribunal declaró la responsabilidad internacional del Estado por la </w:t>
      </w:r>
      <w:proofErr w:type="spellStart"/>
      <w:r w:rsidRPr="00311AF8">
        <w:rPr>
          <w:rFonts w:ascii="Verdana" w:hAnsi="Verdana"/>
          <w:sz w:val="16"/>
          <w:szCs w:val="16"/>
          <w:lang w:val="es-CL"/>
        </w:rPr>
        <w:t>violación</w:t>
      </w:r>
      <w:proofErr w:type="spellEnd"/>
      <w:r w:rsidRPr="00311AF8">
        <w:rPr>
          <w:rFonts w:ascii="Verdana" w:hAnsi="Verdana"/>
          <w:sz w:val="16"/>
          <w:szCs w:val="16"/>
          <w:lang w:val="es-CL"/>
        </w:rPr>
        <w:t xml:space="preserve"> de los derechos a la integridad personal, honra y dignidad, libertad de pensamiento y </w:t>
      </w:r>
      <w:proofErr w:type="spellStart"/>
      <w:r w:rsidRPr="00311AF8">
        <w:rPr>
          <w:rFonts w:ascii="Verdana" w:hAnsi="Verdana"/>
          <w:sz w:val="16"/>
          <w:szCs w:val="16"/>
          <w:lang w:val="es-CL"/>
        </w:rPr>
        <w:t>expresión</w:t>
      </w:r>
      <w:proofErr w:type="spellEnd"/>
      <w:r w:rsidRPr="00311AF8">
        <w:rPr>
          <w:rFonts w:ascii="Verdana" w:hAnsi="Verdana"/>
          <w:sz w:val="16"/>
          <w:szCs w:val="16"/>
          <w:lang w:val="es-CL"/>
        </w:rPr>
        <w:t xml:space="preserve"> y </w:t>
      </w:r>
      <w:proofErr w:type="spellStart"/>
      <w:r w:rsidRPr="00311AF8">
        <w:rPr>
          <w:rFonts w:ascii="Verdana" w:hAnsi="Verdana"/>
          <w:sz w:val="16"/>
          <w:szCs w:val="16"/>
          <w:lang w:val="es-CL"/>
        </w:rPr>
        <w:t>garantías</w:t>
      </w:r>
      <w:proofErr w:type="spellEnd"/>
      <w:r w:rsidRPr="00311AF8">
        <w:rPr>
          <w:rFonts w:ascii="Verdana" w:hAnsi="Verdana"/>
          <w:sz w:val="16"/>
          <w:szCs w:val="16"/>
          <w:lang w:val="es-CL"/>
        </w:rPr>
        <w:t xml:space="preserve"> judiciales en perjuicio de la periodista por la ausencia de investigaciones sobre las amenazas que </w:t>
      </w:r>
      <w:proofErr w:type="spellStart"/>
      <w:r w:rsidRPr="00311AF8">
        <w:rPr>
          <w:rFonts w:ascii="Verdana" w:hAnsi="Verdana"/>
          <w:sz w:val="16"/>
          <w:szCs w:val="16"/>
          <w:lang w:val="es-CL"/>
        </w:rPr>
        <w:t>recibio</w:t>
      </w:r>
      <w:proofErr w:type="spellEnd"/>
      <w:r w:rsidRPr="00311AF8">
        <w:rPr>
          <w:rFonts w:ascii="Verdana" w:hAnsi="Verdana"/>
          <w:sz w:val="16"/>
          <w:szCs w:val="16"/>
          <w:lang w:val="es-CL"/>
        </w:rPr>
        <w:t xml:space="preserve">́ con </w:t>
      </w:r>
      <w:proofErr w:type="spellStart"/>
      <w:r w:rsidRPr="00311AF8">
        <w:rPr>
          <w:rFonts w:ascii="Verdana" w:hAnsi="Verdana"/>
          <w:sz w:val="16"/>
          <w:szCs w:val="16"/>
          <w:lang w:val="es-CL"/>
        </w:rPr>
        <w:t>carácter</w:t>
      </w:r>
      <w:proofErr w:type="spellEnd"/>
      <w:r w:rsidRPr="00311AF8">
        <w:rPr>
          <w:rFonts w:ascii="Verdana" w:hAnsi="Verdana"/>
          <w:sz w:val="16"/>
          <w:szCs w:val="16"/>
          <w:lang w:val="es-CL"/>
        </w:rPr>
        <w:t xml:space="preserve"> previo y de manera posterior a los referidos hechos de 25 de mayo de 2000. Finalmente, la Corte declaró la </w:t>
      </w:r>
      <w:proofErr w:type="spellStart"/>
      <w:r w:rsidRPr="00311AF8">
        <w:rPr>
          <w:rFonts w:ascii="Verdana" w:hAnsi="Verdana"/>
          <w:sz w:val="16"/>
          <w:szCs w:val="16"/>
          <w:lang w:val="es-CL"/>
        </w:rPr>
        <w:t>violación</w:t>
      </w:r>
      <w:proofErr w:type="spellEnd"/>
      <w:r w:rsidRPr="00311AF8">
        <w:rPr>
          <w:rFonts w:ascii="Verdana" w:hAnsi="Verdana"/>
          <w:sz w:val="16"/>
          <w:szCs w:val="16"/>
          <w:lang w:val="es-CL"/>
        </w:rPr>
        <w:t xml:space="preserve"> de los derechos a la integridad personal, honra y dignidad, </w:t>
      </w:r>
      <w:proofErr w:type="spellStart"/>
      <w:r w:rsidRPr="00311AF8">
        <w:rPr>
          <w:rFonts w:ascii="Verdana" w:hAnsi="Verdana"/>
          <w:sz w:val="16"/>
          <w:szCs w:val="16"/>
          <w:lang w:val="es-CL"/>
        </w:rPr>
        <w:t>garantías</w:t>
      </w:r>
      <w:proofErr w:type="spellEnd"/>
      <w:r w:rsidRPr="00311AF8">
        <w:rPr>
          <w:rFonts w:ascii="Verdana" w:hAnsi="Verdana"/>
          <w:sz w:val="16"/>
          <w:szCs w:val="16"/>
          <w:lang w:val="es-CL"/>
        </w:rPr>
        <w:t xml:space="preserve"> judiciales y protección judicial en perjuicio de la madre de la </w:t>
      </w:r>
      <w:proofErr w:type="spellStart"/>
      <w:r w:rsidRPr="00311AF8">
        <w:rPr>
          <w:rFonts w:ascii="Verdana" w:hAnsi="Verdana"/>
          <w:sz w:val="16"/>
          <w:szCs w:val="16"/>
          <w:lang w:val="es-CL"/>
        </w:rPr>
        <w:t>señora</w:t>
      </w:r>
      <w:proofErr w:type="spellEnd"/>
      <w:r w:rsidRPr="00311AF8">
        <w:rPr>
          <w:rFonts w:ascii="Verdana" w:hAnsi="Verdana"/>
          <w:sz w:val="16"/>
          <w:szCs w:val="16"/>
          <w:lang w:val="es-CL"/>
        </w:rPr>
        <w:t xml:space="preserve"> Bedoya Lima, la </w:t>
      </w:r>
      <w:proofErr w:type="spellStart"/>
      <w:r w:rsidRPr="00311AF8">
        <w:rPr>
          <w:rFonts w:ascii="Verdana" w:hAnsi="Verdana"/>
          <w:sz w:val="16"/>
          <w:szCs w:val="16"/>
          <w:lang w:val="es-CL"/>
        </w:rPr>
        <w:t>señora</w:t>
      </w:r>
      <w:proofErr w:type="spellEnd"/>
      <w:r w:rsidRPr="00311AF8">
        <w:rPr>
          <w:rFonts w:ascii="Verdana" w:hAnsi="Verdana"/>
          <w:sz w:val="16"/>
          <w:szCs w:val="16"/>
          <w:lang w:val="es-CL"/>
        </w:rPr>
        <w:t xml:space="preserve"> Luz Nelly Lima.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1CA0"/>
    <w:multiLevelType w:val="multilevel"/>
    <w:tmpl w:val="B724516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78444C"/>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435498"/>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4C6377"/>
    <w:multiLevelType w:val="hybridMultilevel"/>
    <w:tmpl w:val="04D224F4"/>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2917236B"/>
    <w:multiLevelType w:val="multilevel"/>
    <w:tmpl w:val="EB1AF566"/>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2E2330A1"/>
    <w:multiLevelType w:val="hybridMultilevel"/>
    <w:tmpl w:val="D608A9DE"/>
    <w:lvl w:ilvl="0" w:tplc="9F40D28C">
      <w:start w:val="1"/>
      <w:numFmt w:val="decimal"/>
      <w:lvlText w:val="%1."/>
      <w:lvlJc w:val="left"/>
      <w:pPr>
        <w:ind w:left="1080" w:hanging="360"/>
      </w:pPr>
      <w:rPr>
        <w:rFonts w:hint="default"/>
      </w:rPr>
    </w:lvl>
    <w:lvl w:ilvl="1" w:tplc="040A0019">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6" w15:restartNumberingAfterBreak="0">
    <w:nsid w:val="31413E67"/>
    <w:multiLevelType w:val="multilevel"/>
    <w:tmpl w:val="6426665A"/>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7" w15:restartNumberingAfterBreak="0">
    <w:nsid w:val="319552A6"/>
    <w:multiLevelType w:val="hybridMultilevel"/>
    <w:tmpl w:val="DB8AEF08"/>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35DA22B9"/>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78D3035"/>
    <w:multiLevelType w:val="hybridMultilevel"/>
    <w:tmpl w:val="729666B4"/>
    <w:lvl w:ilvl="0" w:tplc="5AD898A4">
      <w:start w:val="44"/>
      <w:numFmt w:val="decimal"/>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0" w15:restartNumberingAfterBreak="0">
    <w:nsid w:val="5F4E7105"/>
    <w:multiLevelType w:val="multilevel"/>
    <w:tmpl w:val="F9A851CE"/>
    <w:lvl w:ilvl="0">
      <w:start w:val="1"/>
      <w:numFmt w:val="upperRoman"/>
      <w:lvlText w:val="%1."/>
      <w:lvlJc w:val="left"/>
      <w:pPr>
        <w:ind w:left="720" w:hanging="360"/>
      </w:pPr>
      <w:rPr>
        <w:rFonts w:asciiTheme="minorHAnsi" w:eastAsiaTheme="minorHAnsi" w:hAnsiTheme="minorHAnsi" w:cstheme="minorBidi"/>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64E90309"/>
    <w:multiLevelType w:val="hybridMultilevel"/>
    <w:tmpl w:val="00CAA266"/>
    <w:lvl w:ilvl="0" w:tplc="44AABCF8">
      <w:start w:val="1"/>
      <w:numFmt w:val="decimal"/>
      <w:lvlText w:val="%1."/>
      <w:lvlJc w:val="left"/>
      <w:pPr>
        <w:ind w:left="1080" w:hanging="360"/>
      </w:pPr>
      <w:rPr>
        <w:rFonts w:hint="default"/>
      </w:rPr>
    </w:lvl>
    <w:lvl w:ilvl="1" w:tplc="040A0019">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2" w15:restartNumberingAfterBreak="0">
    <w:nsid w:val="686B3147"/>
    <w:multiLevelType w:val="hybridMultilevel"/>
    <w:tmpl w:val="A1E8C026"/>
    <w:lvl w:ilvl="0" w:tplc="EBF6CC42">
      <w:start w:val="1"/>
      <w:numFmt w:val="decimal"/>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3" w15:restartNumberingAfterBreak="0">
    <w:nsid w:val="73665968"/>
    <w:multiLevelType w:val="hybridMultilevel"/>
    <w:tmpl w:val="A0C4F662"/>
    <w:lvl w:ilvl="0" w:tplc="3F4E0E72">
      <w:start w:val="1"/>
      <w:numFmt w:val="decimal"/>
      <w:lvlText w:val="%1."/>
      <w:lvlJc w:val="left"/>
      <w:pPr>
        <w:ind w:left="1440" w:hanging="360"/>
      </w:pPr>
      <w:rPr>
        <w:rFonts w:hint="default"/>
      </w:rPr>
    </w:lvl>
    <w:lvl w:ilvl="1" w:tplc="040A0019">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14" w15:restartNumberingAfterBreak="0">
    <w:nsid w:val="7E82127B"/>
    <w:multiLevelType w:val="multilevel"/>
    <w:tmpl w:val="B724516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EFD0152"/>
    <w:multiLevelType w:val="hybridMultilevel"/>
    <w:tmpl w:val="4E58F5C4"/>
    <w:lvl w:ilvl="0" w:tplc="21226954">
      <w:start w:val="1"/>
      <w:numFmt w:val="decimal"/>
      <w:lvlText w:val="%1."/>
      <w:lvlJc w:val="left"/>
      <w:pPr>
        <w:ind w:left="1440" w:hanging="360"/>
      </w:pPr>
      <w:rPr>
        <w:rFonts w:hint="default"/>
        <w:b/>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num w:numId="1">
    <w:abstractNumId w:val="10"/>
  </w:num>
  <w:num w:numId="2">
    <w:abstractNumId w:val="3"/>
  </w:num>
  <w:num w:numId="3">
    <w:abstractNumId w:val="7"/>
  </w:num>
  <w:num w:numId="4">
    <w:abstractNumId w:val="11"/>
  </w:num>
  <w:num w:numId="5">
    <w:abstractNumId w:val="6"/>
  </w:num>
  <w:num w:numId="6">
    <w:abstractNumId w:val="5"/>
  </w:num>
  <w:num w:numId="7">
    <w:abstractNumId w:val="4"/>
  </w:num>
  <w:num w:numId="8">
    <w:abstractNumId w:val="13"/>
  </w:num>
  <w:num w:numId="9">
    <w:abstractNumId w:val="15"/>
  </w:num>
  <w:num w:numId="10">
    <w:abstractNumId w:val="12"/>
  </w:num>
  <w:num w:numId="11">
    <w:abstractNumId w:val="9"/>
  </w:num>
  <w:num w:numId="12">
    <w:abstractNumId w:val="0"/>
  </w:num>
  <w:num w:numId="13">
    <w:abstractNumId w:val="14"/>
  </w:num>
  <w:num w:numId="14">
    <w:abstractNumId w:val="8"/>
  </w:num>
  <w:num w:numId="15">
    <w:abstractNumId w:val="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80E"/>
    <w:rsid w:val="000042F0"/>
    <w:rsid w:val="00011742"/>
    <w:rsid w:val="00027AE2"/>
    <w:rsid w:val="000344B9"/>
    <w:rsid w:val="000475DF"/>
    <w:rsid w:val="000548A6"/>
    <w:rsid w:val="00061D78"/>
    <w:rsid w:val="000631B4"/>
    <w:rsid w:val="00066676"/>
    <w:rsid w:val="00071065"/>
    <w:rsid w:val="00086F9D"/>
    <w:rsid w:val="00087102"/>
    <w:rsid w:val="000A65BA"/>
    <w:rsid w:val="000A7CDB"/>
    <w:rsid w:val="000B7337"/>
    <w:rsid w:val="000C73E2"/>
    <w:rsid w:val="000D1852"/>
    <w:rsid w:val="000E33BE"/>
    <w:rsid w:val="000F2316"/>
    <w:rsid w:val="000F2A88"/>
    <w:rsid w:val="000F3DA1"/>
    <w:rsid w:val="001007D7"/>
    <w:rsid w:val="0010115E"/>
    <w:rsid w:val="0010520F"/>
    <w:rsid w:val="00113A10"/>
    <w:rsid w:val="00115CFC"/>
    <w:rsid w:val="00127D40"/>
    <w:rsid w:val="00133A6D"/>
    <w:rsid w:val="00134085"/>
    <w:rsid w:val="00137B1A"/>
    <w:rsid w:val="00137D32"/>
    <w:rsid w:val="001408D4"/>
    <w:rsid w:val="00145418"/>
    <w:rsid w:val="00146C3F"/>
    <w:rsid w:val="001564AC"/>
    <w:rsid w:val="00161C07"/>
    <w:rsid w:val="0016549F"/>
    <w:rsid w:val="0017231A"/>
    <w:rsid w:val="001837EE"/>
    <w:rsid w:val="0019693B"/>
    <w:rsid w:val="001A7BC5"/>
    <w:rsid w:val="001C3603"/>
    <w:rsid w:val="001C7751"/>
    <w:rsid w:val="001D1BC7"/>
    <w:rsid w:val="001D41B6"/>
    <w:rsid w:val="001E129C"/>
    <w:rsid w:val="001E1D47"/>
    <w:rsid w:val="001E273B"/>
    <w:rsid w:val="002072BF"/>
    <w:rsid w:val="00207E81"/>
    <w:rsid w:val="00210447"/>
    <w:rsid w:val="00215583"/>
    <w:rsid w:val="002164B4"/>
    <w:rsid w:val="002242E5"/>
    <w:rsid w:val="0022789C"/>
    <w:rsid w:val="00230E29"/>
    <w:rsid w:val="002321BF"/>
    <w:rsid w:val="00234F0B"/>
    <w:rsid w:val="00237314"/>
    <w:rsid w:val="002420EC"/>
    <w:rsid w:val="00245039"/>
    <w:rsid w:val="0025360F"/>
    <w:rsid w:val="002605B8"/>
    <w:rsid w:val="0026070E"/>
    <w:rsid w:val="00267488"/>
    <w:rsid w:val="00281387"/>
    <w:rsid w:val="002A39A8"/>
    <w:rsid w:val="002A5747"/>
    <w:rsid w:val="002C4EC8"/>
    <w:rsid w:val="002D2AD0"/>
    <w:rsid w:val="002E6371"/>
    <w:rsid w:val="002F2BB3"/>
    <w:rsid w:val="00303977"/>
    <w:rsid w:val="003041C0"/>
    <w:rsid w:val="00304AE5"/>
    <w:rsid w:val="00311AF8"/>
    <w:rsid w:val="0031219D"/>
    <w:rsid w:val="00312B6A"/>
    <w:rsid w:val="003155FD"/>
    <w:rsid w:val="003444FA"/>
    <w:rsid w:val="00356486"/>
    <w:rsid w:val="0036517E"/>
    <w:rsid w:val="003670EB"/>
    <w:rsid w:val="00371058"/>
    <w:rsid w:val="00376E82"/>
    <w:rsid w:val="0039625D"/>
    <w:rsid w:val="00397F94"/>
    <w:rsid w:val="003C6ACE"/>
    <w:rsid w:val="003D008B"/>
    <w:rsid w:val="003D19B3"/>
    <w:rsid w:val="003E369C"/>
    <w:rsid w:val="003E7F8B"/>
    <w:rsid w:val="003F7A02"/>
    <w:rsid w:val="00412A93"/>
    <w:rsid w:val="00412DE8"/>
    <w:rsid w:val="00416D95"/>
    <w:rsid w:val="00431872"/>
    <w:rsid w:val="00436B54"/>
    <w:rsid w:val="00446489"/>
    <w:rsid w:val="004517A5"/>
    <w:rsid w:val="004603A2"/>
    <w:rsid w:val="0046473E"/>
    <w:rsid w:val="004728FA"/>
    <w:rsid w:val="00480384"/>
    <w:rsid w:val="00497CAA"/>
    <w:rsid w:val="004A0CF5"/>
    <w:rsid w:val="004B1768"/>
    <w:rsid w:val="004C144A"/>
    <w:rsid w:val="004C5866"/>
    <w:rsid w:val="004C6E2C"/>
    <w:rsid w:val="004D0F79"/>
    <w:rsid w:val="004D705B"/>
    <w:rsid w:val="004E130B"/>
    <w:rsid w:val="004F4FE7"/>
    <w:rsid w:val="00502789"/>
    <w:rsid w:val="00510C52"/>
    <w:rsid w:val="00524BED"/>
    <w:rsid w:val="00536CC9"/>
    <w:rsid w:val="005400FB"/>
    <w:rsid w:val="0054279F"/>
    <w:rsid w:val="00550B9F"/>
    <w:rsid w:val="00554543"/>
    <w:rsid w:val="00561C19"/>
    <w:rsid w:val="00566731"/>
    <w:rsid w:val="00567A59"/>
    <w:rsid w:val="00574778"/>
    <w:rsid w:val="005829B2"/>
    <w:rsid w:val="00585962"/>
    <w:rsid w:val="005A0BA7"/>
    <w:rsid w:val="005B1BAE"/>
    <w:rsid w:val="005B42B9"/>
    <w:rsid w:val="005E0C2B"/>
    <w:rsid w:val="005E56D8"/>
    <w:rsid w:val="005E7BEF"/>
    <w:rsid w:val="005F1D52"/>
    <w:rsid w:val="005F2CE9"/>
    <w:rsid w:val="005F5829"/>
    <w:rsid w:val="005F6F90"/>
    <w:rsid w:val="005F7D77"/>
    <w:rsid w:val="00601B4F"/>
    <w:rsid w:val="006071D1"/>
    <w:rsid w:val="006126F1"/>
    <w:rsid w:val="00620F79"/>
    <w:rsid w:val="00624A2B"/>
    <w:rsid w:val="00632FF3"/>
    <w:rsid w:val="006342EC"/>
    <w:rsid w:val="0065440C"/>
    <w:rsid w:val="00663E15"/>
    <w:rsid w:val="00673EE6"/>
    <w:rsid w:val="00681D34"/>
    <w:rsid w:val="006910A5"/>
    <w:rsid w:val="006A2D55"/>
    <w:rsid w:val="006A49CD"/>
    <w:rsid w:val="006A6CBE"/>
    <w:rsid w:val="006A6F97"/>
    <w:rsid w:val="006C2D6B"/>
    <w:rsid w:val="006C4058"/>
    <w:rsid w:val="006C63A4"/>
    <w:rsid w:val="006C7384"/>
    <w:rsid w:val="006D5DDD"/>
    <w:rsid w:val="006E554C"/>
    <w:rsid w:val="006E649A"/>
    <w:rsid w:val="00704A35"/>
    <w:rsid w:val="007135FF"/>
    <w:rsid w:val="00716B48"/>
    <w:rsid w:val="0072606C"/>
    <w:rsid w:val="00731231"/>
    <w:rsid w:val="00744251"/>
    <w:rsid w:val="00750BA1"/>
    <w:rsid w:val="00767174"/>
    <w:rsid w:val="007859DF"/>
    <w:rsid w:val="00794341"/>
    <w:rsid w:val="007A2147"/>
    <w:rsid w:val="007A5822"/>
    <w:rsid w:val="007A6631"/>
    <w:rsid w:val="007D0445"/>
    <w:rsid w:val="007E5A9B"/>
    <w:rsid w:val="007E6BB7"/>
    <w:rsid w:val="00800E75"/>
    <w:rsid w:val="00801940"/>
    <w:rsid w:val="00804043"/>
    <w:rsid w:val="00805A05"/>
    <w:rsid w:val="00810EBB"/>
    <w:rsid w:val="0084333B"/>
    <w:rsid w:val="008438D6"/>
    <w:rsid w:val="00863A0B"/>
    <w:rsid w:val="00864860"/>
    <w:rsid w:val="00870C22"/>
    <w:rsid w:val="00885CE3"/>
    <w:rsid w:val="00886462"/>
    <w:rsid w:val="008870B4"/>
    <w:rsid w:val="00892806"/>
    <w:rsid w:val="008950EC"/>
    <w:rsid w:val="008A07BD"/>
    <w:rsid w:val="008A17CB"/>
    <w:rsid w:val="008B2450"/>
    <w:rsid w:val="008B2555"/>
    <w:rsid w:val="008C6516"/>
    <w:rsid w:val="008D0A2C"/>
    <w:rsid w:val="008E5D07"/>
    <w:rsid w:val="008F0C89"/>
    <w:rsid w:val="00904DBE"/>
    <w:rsid w:val="00907115"/>
    <w:rsid w:val="00912BE8"/>
    <w:rsid w:val="0091648F"/>
    <w:rsid w:val="009224D8"/>
    <w:rsid w:val="009324D2"/>
    <w:rsid w:val="009357C5"/>
    <w:rsid w:val="00936988"/>
    <w:rsid w:val="009462D2"/>
    <w:rsid w:val="00966039"/>
    <w:rsid w:val="009770A6"/>
    <w:rsid w:val="00982279"/>
    <w:rsid w:val="009822C4"/>
    <w:rsid w:val="00987FF9"/>
    <w:rsid w:val="00992496"/>
    <w:rsid w:val="009A33FC"/>
    <w:rsid w:val="009A4328"/>
    <w:rsid w:val="009B0B42"/>
    <w:rsid w:val="009B35CE"/>
    <w:rsid w:val="009B449F"/>
    <w:rsid w:val="009B50EE"/>
    <w:rsid w:val="009B777E"/>
    <w:rsid w:val="009D08E4"/>
    <w:rsid w:val="009E63D6"/>
    <w:rsid w:val="009F0ABD"/>
    <w:rsid w:val="009F36E7"/>
    <w:rsid w:val="00A03DBA"/>
    <w:rsid w:val="00A2029E"/>
    <w:rsid w:val="00A55CCD"/>
    <w:rsid w:val="00A55D6C"/>
    <w:rsid w:val="00A64017"/>
    <w:rsid w:val="00A67617"/>
    <w:rsid w:val="00A8287E"/>
    <w:rsid w:val="00A86E7B"/>
    <w:rsid w:val="00A87244"/>
    <w:rsid w:val="00A92456"/>
    <w:rsid w:val="00A97918"/>
    <w:rsid w:val="00AC114C"/>
    <w:rsid w:val="00AC29D2"/>
    <w:rsid w:val="00AD6745"/>
    <w:rsid w:val="00AE2C03"/>
    <w:rsid w:val="00AE4D2B"/>
    <w:rsid w:val="00B02382"/>
    <w:rsid w:val="00B05329"/>
    <w:rsid w:val="00B109CC"/>
    <w:rsid w:val="00B1405A"/>
    <w:rsid w:val="00B234DE"/>
    <w:rsid w:val="00B4484A"/>
    <w:rsid w:val="00B462DB"/>
    <w:rsid w:val="00B52D0E"/>
    <w:rsid w:val="00B61231"/>
    <w:rsid w:val="00B66723"/>
    <w:rsid w:val="00B82F33"/>
    <w:rsid w:val="00BA2A37"/>
    <w:rsid w:val="00BB2B0D"/>
    <w:rsid w:val="00BB786E"/>
    <w:rsid w:val="00BE2C76"/>
    <w:rsid w:val="00BE7733"/>
    <w:rsid w:val="00BF3BF6"/>
    <w:rsid w:val="00C1297D"/>
    <w:rsid w:val="00C273F7"/>
    <w:rsid w:val="00C46FFF"/>
    <w:rsid w:val="00C61E3D"/>
    <w:rsid w:val="00C909A0"/>
    <w:rsid w:val="00CA0AEE"/>
    <w:rsid w:val="00CA3A07"/>
    <w:rsid w:val="00CB464F"/>
    <w:rsid w:val="00CB5D84"/>
    <w:rsid w:val="00CD1E22"/>
    <w:rsid w:val="00CD4AD0"/>
    <w:rsid w:val="00CF0E8E"/>
    <w:rsid w:val="00CF3E74"/>
    <w:rsid w:val="00CF4D3E"/>
    <w:rsid w:val="00D27487"/>
    <w:rsid w:val="00D31006"/>
    <w:rsid w:val="00D35646"/>
    <w:rsid w:val="00D4119D"/>
    <w:rsid w:val="00D54915"/>
    <w:rsid w:val="00D549A9"/>
    <w:rsid w:val="00D62F30"/>
    <w:rsid w:val="00D640A7"/>
    <w:rsid w:val="00D703CF"/>
    <w:rsid w:val="00D819DC"/>
    <w:rsid w:val="00D82055"/>
    <w:rsid w:val="00D85C4E"/>
    <w:rsid w:val="00D8656A"/>
    <w:rsid w:val="00D86945"/>
    <w:rsid w:val="00D95571"/>
    <w:rsid w:val="00DB7BD4"/>
    <w:rsid w:val="00DD0B03"/>
    <w:rsid w:val="00DD15E4"/>
    <w:rsid w:val="00DD27BA"/>
    <w:rsid w:val="00DF1A1A"/>
    <w:rsid w:val="00DF2B60"/>
    <w:rsid w:val="00E2721A"/>
    <w:rsid w:val="00E33D1C"/>
    <w:rsid w:val="00E355EE"/>
    <w:rsid w:val="00E400DD"/>
    <w:rsid w:val="00E556AD"/>
    <w:rsid w:val="00E63CE0"/>
    <w:rsid w:val="00E6577B"/>
    <w:rsid w:val="00E67039"/>
    <w:rsid w:val="00E7256F"/>
    <w:rsid w:val="00E77C8E"/>
    <w:rsid w:val="00E848B3"/>
    <w:rsid w:val="00E93AD3"/>
    <w:rsid w:val="00E9668B"/>
    <w:rsid w:val="00EA00E4"/>
    <w:rsid w:val="00EA2E10"/>
    <w:rsid w:val="00EA44D5"/>
    <w:rsid w:val="00EA462A"/>
    <w:rsid w:val="00EB1BB2"/>
    <w:rsid w:val="00EB33BF"/>
    <w:rsid w:val="00EB5570"/>
    <w:rsid w:val="00EC180E"/>
    <w:rsid w:val="00EC1CAD"/>
    <w:rsid w:val="00EC5B34"/>
    <w:rsid w:val="00ED2186"/>
    <w:rsid w:val="00EE543D"/>
    <w:rsid w:val="00EF076A"/>
    <w:rsid w:val="00EF57C8"/>
    <w:rsid w:val="00EF7002"/>
    <w:rsid w:val="00F12642"/>
    <w:rsid w:val="00F13ADF"/>
    <w:rsid w:val="00F23762"/>
    <w:rsid w:val="00F40003"/>
    <w:rsid w:val="00F41030"/>
    <w:rsid w:val="00F456A1"/>
    <w:rsid w:val="00F532AD"/>
    <w:rsid w:val="00F55069"/>
    <w:rsid w:val="00F55BEA"/>
    <w:rsid w:val="00F61763"/>
    <w:rsid w:val="00F6706F"/>
    <w:rsid w:val="00F676A3"/>
    <w:rsid w:val="00F72389"/>
    <w:rsid w:val="00F75789"/>
    <w:rsid w:val="00F77BE1"/>
    <w:rsid w:val="00F77DD6"/>
    <w:rsid w:val="00F821A9"/>
    <w:rsid w:val="00F86168"/>
    <w:rsid w:val="00F9495D"/>
    <w:rsid w:val="00F94B2B"/>
    <w:rsid w:val="00FA1489"/>
    <w:rsid w:val="00FA2532"/>
    <w:rsid w:val="00FA2806"/>
    <w:rsid w:val="00FA3016"/>
    <w:rsid w:val="00FB674A"/>
    <w:rsid w:val="00FC04A6"/>
    <w:rsid w:val="00FC6EAE"/>
    <w:rsid w:val="00FC7D5B"/>
    <w:rsid w:val="00FD06B6"/>
    <w:rsid w:val="00FD4EAA"/>
    <w:rsid w:val="00FD6002"/>
    <w:rsid w:val="00FE1135"/>
    <w:rsid w:val="00FF492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4024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s-ES_tradnl"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400DD"/>
  </w:style>
  <w:style w:type="paragraph" w:styleId="Ttulo1">
    <w:name w:val="heading 1"/>
    <w:basedOn w:val="Normal"/>
    <w:next w:val="Normal"/>
    <w:link w:val="Ttulo1Car"/>
    <w:uiPriority w:val="9"/>
    <w:qFormat/>
    <w:rsid w:val="00EA462A"/>
    <w:pPr>
      <w:pBdr>
        <w:bottom w:val="thinThickSmallGap" w:sz="12" w:space="1" w:color="C45911" w:themeColor="accent2" w:themeShade="BF"/>
      </w:pBdr>
      <w:spacing w:before="400" w:line="240" w:lineRule="auto"/>
      <w:jc w:val="center"/>
      <w:outlineLvl w:val="0"/>
    </w:pPr>
    <w:rPr>
      <w:rFonts w:ascii="Verdana" w:hAnsi="Verdana" w:cs="Times New Roman (Títulos en alf"/>
      <w:b/>
      <w:bCs/>
      <w:caps/>
      <w:spacing w:val="20"/>
      <w:sz w:val="24"/>
      <w:szCs w:val="24"/>
      <w:u w:val="double"/>
      <w:lang w:val="es-ES"/>
    </w:rPr>
  </w:style>
  <w:style w:type="paragraph" w:styleId="Ttulo2">
    <w:name w:val="heading 2"/>
    <w:basedOn w:val="Normal"/>
    <w:next w:val="Normal"/>
    <w:link w:val="Ttulo2Car"/>
    <w:uiPriority w:val="9"/>
    <w:unhideWhenUsed/>
    <w:qFormat/>
    <w:rsid w:val="00BF3BF6"/>
    <w:pPr>
      <w:pBdr>
        <w:bottom w:val="single" w:sz="4" w:space="1" w:color="823B0B" w:themeColor="accent2" w:themeShade="7F"/>
      </w:pBdr>
      <w:spacing w:before="400" w:line="240" w:lineRule="auto"/>
      <w:outlineLvl w:val="1"/>
    </w:pPr>
    <w:rPr>
      <w:rFonts w:ascii="Verdana" w:hAnsi="Verdana"/>
      <w:spacing w:val="15"/>
      <w:lang w:val="es-ES"/>
    </w:rPr>
  </w:style>
  <w:style w:type="paragraph" w:styleId="Ttulo3">
    <w:name w:val="heading 3"/>
    <w:basedOn w:val="Normal"/>
    <w:next w:val="Normal"/>
    <w:link w:val="Ttulo3Car"/>
    <w:uiPriority w:val="9"/>
    <w:unhideWhenUsed/>
    <w:qFormat/>
    <w:rsid w:val="00BF3BF6"/>
    <w:pPr>
      <w:spacing w:before="300" w:line="240" w:lineRule="auto"/>
      <w:outlineLvl w:val="2"/>
    </w:pPr>
    <w:rPr>
      <w:rFonts w:ascii="Verdana" w:hAnsi="Verdana"/>
      <w:caps/>
      <w:sz w:val="20"/>
      <w:szCs w:val="20"/>
      <w:lang w:val="es-ES"/>
    </w:rPr>
  </w:style>
  <w:style w:type="paragraph" w:styleId="Ttulo4">
    <w:name w:val="heading 4"/>
    <w:basedOn w:val="Normal"/>
    <w:next w:val="Normal"/>
    <w:link w:val="Ttulo4Car"/>
    <w:uiPriority w:val="9"/>
    <w:unhideWhenUsed/>
    <w:qFormat/>
    <w:rsid w:val="00215583"/>
    <w:pPr>
      <w:pBdr>
        <w:bottom w:val="dotted" w:sz="4" w:space="1" w:color="C45911" w:themeColor="accent2" w:themeShade="BF"/>
      </w:pBdr>
      <w:spacing w:after="120"/>
      <w:jc w:val="center"/>
      <w:outlineLvl w:val="3"/>
    </w:pPr>
    <w:rPr>
      <w:caps/>
      <w:spacing w:val="10"/>
    </w:rPr>
  </w:style>
  <w:style w:type="paragraph" w:styleId="Ttulo5">
    <w:name w:val="heading 5"/>
    <w:basedOn w:val="Normal"/>
    <w:next w:val="Normal"/>
    <w:link w:val="Ttulo5Car"/>
    <w:uiPriority w:val="9"/>
    <w:semiHidden/>
    <w:unhideWhenUsed/>
    <w:qFormat/>
    <w:rsid w:val="00E400DD"/>
    <w:pPr>
      <w:spacing w:before="320" w:after="120"/>
      <w:jc w:val="center"/>
      <w:outlineLvl w:val="4"/>
    </w:pPr>
    <w:rPr>
      <w:caps/>
      <w:color w:val="823B0B" w:themeColor="accent2" w:themeShade="7F"/>
      <w:spacing w:val="10"/>
    </w:rPr>
  </w:style>
  <w:style w:type="paragraph" w:styleId="Ttulo6">
    <w:name w:val="heading 6"/>
    <w:basedOn w:val="Normal"/>
    <w:next w:val="Normal"/>
    <w:link w:val="Ttulo6Car"/>
    <w:uiPriority w:val="9"/>
    <w:semiHidden/>
    <w:unhideWhenUsed/>
    <w:qFormat/>
    <w:rsid w:val="00E400DD"/>
    <w:pPr>
      <w:spacing w:after="120"/>
      <w:jc w:val="center"/>
      <w:outlineLvl w:val="5"/>
    </w:pPr>
    <w:rPr>
      <w:caps/>
      <w:color w:val="C45911" w:themeColor="accent2" w:themeShade="BF"/>
      <w:spacing w:val="10"/>
    </w:rPr>
  </w:style>
  <w:style w:type="paragraph" w:styleId="Ttulo7">
    <w:name w:val="heading 7"/>
    <w:basedOn w:val="Normal"/>
    <w:next w:val="Normal"/>
    <w:link w:val="Ttulo7Car"/>
    <w:uiPriority w:val="9"/>
    <w:semiHidden/>
    <w:unhideWhenUsed/>
    <w:qFormat/>
    <w:rsid w:val="00E400DD"/>
    <w:pPr>
      <w:spacing w:after="120"/>
      <w:jc w:val="center"/>
      <w:outlineLvl w:val="6"/>
    </w:pPr>
    <w:rPr>
      <w:i/>
      <w:iCs/>
      <w:caps/>
      <w:color w:val="C45911" w:themeColor="accent2" w:themeShade="BF"/>
      <w:spacing w:val="10"/>
    </w:rPr>
  </w:style>
  <w:style w:type="paragraph" w:styleId="Ttulo8">
    <w:name w:val="heading 8"/>
    <w:basedOn w:val="Normal"/>
    <w:next w:val="Normal"/>
    <w:link w:val="Ttulo8Car"/>
    <w:uiPriority w:val="9"/>
    <w:semiHidden/>
    <w:unhideWhenUsed/>
    <w:qFormat/>
    <w:rsid w:val="00E400DD"/>
    <w:pPr>
      <w:spacing w:after="120"/>
      <w:jc w:val="center"/>
      <w:outlineLvl w:val="7"/>
    </w:pPr>
    <w:rPr>
      <w:caps/>
      <w:spacing w:val="10"/>
      <w:sz w:val="20"/>
      <w:szCs w:val="20"/>
    </w:rPr>
  </w:style>
  <w:style w:type="paragraph" w:styleId="Ttulo9">
    <w:name w:val="heading 9"/>
    <w:basedOn w:val="Normal"/>
    <w:next w:val="Normal"/>
    <w:link w:val="Ttulo9Car"/>
    <w:uiPriority w:val="9"/>
    <w:semiHidden/>
    <w:unhideWhenUsed/>
    <w:qFormat/>
    <w:rsid w:val="00E400DD"/>
    <w:pPr>
      <w:spacing w:after="120"/>
      <w:jc w:val="center"/>
      <w:outlineLvl w:val="8"/>
    </w:pPr>
    <w:rPr>
      <w:i/>
      <w:iCs/>
      <w:caps/>
      <w:spacing w:val="1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400DD"/>
    <w:pPr>
      <w:ind w:left="720"/>
      <w:contextualSpacing/>
    </w:pPr>
  </w:style>
  <w:style w:type="character" w:styleId="Refdenotaalpie">
    <w:name w:val="footnote reference"/>
    <w:aliases w:val="Texto de nota al pie,Footnotes refss,Appel note de bas de page,Footnote number,referencia nota al pie,BVI fnr,f,4_G,16 Point,Superscript 6 Point,Texto nota al pie,Footnote Reference Char3,Footnote Reference Char1 Char,Ref. de nota al"/>
    <w:basedOn w:val="Fuentedeprrafopredeter"/>
    <w:link w:val="4GChar"/>
    <w:uiPriority w:val="99"/>
    <w:qFormat/>
    <w:rsid w:val="00805A05"/>
    <w:rPr>
      <w:vertAlign w:val="superscript"/>
    </w:rPr>
  </w:style>
  <w:style w:type="paragraph" w:styleId="Textonotapie">
    <w:name w:val="footnote text"/>
    <w:aliases w:val="Footnote reference,FA Fu,Footnote Text Char Char Char Char Char,Footnote Text Char Char Char Char,Footnote Text Char Char Char,Footnote Text Cha,FA Fußnotentext,FA Fuﬂnotentext,Footnote Text Char Char,FA Fu?notentext,Ca,FA Fu?notente,C,ft"/>
    <w:basedOn w:val="Normal"/>
    <w:link w:val="TextonotapieCar"/>
    <w:uiPriority w:val="99"/>
    <w:rsid w:val="00805A05"/>
    <w:pPr>
      <w:overflowPunct w:val="0"/>
      <w:autoSpaceDE w:val="0"/>
      <w:autoSpaceDN w:val="0"/>
      <w:adjustRightInd w:val="0"/>
      <w:textAlignment w:val="baseline"/>
    </w:pPr>
    <w:rPr>
      <w:rFonts w:ascii="New York" w:eastAsia="Times New Roman" w:hAnsi="New York" w:cs="Times New Roman"/>
      <w:sz w:val="20"/>
      <w:szCs w:val="20"/>
      <w:lang w:val="en-US" w:eastAsia="es-ES"/>
    </w:rPr>
  </w:style>
  <w:style w:type="character" w:customStyle="1" w:styleId="TextonotapieCar">
    <w:name w:val="Texto nota pie Car"/>
    <w:aliases w:val="Footnote reference Car,FA Fu Car,Footnote Text Char Char Char Char Char Car,Footnote Text Char Char Char Char Car,Footnote Text Char Char Char Car,Footnote Text Cha Car,FA Fußnotentext Car,FA Fuﬂnotentext Car,FA Fu?notentext Car,C Car"/>
    <w:basedOn w:val="Fuentedeprrafopredeter"/>
    <w:link w:val="Textonotapie"/>
    <w:uiPriority w:val="99"/>
    <w:rsid w:val="00805A05"/>
    <w:rPr>
      <w:rFonts w:ascii="New York" w:eastAsia="Times New Roman" w:hAnsi="New York" w:cs="Times New Roman"/>
      <w:sz w:val="20"/>
      <w:szCs w:val="20"/>
      <w:lang w:val="en-US" w:eastAsia="es-ES"/>
    </w:rPr>
  </w:style>
  <w:style w:type="paragraph" w:customStyle="1" w:styleId="negritamayuscula">
    <w:name w:val="negrita mayuscula"/>
    <w:basedOn w:val="Normal"/>
    <w:rsid w:val="00805A05"/>
    <w:pPr>
      <w:widowControl w:val="0"/>
      <w:tabs>
        <w:tab w:val="left" w:pos="1120"/>
      </w:tabs>
      <w:overflowPunct w:val="0"/>
      <w:autoSpaceDE w:val="0"/>
      <w:autoSpaceDN w:val="0"/>
      <w:adjustRightInd w:val="0"/>
      <w:spacing w:line="360" w:lineRule="atLeast"/>
      <w:jc w:val="both"/>
      <w:textAlignment w:val="baseline"/>
    </w:pPr>
    <w:rPr>
      <w:rFonts w:ascii="Garamond" w:eastAsia="Times New Roman" w:hAnsi="Garamond" w:cs="Times New Roman"/>
      <w:szCs w:val="20"/>
      <w:lang w:eastAsia="es-ES"/>
    </w:rPr>
  </w:style>
  <w:style w:type="paragraph" w:styleId="Textoindependiente">
    <w:name w:val="Body Text"/>
    <w:basedOn w:val="Normal"/>
    <w:link w:val="TextoindependienteCar"/>
    <w:rsid w:val="00805A05"/>
    <w:pPr>
      <w:widowControl w:val="0"/>
      <w:overflowPunct w:val="0"/>
      <w:autoSpaceDE w:val="0"/>
      <w:autoSpaceDN w:val="0"/>
      <w:adjustRightInd w:val="0"/>
      <w:jc w:val="both"/>
      <w:textAlignment w:val="baseline"/>
    </w:pPr>
    <w:rPr>
      <w:rFonts w:ascii="Times New Roman" w:eastAsia="Times New Roman" w:hAnsi="Times New Roman" w:cs="Times New Roman"/>
      <w:szCs w:val="20"/>
      <w:lang w:val="es-ES" w:eastAsia="es-ES"/>
    </w:rPr>
  </w:style>
  <w:style w:type="character" w:customStyle="1" w:styleId="TextoindependienteCar">
    <w:name w:val="Texto independiente Car"/>
    <w:basedOn w:val="Fuentedeprrafopredeter"/>
    <w:link w:val="Textoindependiente"/>
    <w:rsid w:val="00805A05"/>
    <w:rPr>
      <w:rFonts w:ascii="Times New Roman" w:eastAsia="Times New Roman" w:hAnsi="Times New Roman" w:cs="Times New Roman"/>
      <w:szCs w:val="20"/>
      <w:lang w:val="es-ES" w:eastAsia="es-ES"/>
    </w:rPr>
  </w:style>
  <w:style w:type="character" w:styleId="Refdecomentario">
    <w:name w:val="annotation reference"/>
    <w:basedOn w:val="Fuentedeprrafopredeter"/>
    <w:uiPriority w:val="99"/>
    <w:semiHidden/>
    <w:unhideWhenUsed/>
    <w:rsid w:val="00146C3F"/>
    <w:rPr>
      <w:sz w:val="16"/>
      <w:szCs w:val="16"/>
    </w:rPr>
  </w:style>
  <w:style w:type="paragraph" w:styleId="Textocomentario">
    <w:name w:val="annotation text"/>
    <w:basedOn w:val="Normal"/>
    <w:link w:val="TextocomentarioCar"/>
    <w:semiHidden/>
    <w:unhideWhenUsed/>
    <w:rsid w:val="00146C3F"/>
    <w:rPr>
      <w:sz w:val="20"/>
      <w:szCs w:val="20"/>
      <w:lang w:val="es-CL"/>
    </w:rPr>
  </w:style>
  <w:style w:type="character" w:customStyle="1" w:styleId="TextocomentarioCar">
    <w:name w:val="Texto comentario Car"/>
    <w:basedOn w:val="Fuentedeprrafopredeter"/>
    <w:link w:val="Textocomentario"/>
    <w:uiPriority w:val="99"/>
    <w:semiHidden/>
    <w:rsid w:val="00146C3F"/>
    <w:rPr>
      <w:sz w:val="20"/>
      <w:szCs w:val="20"/>
      <w:lang w:val="es-CL"/>
    </w:rPr>
  </w:style>
  <w:style w:type="paragraph" w:customStyle="1" w:styleId="Textoindependiente2">
    <w:name w:val="Texto independiente2"/>
    <w:basedOn w:val="Normal"/>
    <w:rsid w:val="00146C3F"/>
    <w:pPr>
      <w:ind w:right="-720"/>
      <w:jc w:val="both"/>
    </w:pPr>
    <w:rPr>
      <w:rFonts w:ascii="Palatino" w:eastAsia="Times New Roman" w:hAnsi="Palatino" w:cs="Times New Roman"/>
      <w:b/>
      <w:szCs w:val="20"/>
      <w:lang w:eastAsia="es-ES"/>
    </w:rPr>
  </w:style>
  <w:style w:type="paragraph" w:styleId="Textodeglobo">
    <w:name w:val="Balloon Text"/>
    <w:basedOn w:val="Normal"/>
    <w:link w:val="TextodegloboCar"/>
    <w:uiPriority w:val="99"/>
    <w:semiHidden/>
    <w:unhideWhenUsed/>
    <w:rsid w:val="00146C3F"/>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146C3F"/>
    <w:rPr>
      <w:rFonts w:ascii="Times New Roman" w:hAnsi="Times New Roman" w:cs="Times New Roman"/>
      <w:sz w:val="18"/>
      <w:szCs w:val="18"/>
    </w:rPr>
  </w:style>
  <w:style w:type="character" w:customStyle="1" w:styleId="Ttulo1Car">
    <w:name w:val="Título 1 Car"/>
    <w:basedOn w:val="Fuentedeprrafopredeter"/>
    <w:link w:val="Ttulo1"/>
    <w:uiPriority w:val="9"/>
    <w:rsid w:val="00EA462A"/>
    <w:rPr>
      <w:rFonts w:ascii="Verdana" w:hAnsi="Verdana" w:cs="Times New Roman (Títulos en alf"/>
      <w:b/>
      <w:bCs/>
      <w:caps/>
      <w:spacing w:val="20"/>
      <w:sz w:val="24"/>
      <w:szCs w:val="24"/>
      <w:u w:val="double"/>
      <w:lang w:val="es-ES"/>
    </w:rPr>
  </w:style>
  <w:style w:type="paragraph" w:styleId="TtuloTDC">
    <w:name w:val="TOC Heading"/>
    <w:basedOn w:val="Ttulo1"/>
    <w:next w:val="Normal"/>
    <w:uiPriority w:val="39"/>
    <w:unhideWhenUsed/>
    <w:qFormat/>
    <w:rsid w:val="00E400DD"/>
    <w:pPr>
      <w:outlineLvl w:val="9"/>
    </w:pPr>
  </w:style>
  <w:style w:type="paragraph" w:styleId="TDC1">
    <w:name w:val="toc 1"/>
    <w:basedOn w:val="Normal"/>
    <w:next w:val="Normal"/>
    <w:autoRedefine/>
    <w:uiPriority w:val="39"/>
    <w:unhideWhenUsed/>
    <w:rsid w:val="00885CE3"/>
    <w:pPr>
      <w:spacing w:before="120"/>
    </w:pPr>
    <w:rPr>
      <w:b/>
    </w:rPr>
  </w:style>
  <w:style w:type="paragraph" w:styleId="TDC2">
    <w:name w:val="toc 2"/>
    <w:basedOn w:val="Normal"/>
    <w:next w:val="Normal"/>
    <w:autoRedefine/>
    <w:uiPriority w:val="39"/>
    <w:unhideWhenUsed/>
    <w:rsid w:val="00885CE3"/>
    <w:pPr>
      <w:ind w:left="240"/>
    </w:pPr>
    <w:rPr>
      <w:b/>
    </w:rPr>
  </w:style>
  <w:style w:type="paragraph" w:styleId="TDC3">
    <w:name w:val="toc 3"/>
    <w:basedOn w:val="Normal"/>
    <w:next w:val="Normal"/>
    <w:autoRedefine/>
    <w:uiPriority w:val="39"/>
    <w:unhideWhenUsed/>
    <w:rsid w:val="00885CE3"/>
    <w:pPr>
      <w:ind w:left="480"/>
    </w:pPr>
  </w:style>
  <w:style w:type="paragraph" w:styleId="TDC4">
    <w:name w:val="toc 4"/>
    <w:basedOn w:val="Normal"/>
    <w:next w:val="Normal"/>
    <w:autoRedefine/>
    <w:uiPriority w:val="39"/>
    <w:unhideWhenUsed/>
    <w:rsid w:val="00885CE3"/>
    <w:pPr>
      <w:ind w:left="720"/>
    </w:pPr>
    <w:rPr>
      <w:sz w:val="20"/>
      <w:szCs w:val="20"/>
    </w:rPr>
  </w:style>
  <w:style w:type="paragraph" w:styleId="TDC5">
    <w:name w:val="toc 5"/>
    <w:basedOn w:val="Normal"/>
    <w:next w:val="Normal"/>
    <w:autoRedefine/>
    <w:uiPriority w:val="39"/>
    <w:unhideWhenUsed/>
    <w:rsid w:val="00885CE3"/>
    <w:pPr>
      <w:ind w:left="960"/>
    </w:pPr>
    <w:rPr>
      <w:sz w:val="20"/>
      <w:szCs w:val="20"/>
    </w:rPr>
  </w:style>
  <w:style w:type="paragraph" w:styleId="TDC6">
    <w:name w:val="toc 6"/>
    <w:basedOn w:val="Normal"/>
    <w:next w:val="Normal"/>
    <w:autoRedefine/>
    <w:uiPriority w:val="39"/>
    <w:unhideWhenUsed/>
    <w:rsid w:val="00885CE3"/>
    <w:pPr>
      <w:ind w:left="1200"/>
    </w:pPr>
    <w:rPr>
      <w:sz w:val="20"/>
      <w:szCs w:val="20"/>
    </w:rPr>
  </w:style>
  <w:style w:type="paragraph" w:styleId="TDC7">
    <w:name w:val="toc 7"/>
    <w:basedOn w:val="Normal"/>
    <w:next w:val="Normal"/>
    <w:autoRedefine/>
    <w:uiPriority w:val="39"/>
    <w:unhideWhenUsed/>
    <w:rsid w:val="00885CE3"/>
    <w:pPr>
      <w:ind w:left="1440"/>
    </w:pPr>
    <w:rPr>
      <w:sz w:val="20"/>
      <w:szCs w:val="20"/>
    </w:rPr>
  </w:style>
  <w:style w:type="paragraph" w:styleId="TDC8">
    <w:name w:val="toc 8"/>
    <w:basedOn w:val="Normal"/>
    <w:next w:val="Normal"/>
    <w:autoRedefine/>
    <w:uiPriority w:val="39"/>
    <w:unhideWhenUsed/>
    <w:rsid w:val="00885CE3"/>
    <w:pPr>
      <w:ind w:left="1680"/>
    </w:pPr>
    <w:rPr>
      <w:sz w:val="20"/>
      <w:szCs w:val="20"/>
    </w:rPr>
  </w:style>
  <w:style w:type="paragraph" w:styleId="TDC9">
    <w:name w:val="toc 9"/>
    <w:basedOn w:val="Normal"/>
    <w:next w:val="Normal"/>
    <w:autoRedefine/>
    <w:uiPriority w:val="39"/>
    <w:unhideWhenUsed/>
    <w:rsid w:val="00885CE3"/>
    <w:pPr>
      <w:ind w:left="1920"/>
    </w:pPr>
    <w:rPr>
      <w:sz w:val="20"/>
      <w:szCs w:val="20"/>
    </w:rPr>
  </w:style>
  <w:style w:type="paragraph" w:customStyle="1" w:styleId="Sangradetindependiente2">
    <w:name w:val="SangrÌa de t. independiente2"/>
    <w:basedOn w:val="Normal"/>
    <w:rsid w:val="00A92456"/>
    <w:pPr>
      <w:widowControl w:val="0"/>
      <w:spacing w:line="360" w:lineRule="atLeast"/>
    </w:pPr>
    <w:rPr>
      <w:rFonts w:ascii="Arial" w:eastAsia="Times New Roman" w:hAnsi="Arial" w:cs="Times New Roman"/>
      <w:szCs w:val="20"/>
      <w:lang w:eastAsia="es-ES"/>
    </w:rPr>
  </w:style>
  <w:style w:type="character" w:customStyle="1" w:styleId="Ttulo2Car">
    <w:name w:val="Título 2 Car"/>
    <w:basedOn w:val="Fuentedeprrafopredeter"/>
    <w:link w:val="Ttulo2"/>
    <w:uiPriority w:val="9"/>
    <w:rsid w:val="00BF3BF6"/>
    <w:rPr>
      <w:rFonts w:ascii="Verdana" w:hAnsi="Verdana"/>
      <w:spacing w:val="15"/>
      <w:lang w:val="es-ES"/>
    </w:rPr>
  </w:style>
  <w:style w:type="character" w:styleId="Hipervnculo">
    <w:name w:val="Hyperlink"/>
    <w:basedOn w:val="Fuentedeprrafopredeter"/>
    <w:uiPriority w:val="99"/>
    <w:unhideWhenUsed/>
    <w:rsid w:val="009E63D6"/>
    <w:rPr>
      <w:color w:val="0563C1" w:themeColor="hyperlink"/>
      <w:u w:val="single"/>
    </w:rPr>
  </w:style>
  <w:style w:type="paragraph" w:styleId="Textoindependiente20">
    <w:name w:val="Body Text 2"/>
    <w:basedOn w:val="Normal"/>
    <w:link w:val="Textoindependiente2Car"/>
    <w:uiPriority w:val="99"/>
    <w:unhideWhenUsed/>
    <w:rsid w:val="00801940"/>
    <w:pPr>
      <w:spacing w:after="120" w:line="480" w:lineRule="auto"/>
    </w:pPr>
    <w:rPr>
      <w:lang w:val="es-CL"/>
    </w:rPr>
  </w:style>
  <w:style w:type="character" w:customStyle="1" w:styleId="Textoindependiente2Car">
    <w:name w:val="Texto independiente 2 Car"/>
    <w:basedOn w:val="Fuentedeprrafopredeter"/>
    <w:link w:val="Textoindependiente20"/>
    <w:uiPriority w:val="99"/>
    <w:rsid w:val="00801940"/>
    <w:rPr>
      <w:sz w:val="22"/>
      <w:szCs w:val="22"/>
      <w:lang w:val="es-CL"/>
    </w:rPr>
  </w:style>
  <w:style w:type="paragraph" w:customStyle="1" w:styleId="JuPara">
    <w:name w:val="Ju_Para"/>
    <w:basedOn w:val="Normal"/>
    <w:rsid w:val="00801940"/>
    <w:pPr>
      <w:suppressAutoHyphens/>
      <w:ind w:firstLine="284"/>
      <w:jc w:val="both"/>
    </w:pPr>
    <w:rPr>
      <w:rFonts w:ascii="Times New Roman" w:eastAsia="Times New Roman" w:hAnsi="Times New Roman" w:cs="Times New Roman"/>
      <w:szCs w:val="20"/>
      <w:lang w:val="en-GB" w:eastAsia="es-ES"/>
    </w:rPr>
  </w:style>
  <w:style w:type="paragraph" w:styleId="Piedepgina">
    <w:name w:val="footer"/>
    <w:basedOn w:val="Normal"/>
    <w:link w:val="PiedepginaCar"/>
    <w:uiPriority w:val="99"/>
    <w:unhideWhenUsed/>
    <w:rsid w:val="00566731"/>
    <w:pPr>
      <w:tabs>
        <w:tab w:val="center" w:pos="4419"/>
        <w:tab w:val="right" w:pos="8838"/>
      </w:tabs>
    </w:pPr>
  </w:style>
  <w:style w:type="character" w:customStyle="1" w:styleId="PiedepginaCar">
    <w:name w:val="Pie de página Car"/>
    <w:basedOn w:val="Fuentedeprrafopredeter"/>
    <w:link w:val="Piedepgina"/>
    <w:uiPriority w:val="99"/>
    <w:rsid w:val="00566731"/>
  </w:style>
  <w:style w:type="character" w:styleId="Nmerodepgina">
    <w:name w:val="page number"/>
    <w:basedOn w:val="Fuentedeprrafopredeter"/>
    <w:uiPriority w:val="99"/>
    <w:semiHidden/>
    <w:unhideWhenUsed/>
    <w:rsid w:val="00566731"/>
  </w:style>
  <w:style w:type="character" w:styleId="Textoennegrita">
    <w:name w:val="Strong"/>
    <w:uiPriority w:val="22"/>
    <w:qFormat/>
    <w:rsid w:val="00E400DD"/>
    <w:rPr>
      <w:b/>
      <w:bCs/>
      <w:color w:val="C45911" w:themeColor="accent2" w:themeShade="BF"/>
      <w:spacing w:val="5"/>
    </w:rPr>
  </w:style>
  <w:style w:type="character" w:customStyle="1" w:styleId="documentbody1">
    <w:name w:val="documentbody1"/>
    <w:basedOn w:val="Fuentedeprrafopredeter"/>
    <w:rsid w:val="00DD27BA"/>
    <w:rPr>
      <w:rFonts w:ascii="Verdana" w:hAnsi="Verdana" w:hint="default"/>
      <w:sz w:val="19"/>
      <w:szCs w:val="19"/>
    </w:rPr>
  </w:style>
  <w:style w:type="paragraph" w:styleId="Textoindependiente3">
    <w:name w:val="Body Text 3"/>
    <w:basedOn w:val="Normal"/>
    <w:link w:val="Textoindependiente3Car"/>
    <w:uiPriority w:val="99"/>
    <w:unhideWhenUsed/>
    <w:rsid w:val="00B4484A"/>
    <w:pPr>
      <w:spacing w:after="120" w:line="276" w:lineRule="auto"/>
    </w:pPr>
    <w:rPr>
      <w:sz w:val="16"/>
      <w:szCs w:val="16"/>
      <w:lang w:val="es-CL"/>
    </w:rPr>
  </w:style>
  <w:style w:type="character" w:customStyle="1" w:styleId="Textoindependiente3Car">
    <w:name w:val="Texto independiente 3 Car"/>
    <w:basedOn w:val="Fuentedeprrafopredeter"/>
    <w:link w:val="Textoindependiente3"/>
    <w:uiPriority w:val="99"/>
    <w:rsid w:val="00B4484A"/>
    <w:rPr>
      <w:sz w:val="16"/>
      <w:szCs w:val="16"/>
      <w:lang w:val="es-CL"/>
    </w:rPr>
  </w:style>
  <w:style w:type="paragraph" w:styleId="Encabezado">
    <w:name w:val="header"/>
    <w:basedOn w:val="Normal"/>
    <w:link w:val="EncabezadoCar"/>
    <w:uiPriority w:val="99"/>
    <w:unhideWhenUsed/>
    <w:rsid w:val="00D31006"/>
    <w:pPr>
      <w:tabs>
        <w:tab w:val="center" w:pos="4419"/>
        <w:tab w:val="right" w:pos="8838"/>
      </w:tabs>
    </w:pPr>
  </w:style>
  <w:style w:type="character" w:customStyle="1" w:styleId="EncabezadoCar">
    <w:name w:val="Encabezado Car"/>
    <w:basedOn w:val="Fuentedeprrafopredeter"/>
    <w:link w:val="Encabezado"/>
    <w:uiPriority w:val="99"/>
    <w:rsid w:val="00D31006"/>
  </w:style>
  <w:style w:type="paragraph" w:styleId="NormalWeb">
    <w:name w:val="Normal (Web)"/>
    <w:basedOn w:val="Normal"/>
    <w:uiPriority w:val="99"/>
    <w:unhideWhenUsed/>
    <w:rsid w:val="00DD15E4"/>
    <w:rPr>
      <w:rFonts w:ascii="Times New Roman" w:hAnsi="Times New Roman" w:cs="Times New Roman"/>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rsid w:val="00DD15E4"/>
    <w:pPr>
      <w:jc w:val="both"/>
    </w:pPr>
    <w:rPr>
      <w:vertAlign w:val="superscript"/>
    </w:rPr>
  </w:style>
  <w:style w:type="character" w:customStyle="1" w:styleId="apple-converted-space">
    <w:name w:val="apple-converted-space"/>
    <w:basedOn w:val="Fuentedeprrafopredeter"/>
    <w:rsid w:val="00E355EE"/>
  </w:style>
  <w:style w:type="character" w:styleId="nfasis">
    <w:name w:val="Emphasis"/>
    <w:uiPriority w:val="20"/>
    <w:qFormat/>
    <w:rsid w:val="00E400DD"/>
    <w:rPr>
      <w:caps/>
      <w:spacing w:val="5"/>
      <w:sz w:val="20"/>
      <w:szCs w:val="20"/>
    </w:rPr>
  </w:style>
  <w:style w:type="paragraph" w:styleId="Textonotaalfinal">
    <w:name w:val="endnote text"/>
    <w:basedOn w:val="Normal"/>
    <w:link w:val="TextonotaalfinalCar"/>
    <w:uiPriority w:val="99"/>
    <w:semiHidden/>
    <w:unhideWhenUsed/>
    <w:rsid w:val="00987FF9"/>
  </w:style>
  <w:style w:type="character" w:customStyle="1" w:styleId="TextonotaalfinalCar">
    <w:name w:val="Texto nota al final Car"/>
    <w:basedOn w:val="Fuentedeprrafopredeter"/>
    <w:link w:val="Textonotaalfinal"/>
    <w:uiPriority w:val="99"/>
    <w:semiHidden/>
    <w:rsid w:val="00987FF9"/>
  </w:style>
  <w:style w:type="character" w:styleId="Refdenotaalfinal">
    <w:name w:val="endnote reference"/>
    <w:basedOn w:val="Fuentedeprrafopredeter"/>
    <w:uiPriority w:val="99"/>
    <w:semiHidden/>
    <w:unhideWhenUsed/>
    <w:rsid w:val="00987FF9"/>
    <w:rPr>
      <w:vertAlign w:val="superscript"/>
    </w:rPr>
  </w:style>
  <w:style w:type="paragraph" w:styleId="Sinespaciado">
    <w:name w:val="No Spacing"/>
    <w:basedOn w:val="Normal"/>
    <w:link w:val="SinespaciadoCar"/>
    <w:uiPriority w:val="1"/>
    <w:qFormat/>
    <w:rsid w:val="00E400DD"/>
    <w:pPr>
      <w:spacing w:after="0" w:line="240" w:lineRule="auto"/>
    </w:pPr>
  </w:style>
  <w:style w:type="character" w:customStyle="1" w:styleId="normal--char">
    <w:name w:val="normal--char"/>
    <w:basedOn w:val="Fuentedeprrafopredeter"/>
    <w:rsid w:val="005B1BAE"/>
  </w:style>
  <w:style w:type="character" w:customStyle="1" w:styleId="Ttulo3Car">
    <w:name w:val="Título 3 Car"/>
    <w:basedOn w:val="Fuentedeprrafopredeter"/>
    <w:link w:val="Ttulo3"/>
    <w:uiPriority w:val="9"/>
    <w:rsid w:val="00BF3BF6"/>
    <w:rPr>
      <w:rFonts w:ascii="Verdana" w:hAnsi="Verdana"/>
      <w:caps/>
      <w:sz w:val="20"/>
      <w:szCs w:val="20"/>
      <w:lang w:val="es-ES"/>
    </w:rPr>
  </w:style>
  <w:style w:type="character" w:customStyle="1" w:styleId="Ttulo4Car">
    <w:name w:val="Título 4 Car"/>
    <w:basedOn w:val="Fuentedeprrafopredeter"/>
    <w:link w:val="Ttulo4"/>
    <w:uiPriority w:val="9"/>
    <w:rsid w:val="00215583"/>
    <w:rPr>
      <w:caps/>
      <w:spacing w:val="10"/>
    </w:rPr>
  </w:style>
  <w:style w:type="character" w:customStyle="1" w:styleId="Ttulo5Car">
    <w:name w:val="Título 5 Car"/>
    <w:basedOn w:val="Fuentedeprrafopredeter"/>
    <w:link w:val="Ttulo5"/>
    <w:uiPriority w:val="9"/>
    <w:semiHidden/>
    <w:rsid w:val="00E400DD"/>
    <w:rPr>
      <w:caps/>
      <w:color w:val="823B0B" w:themeColor="accent2" w:themeShade="7F"/>
      <w:spacing w:val="10"/>
    </w:rPr>
  </w:style>
  <w:style w:type="character" w:customStyle="1" w:styleId="Ttulo6Car">
    <w:name w:val="Título 6 Car"/>
    <w:basedOn w:val="Fuentedeprrafopredeter"/>
    <w:link w:val="Ttulo6"/>
    <w:uiPriority w:val="9"/>
    <w:semiHidden/>
    <w:rsid w:val="00E400DD"/>
    <w:rPr>
      <w:caps/>
      <w:color w:val="C45911" w:themeColor="accent2" w:themeShade="BF"/>
      <w:spacing w:val="10"/>
    </w:rPr>
  </w:style>
  <w:style w:type="character" w:customStyle="1" w:styleId="Ttulo7Car">
    <w:name w:val="Título 7 Car"/>
    <w:basedOn w:val="Fuentedeprrafopredeter"/>
    <w:link w:val="Ttulo7"/>
    <w:uiPriority w:val="9"/>
    <w:semiHidden/>
    <w:rsid w:val="00E400DD"/>
    <w:rPr>
      <w:i/>
      <w:iCs/>
      <w:caps/>
      <w:color w:val="C45911" w:themeColor="accent2" w:themeShade="BF"/>
      <w:spacing w:val="10"/>
    </w:rPr>
  </w:style>
  <w:style w:type="character" w:customStyle="1" w:styleId="Ttulo8Car">
    <w:name w:val="Título 8 Car"/>
    <w:basedOn w:val="Fuentedeprrafopredeter"/>
    <w:link w:val="Ttulo8"/>
    <w:uiPriority w:val="9"/>
    <w:semiHidden/>
    <w:rsid w:val="00E400DD"/>
    <w:rPr>
      <w:caps/>
      <w:spacing w:val="10"/>
      <w:sz w:val="20"/>
      <w:szCs w:val="20"/>
    </w:rPr>
  </w:style>
  <w:style w:type="character" w:customStyle="1" w:styleId="Ttulo9Car">
    <w:name w:val="Título 9 Car"/>
    <w:basedOn w:val="Fuentedeprrafopredeter"/>
    <w:link w:val="Ttulo9"/>
    <w:uiPriority w:val="9"/>
    <w:semiHidden/>
    <w:rsid w:val="00E400DD"/>
    <w:rPr>
      <w:i/>
      <w:iCs/>
      <w:caps/>
      <w:spacing w:val="10"/>
      <w:sz w:val="20"/>
      <w:szCs w:val="20"/>
    </w:rPr>
  </w:style>
  <w:style w:type="paragraph" w:styleId="Descripcin">
    <w:name w:val="caption"/>
    <w:basedOn w:val="Normal"/>
    <w:next w:val="Normal"/>
    <w:uiPriority w:val="35"/>
    <w:semiHidden/>
    <w:unhideWhenUsed/>
    <w:qFormat/>
    <w:rsid w:val="00E400DD"/>
    <w:rPr>
      <w:caps/>
      <w:spacing w:val="10"/>
      <w:sz w:val="18"/>
      <w:szCs w:val="18"/>
    </w:rPr>
  </w:style>
  <w:style w:type="paragraph" w:styleId="Ttulo">
    <w:name w:val="Title"/>
    <w:basedOn w:val="Normal"/>
    <w:next w:val="Normal"/>
    <w:link w:val="TtuloCar"/>
    <w:uiPriority w:val="10"/>
    <w:qFormat/>
    <w:rsid w:val="00E400DD"/>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tuloCar">
    <w:name w:val="Título Car"/>
    <w:basedOn w:val="Fuentedeprrafopredeter"/>
    <w:link w:val="Ttulo"/>
    <w:uiPriority w:val="10"/>
    <w:rsid w:val="00E400DD"/>
    <w:rPr>
      <w:caps/>
      <w:color w:val="833C0B" w:themeColor="accent2" w:themeShade="80"/>
      <w:spacing w:val="50"/>
      <w:sz w:val="44"/>
      <w:szCs w:val="44"/>
    </w:rPr>
  </w:style>
  <w:style w:type="paragraph" w:styleId="Subttulo">
    <w:name w:val="Subtitle"/>
    <w:basedOn w:val="Normal"/>
    <w:next w:val="Normal"/>
    <w:link w:val="SubttuloCar"/>
    <w:uiPriority w:val="11"/>
    <w:qFormat/>
    <w:rsid w:val="00E400DD"/>
    <w:pPr>
      <w:spacing w:after="560" w:line="240" w:lineRule="auto"/>
      <w:jc w:val="center"/>
    </w:pPr>
    <w:rPr>
      <w:caps/>
      <w:spacing w:val="20"/>
      <w:sz w:val="18"/>
      <w:szCs w:val="18"/>
    </w:rPr>
  </w:style>
  <w:style w:type="character" w:customStyle="1" w:styleId="SubttuloCar">
    <w:name w:val="Subtítulo Car"/>
    <w:basedOn w:val="Fuentedeprrafopredeter"/>
    <w:link w:val="Subttulo"/>
    <w:uiPriority w:val="11"/>
    <w:rsid w:val="00E400DD"/>
    <w:rPr>
      <w:caps/>
      <w:spacing w:val="20"/>
      <w:sz w:val="18"/>
      <w:szCs w:val="18"/>
    </w:rPr>
  </w:style>
  <w:style w:type="character" w:customStyle="1" w:styleId="SinespaciadoCar">
    <w:name w:val="Sin espaciado Car"/>
    <w:basedOn w:val="Fuentedeprrafopredeter"/>
    <w:link w:val="Sinespaciado"/>
    <w:uiPriority w:val="1"/>
    <w:rsid w:val="00E400DD"/>
  </w:style>
  <w:style w:type="paragraph" w:styleId="Cita">
    <w:name w:val="Quote"/>
    <w:basedOn w:val="Normal"/>
    <w:next w:val="Normal"/>
    <w:link w:val="CitaCar"/>
    <w:uiPriority w:val="29"/>
    <w:qFormat/>
    <w:rsid w:val="00E400DD"/>
    <w:rPr>
      <w:i/>
      <w:iCs/>
    </w:rPr>
  </w:style>
  <w:style w:type="character" w:customStyle="1" w:styleId="CitaCar">
    <w:name w:val="Cita Car"/>
    <w:basedOn w:val="Fuentedeprrafopredeter"/>
    <w:link w:val="Cita"/>
    <w:uiPriority w:val="29"/>
    <w:rsid w:val="00E400DD"/>
    <w:rPr>
      <w:i/>
      <w:iCs/>
    </w:rPr>
  </w:style>
  <w:style w:type="paragraph" w:styleId="Citadestacada">
    <w:name w:val="Intense Quote"/>
    <w:basedOn w:val="Normal"/>
    <w:next w:val="Normal"/>
    <w:link w:val="CitadestacadaCar"/>
    <w:uiPriority w:val="30"/>
    <w:qFormat/>
    <w:rsid w:val="00E400DD"/>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CitadestacadaCar">
    <w:name w:val="Cita destacada Car"/>
    <w:basedOn w:val="Fuentedeprrafopredeter"/>
    <w:link w:val="Citadestacada"/>
    <w:uiPriority w:val="30"/>
    <w:rsid w:val="00E400DD"/>
    <w:rPr>
      <w:caps/>
      <w:color w:val="823B0B" w:themeColor="accent2" w:themeShade="7F"/>
      <w:spacing w:val="5"/>
      <w:sz w:val="20"/>
      <w:szCs w:val="20"/>
    </w:rPr>
  </w:style>
  <w:style w:type="character" w:styleId="nfasissutil">
    <w:name w:val="Subtle Emphasis"/>
    <w:uiPriority w:val="19"/>
    <w:qFormat/>
    <w:rsid w:val="00E400DD"/>
    <w:rPr>
      <w:i/>
      <w:iCs/>
    </w:rPr>
  </w:style>
  <w:style w:type="character" w:styleId="nfasisintenso">
    <w:name w:val="Intense Emphasis"/>
    <w:uiPriority w:val="21"/>
    <w:qFormat/>
    <w:rsid w:val="00E400DD"/>
    <w:rPr>
      <w:i/>
      <w:iCs/>
      <w:caps/>
      <w:spacing w:val="10"/>
      <w:sz w:val="20"/>
      <w:szCs w:val="20"/>
    </w:rPr>
  </w:style>
  <w:style w:type="character" w:styleId="Referenciasutil">
    <w:name w:val="Subtle Reference"/>
    <w:basedOn w:val="Fuentedeprrafopredeter"/>
    <w:uiPriority w:val="31"/>
    <w:qFormat/>
    <w:rsid w:val="00E400DD"/>
    <w:rPr>
      <w:rFonts w:asciiTheme="minorHAnsi" w:eastAsiaTheme="minorEastAsia" w:hAnsiTheme="minorHAnsi" w:cstheme="minorBidi"/>
      <w:i/>
      <w:iCs/>
      <w:color w:val="823B0B" w:themeColor="accent2" w:themeShade="7F"/>
    </w:rPr>
  </w:style>
  <w:style w:type="character" w:styleId="Referenciaintensa">
    <w:name w:val="Intense Reference"/>
    <w:uiPriority w:val="32"/>
    <w:qFormat/>
    <w:rsid w:val="00E400DD"/>
    <w:rPr>
      <w:rFonts w:asciiTheme="minorHAnsi" w:eastAsiaTheme="minorEastAsia" w:hAnsiTheme="minorHAnsi" w:cstheme="minorBidi"/>
      <w:b/>
      <w:bCs/>
      <w:i/>
      <w:iCs/>
      <w:color w:val="823B0B" w:themeColor="accent2" w:themeShade="7F"/>
    </w:rPr>
  </w:style>
  <w:style w:type="character" w:styleId="Ttulodellibro">
    <w:name w:val="Book Title"/>
    <w:uiPriority w:val="33"/>
    <w:qFormat/>
    <w:rsid w:val="00E400DD"/>
    <w:rPr>
      <w:caps/>
      <w:color w:val="823B0B" w:themeColor="accent2" w:themeShade="7F"/>
      <w:spacing w:val="5"/>
      <w:u w:color="823B0B" w:themeColor="accent2"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7870">
      <w:bodyDiv w:val="1"/>
      <w:marLeft w:val="0"/>
      <w:marRight w:val="0"/>
      <w:marTop w:val="0"/>
      <w:marBottom w:val="0"/>
      <w:divBdr>
        <w:top w:val="none" w:sz="0" w:space="0" w:color="auto"/>
        <w:left w:val="none" w:sz="0" w:space="0" w:color="auto"/>
        <w:bottom w:val="none" w:sz="0" w:space="0" w:color="auto"/>
        <w:right w:val="none" w:sz="0" w:space="0" w:color="auto"/>
      </w:divBdr>
    </w:div>
    <w:div w:id="55977804">
      <w:bodyDiv w:val="1"/>
      <w:marLeft w:val="0"/>
      <w:marRight w:val="0"/>
      <w:marTop w:val="0"/>
      <w:marBottom w:val="0"/>
      <w:divBdr>
        <w:top w:val="none" w:sz="0" w:space="0" w:color="auto"/>
        <w:left w:val="none" w:sz="0" w:space="0" w:color="auto"/>
        <w:bottom w:val="none" w:sz="0" w:space="0" w:color="auto"/>
        <w:right w:val="none" w:sz="0" w:space="0" w:color="auto"/>
      </w:divBdr>
      <w:divsChild>
        <w:div w:id="1858616785">
          <w:marLeft w:val="0"/>
          <w:marRight w:val="0"/>
          <w:marTop w:val="0"/>
          <w:marBottom w:val="0"/>
          <w:divBdr>
            <w:top w:val="none" w:sz="0" w:space="0" w:color="auto"/>
            <w:left w:val="none" w:sz="0" w:space="0" w:color="auto"/>
            <w:bottom w:val="none" w:sz="0" w:space="0" w:color="auto"/>
            <w:right w:val="none" w:sz="0" w:space="0" w:color="auto"/>
          </w:divBdr>
          <w:divsChild>
            <w:div w:id="1104347522">
              <w:marLeft w:val="0"/>
              <w:marRight w:val="0"/>
              <w:marTop w:val="0"/>
              <w:marBottom w:val="0"/>
              <w:divBdr>
                <w:top w:val="none" w:sz="0" w:space="0" w:color="auto"/>
                <w:left w:val="none" w:sz="0" w:space="0" w:color="auto"/>
                <w:bottom w:val="none" w:sz="0" w:space="0" w:color="auto"/>
                <w:right w:val="none" w:sz="0" w:space="0" w:color="auto"/>
              </w:divBdr>
              <w:divsChild>
                <w:div w:id="26268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66765">
      <w:bodyDiv w:val="1"/>
      <w:marLeft w:val="0"/>
      <w:marRight w:val="0"/>
      <w:marTop w:val="0"/>
      <w:marBottom w:val="0"/>
      <w:divBdr>
        <w:top w:val="none" w:sz="0" w:space="0" w:color="auto"/>
        <w:left w:val="none" w:sz="0" w:space="0" w:color="auto"/>
        <w:bottom w:val="none" w:sz="0" w:space="0" w:color="auto"/>
        <w:right w:val="none" w:sz="0" w:space="0" w:color="auto"/>
      </w:divBdr>
    </w:div>
    <w:div w:id="129061601">
      <w:bodyDiv w:val="1"/>
      <w:marLeft w:val="0"/>
      <w:marRight w:val="0"/>
      <w:marTop w:val="0"/>
      <w:marBottom w:val="0"/>
      <w:divBdr>
        <w:top w:val="none" w:sz="0" w:space="0" w:color="auto"/>
        <w:left w:val="none" w:sz="0" w:space="0" w:color="auto"/>
        <w:bottom w:val="none" w:sz="0" w:space="0" w:color="auto"/>
        <w:right w:val="none" w:sz="0" w:space="0" w:color="auto"/>
      </w:divBdr>
    </w:div>
    <w:div w:id="132138243">
      <w:bodyDiv w:val="1"/>
      <w:marLeft w:val="0"/>
      <w:marRight w:val="0"/>
      <w:marTop w:val="0"/>
      <w:marBottom w:val="0"/>
      <w:divBdr>
        <w:top w:val="none" w:sz="0" w:space="0" w:color="auto"/>
        <w:left w:val="none" w:sz="0" w:space="0" w:color="auto"/>
        <w:bottom w:val="none" w:sz="0" w:space="0" w:color="auto"/>
        <w:right w:val="none" w:sz="0" w:space="0" w:color="auto"/>
      </w:divBdr>
    </w:div>
    <w:div w:id="154297683">
      <w:bodyDiv w:val="1"/>
      <w:marLeft w:val="0"/>
      <w:marRight w:val="0"/>
      <w:marTop w:val="0"/>
      <w:marBottom w:val="0"/>
      <w:divBdr>
        <w:top w:val="none" w:sz="0" w:space="0" w:color="auto"/>
        <w:left w:val="none" w:sz="0" w:space="0" w:color="auto"/>
        <w:bottom w:val="none" w:sz="0" w:space="0" w:color="auto"/>
        <w:right w:val="none" w:sz="0" w:space="0" w:color="auto"/>
      </w:divBdr>
      <w:divsChild>
        <w:div w:id="1996301712">
          <w:marLeft w:val="0"/>
          <w:marRight w:val="0"/>
          <w:marTop w:val="0"/>
          <w:marBottom w:val="0"/>
          <w:divBdr>
            <w:top w:val="none" w:sz="0" w:space="0" w:color="auto"/>
            <w:left w:val="none" w:sz="0" w:space="0" w:color="auto"/>
            <w:bottom w:val="none" w:sz="0" w:space="0" w:color="auto"/>
            <w:right w:val="none" w:sz="0" w:space="0" w:color="auto"/>
          </w:divBdr>
          <w:divsChild>
            <w:div w:id="1107963296">
              <w:marLeft w:val="0"/>
              <w:marRight w:val="0"/>
              <w:marTop w:val="0"/>
              <w:marBottom w:val="0"/>
              <w:divBdr>
                <w:top w:val="none" w:sz="0" w:space="0" w:color="auto"/>
                <w:left w:val="none" w:sz="0" w:space="0" w:color="auto"/>
                <w:bottom w:val="none" w:sz="0" w:space="0" w:color="auto"/>
                <w:right w:val="none" w:sz="0" w:space="0" w:color="auto"/>
              </w:divBdr>
              <w:divsChild>
                <w:div w:id="99676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79977">
      <w:bodyDiv w:val="1"/>
      <w:marLeft w:val="0"/>
      <w:marRight w:val="0"/>
      <w:marTop w:val="0"/>
      <w:marBottom w:val="0"/>
      <w:divBdr>
        <w:top w:val="none" w:sz="0" w:space="0" w:color="auto"/>
        <w:left w:val="none" w:sz="0" w:space="0" w:color="auto"/>
        <w:bottom w:val="none" w:sz="0" w:space="0" w:color="auto"/>
        <w:right w:val="none" w:sz="0" w:space="0" w:color="auto"/>
      </w:divBdr>
    </w:div>
    <w:div w:id="191304086">
      <w:bodyDiv w:val="1"/>
      <w:marLeft w:val="0"/>
      <w:marRight w:val="0"/>
      <w:marTop w:val="0"/>
      <w:marBottom w:val="0"/>
      <w:divBdr>
        <w:top w:val="none" w:sz="0" w:space="0" w:color="auto"/>
        <w:left w:val="none" w:sz="0" w:space="0" w:color="auto"/>
        <w:bottom w:val="none" w:sz="0" w:space="0" w:color="auto"/>
        <w:right w:val="none" w:sz="0" w:space="0" w:color="auto"/>
      </w:divBdr>
    </w:div>
    <w:div w:id="255139751">
      <w:bodyDiv w:val="1"/>
      <w:marLeft w:val="0"/>
      <w:marRight w:val="0"/>
      <w:marTop w:val="0"/>
      <w:marBottom w:val="0"/>
      <w:divBdr>
        <w:top w:val="none" w:sz="0" w:space="0" w:color="auto"/>
        <w:left w:val="none" w:sz="0" w:space="0" w:color="auto"/>
        <w:bottom w:val="none" w:sz="0" w:space="0" w:color="auto"/>
        <w:right w:val="none" w:sz="0" w:space="0" w:color="auto"/>
      </w:divBdr>
    </w:div>
    <w:div w:id="256062417">
      <w:bodyDiv w:val="1"/>
      <w:marLeft w:val="0"/>
      <w:marRight w:val="0"/>
      <w:marTop w:val="0"/>
      <w:marBottom w:val="0"/>
      <w:divBdr>
        <w:top w:val="none" w:sz="0" w:space="0" w:color="auto"/>
        <w:left w:val="none" w:sz="0" w:space="0" w:color="auto"/>
        <w:bottom w:val="none" w:sz="0" w:space="0" w:color="auto"/>
        <w:right w:val="none" w:sz="0" w:space="0" w:color="auto"/>
      </w:divBdr>
    </w:div>
    <w:div w:id="283925217">
      <w:bodyDiv w:val="1"/>
      <w:marLeft w:val="0"/>
      <w:marRight w:val="0"/>
      <w:marTop w:val="0"/>
      <w:marBottom w:val="0"/>
      <w:divBdr>
        <w:top w:val="none" w:sz="0" w:space="0" w:color="auto"/>
        <w:left w:val="none" w:sz="0" w:space="0" w:color="auto"/>
        <w:bottom w:val="none" w:sz="0" w:space="0" w:color="auto"/>
        <w:right w:val="none" w:sz="0" w:space="0" w:color="auto"/>
      </w:divBdr>
    </w:div>
    <w:div w:id="321083801">
      <w:bodyDiv w:val="1"/>
      <w:marLeft w:val="0"/>
      <w:marRight w:val="0"/>
      <w:marTop w:val="0"/>
      <w:marBottom w:val="0"/>
      <w:divBdr>
        <w:top w:val="none" w:sz="0" w:space="0" w:color="auto"/>
        <w:left w:val="none" w:sz="0" w:space="0" w:color="auto"/>
        <w:bottom w:val="none" w:sz="0" w:space="0" w:color="auto"/>
        <w:right w:val="none" w:sz="0" w:space="0" w:color="auto"/>
      </w:divBdr>
    </w:div>
    <w:div w:id="395199940">
      <w:bodyDiv w:val="1"/>
      <w:marLeft w:val="0"/>
      <w:marRight w:val="0"/>
      <w:marTop w:val="0"/>
      <w:marBottom w:val="0"/>
      <w:divBdr>
        <w:top w:val="none" w:sz="0" w:space="0" w:color="auto"/>
        <w:left w:val="none" w:sz="0" w:space="0" w:color="auto"/>
        <w:bottom w:val="none" w:sz="0" w:space="0" w:color="auto"/>
        <w:right w:val="none" w:sz="0" w:space="0" w:color="auto"/>
      </w:divBdr>
    </w:div>
    <w:div w:id="404299821">
      <w:bodyDiv w:val="1"/>
      <w:marLeft w:val="0"/>
      <w:marRight w:val="0"/>
      <w:marTop w:val="0"/>
      <w:marBottom w:val="0"/>
      <w:divBdr>
        <w:top w:val="none" w:sz="0" w:space="0" w:color="auto"/>
        <w:left w:val="none" w:sz="0" w:space="0" w:color="auto"/>
        <w:bottom w:val="none" w:sz="0" w:space="0" w:color="auto"/>
        <w:right w:val="none" w:sz="0" w:space="0" w:color="auto"/>
      </w:divBdr>
    </w:div>
    <w:div w:id="460076139">
      <w:bodyDiv w:val="1"/>
      <w:marLeft w:val="0"/>
      <w:marRight w:val="0"/>
      <w:marTop w:val="0"/>
      <w:marBottom w:val="0"/>
      <w:divBdr>
        <w:top w:val="none" w:sz="0" w:space="0" w:color="auto"/>
        <w:left w:val="none" w:sz="0" w:space="0" w:color="auto"/>
        <w:bottom w:val="none" w:sz="0" w:space="0" w:color="auto"/>
        <w:right w:val="none" w:sz="0" w:space="0" w:color="auto"/>
      </w:divBdr>
    </w:div>
    <w:div w:id="624586100">
      <w:bodyDiv w:val="1"/>
      <w:marLeft w:val="0"/>
      <w:marRight w:val="0"/>
      <w:marTop w:val="0"/>
      <w:marBottom w:val="0"/>
      <w:divBdr>
        <w:top w:val="none" w:sz="0" w:space="0" w:color="auto"/>
        <w:left w:val="none" w:sz="0" w:space="0" w:color="auto"/>
        <w:bottom w:val="none" w:sz="0" w:space="0" w:color="auto"/>
        <w:right w:val="none" w:sz="0" w:space="0" w:color="auto"/>
      </w:divBdr>
    </w:div>
    <w:div w:id="637607832">
      <w:bodyDiv w:val="1"/>
      <w:marLeft w:val="0"/>
      <w:marRight w:val="0"/>
      <w:marTop w:val="0"/>
      <w:marBottom w:val="0"/>
      <w:divBdr>
        <w:top w:val="none" w:sz="0" w:space="0" w:color="auto"/>
        <w:left w:val="none" w:sz="0" w:space="0" w:color="auto"/>
        <w:bottom w:val="none" w:sz="0" w:space="0" w:color="auto"/>
        <w:right w:val="none" w:sz="0" w:space="0" w:color="auto"/>
      </w:divBdr>
    </w:div>
    <w:div w:id="767382855">
      <w:bodyDiv w:val="1"/>
      <w:marLeft w:val="0"/>
      <w:marRight w:val="0"/>
      <w:marTop w:val="0"/>
      <w:marBottom w:val="0"/>
      <w:divBdr>
        <w:top w:val="none" w:sz="0" w:space="0" w:color="auto"/>
        <w:left w:val="none" w:sz="0" w:space="0" w:color="auto"/>
        <w:bottom w:val="none" w:sz="0" w:space="0" w:color="auto"/>
        <w:right w:val="none" w:sz="0" w:space="0" w:color="auto"/>
      </w:divBdr>
    </w:div>
    <w:div w:id="781455527">
      <w:bodyDiv w:val="1"/>
      <w:marLeft w:val="0"/>
      <w:marRight w:val="0"/>
      <w:marTop w:val="0"/>
      <w:marBottom w:val="0"/>
      <w:divBdr>
        <w:top w:val="none" w:sz="0" w:space="0" w:color="auto"/>
        <w:left w:val="none" w:sz="0" w:space="0" w:color="auto"/>
        <w:bottom w:val="none" w:sz="0" w:space="0" w:color="auto"/>
        <w:right w:val="none" w:sz="0" w:space="0" w:color="auto"/>
      </w:divBdr>
    </w:div>
    <w:div w:id="810630399">
      <w:bodyDiv w:val="1"/>
      <w:marLeft w:val="0"/>
      <w:marRight w:val="0"/>
      <w:marTop w:val="0"/>
      <w:marBottom w:val="0"/>
      <w:divBdr>
        <w:top w:val="none" w:sz="0" w:space="0" w:color="auto"/>
        <w:left w:val="none" w:sz="0" w:space="0" w:color="auto"/>
        <w:bottom w:val="none" w:sz="0" w:space="0" w:color="auto"/>
        <w:right w:val="none" w:sz="0" w:space="0" w:color="auto"/>
      </w:divBdr>
    </w:div>
    <w:div w:id="813061877">
      <w:bodyDiv w:val="1"/>
      <w:marLeft w:val="0"/>
      <w:marRight w:val="0"/>
      <w:marTop w:val="0"/>
      <w:marBottom w:val="0"/>
      <w:divBdr>
        <w:top w:val="none" w:sz="0" w:space="0" w:color="auto"/>
        <w:left w:val="none" w:sz="0" w:space="0" w:color="auto"/>
        <w:bottom w:val="none" w:sz="0" w:space="0" w:color="auto"/>
        <w:right w:val="none" w:sz="0" w:space="0" w:color="auto"/>
      </w:divBdr>
    </w:div>
    <w:div w:id="836382687">
      <w:bodyDiv w:val="1"/>
      <w:marLeft w:val="0"/>
      <w:marRight w:val="0"/>
      <w:marTop w:val="0"/>
      <w:marBottom w:val="0"/>
      <w:divBdr>
        <w:top w:val="none" w:sz="0" w:space="0" w:color="auto"/>
        <w:left w:val="none" w:sz="0" w:space="0" w:color="auto"/>
        <w:bottom w:val="none" w:sz="0" w:space="0" w:color="auto"/>
        <w:right w:val="none" w:sz="0" w:space="0" w:color="auto"/>
      </w:divBdr>
    </w:div>
    <w:div w:id="861748095">
      <w:bodyDiv w:val="1"/>
      <w:marLeft w:val="0"/>
      <w:marRight w:val="0"/>
      <w:marTop w:val="0"/>
      <w:marBottom w:val="0"/>
      <w:divBdr>
        <w:top w:val="none" w:sz="0" w:space="0" w:color="auto"/>
        <w:left w:val="none" w:sz="0" w:space="0" w:color="auto"/>
        <w:bottom w:val="none" w:sz="0" w:space="0" w:color="auto"/>
        <w:right w:val="none" w:sz="0" w:space="0" w:color="auto"/>
      </w:divBdr>
    </w:div>
    <w:div w:id="862673996">
      <w:bodyDiv w:val="1"/>
      <w:marLeft w:val="0"/>
      <w:marRight w:val="0"/>
      <w:marTop w:val="0"/>
      <w:marBottom w:val="0"/>
      <w:divBdr>
        <w:top w:val="none" w:sz="0" w:space="0" w:color="auto"/>
        <w:left w:val="none" w:sz="0" w:space="0" w:color="auto"/>
        <w:bottom w:val="none" w:sz="0" w:space="0" w:color="auto"/>
        <w:right w:val="none" w:sz="0" w:space="0" w:color="auto"/>
      </w:divBdr>
    </w:div>
    <w:div w:id="866017360">
      <w:bodyDiv w:val="1"/>
      <w:marLeft w:val="0"/>
      <w:marRight w:val="0"/>
      <w:marTop w:val="0"/>
      <w:marBottom w:val="0"/>
      <w:divBdr>
        <w:top w:val="none" w:sz="0" w:space="0" w:color="auto"/>
        <w:left w:val="none" w:sz="0" w:space="0" w:color="auto"/>
        <w:bottom w:val="none" w:sz="0" w:space="0" w:color="auto"/>
        <w:right w:val="none" w:sz="0" w:space="0" w:color="auto"/>
      </w:divBdr>
    </w:div>
    <w:div w:id="883063527">
      <w:bodyDiv w:val="1"/>
      <w:marLeft w:val="0"/>
      <w:marRight w:val="0"/>
      <w:marTop w:val="0"/>
      <w:marBottom w:val="0"/>
      <w:divBdr>
        <w:top w:val="none" w:sz="0" w:space="0" w:color="auto"/>
        <w:left w:val="none" w:sz="0" w:space="0" w:color="auto"/>
        <w:bottom w:val="none" w:sz="0" w:space="0" w:color="auto"/>
        <w:right w:val="none" w:sz="0" w:space="0" w:color="auto"/>
      </w:divBdr>
    </w:div>
    <w:div w:id="923415547">
      <w:bodyDiv w:val="1"/>
      <w:marLeft w:val="0"/>
      <w:marRight w:val="0"/>
      <w:marTop w:val="0"/>
      <w:marBottom w:val="0"/>
      <w:divBdr>
        <w:top w:val="none" w:sz="0" w:space="0" w:color="auto"/>
        <w:left w:val="none" w:sz="0" w:space="0" w:color="auto"/>
        <w:bottom w:val="none" w:sz="0" w:space="0" w:color="auto"/>
        <w:right w:val="none" w:sz="0" w:space="0" w:color="auto"/>
      </w:divBdr>
    </w:div>
    <w:div w:id="1099250262">
      <w:bodyDiv w:val="1"/>
      <w:marLeft w:val="0"/>
      <w:marRight w:val="0"/>
      <w:marTop w:val="0"/>
      <w:marBottom w:val="0"/>
      <w:divBdr>
        <w:top w:val="none" w:sz="0" w:space="0" w:color="auto"/>
        <w:left w:val="none" w:sz="0" w:space="0" w:color="auto"/>
        <w:bottom w:val="none" w:sz="0" w:space="0" w:color="auto"/>
        <w:right w:val="none" w:sz="0" w:space="0" w:color="auto"/>
      </w:divBdr>
    </w:div>
    <w:div w:id="1154294635">
      <w:bodyDiv w:val="1"/>
      <w:marLeft w:val="0"/>
      <w:marRight w:val="0"/>
      <w:marTop w:val="0"/>
      <w:marBottom w:val="0"/>
      <w:divBdr>
        <w:top w:val="none" w:sz="0" w:space="0" w:color="auto"/>
        <w:left w:val="none" w:sz="0" w:space="0" w:color="auto"/>
        <w:bottom w:val="none" w:sz="0" w:space="0" w:color="auto"/>
        <w:right w:val="none" w:sz="0" w:space="0" w:color="auto"/>
      </w:divBdr>
    </w:div>
    <w:div w:id="1176266692">
      <w:bodyDiv w:val="1"/>
      <w:marLeft w:val="0"/>
      <w:marRight w:val="0"/>
      <w:marTop w:val="0"/>
      <w:marBottom w:val="0"/>
      <w:divBdr>
        <w:top w:val="none" w:sz="0" w:space="0" w:color="auto"/>
        <w:left w:val="none" w:sz="0" w:space="0" w:color="auto"/>
        <w:bottom w:val="none" w:sz="0" w:space="0" w:color="auto"/>
        <w:right w:val="none" w:sz="0" w:space="0" w:color="auto"/>
      </w:divBdr>
    </w:div>
    <w:div w:id="1268737865">
      <w:bodyDiv w:val="1"/>
      <w:marLeft w:val="0"/>
      <w:marRight w:val="0"/>
      <w:marTop w:val="0"/>
      <w:marBottom w:val="0"/>
      <w:divBdr>
        <w:top w:val="none" w:sz="0" w:space="0" w:color="auto"/>
        <w:left w:val="none" w:sz="0" w:space="0" w:color="auto"/>
        <w:bottom w:val="none" w:sz="0" w:space="0" w:color="auto"/>
        <w:right w:val="none" w:sz="0" w:space="0" w:color="auto"/>
      </w:divBdr>
    </w:div>
    <w:div w:id="1346133560">
      <w:bodyDiv w:val="1"/>
      <w:marLeft w:val="0"/>
      <w:marRight w:val="0"/>
      <w:marTop w:val="0"/>
      <w:marBottom w:val="0"/>
      <w:divBdr>
        <w:top w:val="none" w:sz="0" w:space="0" w:color="auto"/>
        <w:left w:val="none" w:sz="0" w:space="0" w:color="auto"/>
        <w:bottom w:val="none" w:sz="0" w:space="0" w:color="auto"/>
        <w:right w:val="none" w:sz="0" w:space="0" w:color="auto"/>
      </w:divBdr>
    </w:div>
    <w:div w:id="1381517494">
      <w:bodyDiv w:val="1"/>
      <w:marLeft w:val="0"/>
      <w:marRight w:val="0"/>
      <w:marTop w:val="0"/>
      <w:marBottom w:val="0"/>
      <w:divBdr>
        <w:top w:val="none" w:sz="0" w:space="0" w:color="auto"/>
        <w:left w:val="none" w:sz="0" w:space="0" w:color="auto"/>
        <w:bottom w:val="none" w:sz="0" w:space="0" w:color="auto"/>
        <w:right w:val="none" w:sz="0" w:space="0" w:color="auto"/>
      </w:divBdr>
    </w:div>
    <w:div w:id="1451239711">
      <w:bodyDiv w:val="1"/>
      <w:marLeft w:val="0"/>
      <w:marRight w:val="0"/>
      <w:marTop w:val="0"/>
      <w:marBottom w:val="0"/>
      <w:divBdr>
        <w:top w:val="none" w:sz="0" w:space="0" w:color="auto"/>
        <w:left w:val="none" w:sz="0" w:space="0" w:color="auto"/>
        <w:bottom w:val="none" w:sz="0" w:space="0" w:color="auto"/>
        <w:right w:val="none" w:sz="0" w:space="0" w:color="auto"/>
      </w:divBdr>
    </w:div>
    <w:div w:id="1466698029">
      <w:bodyDiv w:val="1"/>
      <w:marLeft w:val="0"/>
      <w:marRight w:val="0"/>
      <w:marTop w:val="0"/>
      <w:marBottom w:val="0"/>
      <w:divBdr>
        <w:top w:val="none" w:sz="0" w:space="0" w:color="auto"/>
        <w:left w:val="none" w:sz="0" w:space="0" w:color="auto"/>
        <w:bottom w:val="none" w:sz="0" w:space="0" w:color="auto"/>
        <w:right w:val="none" w:sz="0" w:space="0" w:color="auto"/>
      </w:divBdr>
    </w:div>
    <w:div w:id="1471239983">
      <w:bodyDiv w:val="1"/>
      <w:marLeft w:val="0"/>
      <w:marRight w:val="0"/>
      <w:marTop w:val="0"/>
      <w:marBottom w:val="0"/>
      <w:divBdr>
        <w:top w:val="none" w:sz="0" w:space="0" w:color="auto"/>
        <w:left w:val="none" w:sz="0" w:space="0" w:color="auto"/>
        <w:bottom w:val="none" w:sz="0" w:space="0" w:color="auto"/>
        <w:right w:val="none" w:sz="0" w:space="0" w:color="auto"/>
      </w:divBdr>
    </w:div>
    <w:div w:id="1480801337">
      <w:bodyDiv w:val="1"/>
      <w:marLeft w:val="0"/>
      <w:marRight w:val="0"/>
      <w:marTop w:val="0"/>
      <w:marBottom w:val="0"/>
      <w:divBdr>
        <w:top w:val="none" w:sz="0" w:space="0" w:color="auto"/>
        <w:left w:val="none" w:sz="0" w:space="0" w:color="auto"/>
        <w:bottom w:val="none" w:sz="0" w:space="0" w:color="auto"/>
        <w:right w:val="none" w:sz="0" w:space="0" w:color="auto"/>
      </w:divBdr>
    </w:div>
    <w:div w:id="1497918476">
      <w:bodyDiv w:val="1"/>
      <w:marLeft w:val="0"/>
      <w:marRight w:val="0"/>
      <w:marTop w:val="0"/>
      <w:marBottom w:val="0"/>
      <w:divBdr>
        <w:top w:val="none" w:sz="0" w:space="0" w:color="auto"/>
        <w:left w:val="none" w:sz="0" w:space="0" w:color="auto"/>
        <w:bottom w:val="none" w:sz="0" w:space="0" w:color="auto"/>
        <w:right w:val="none" w:sz="0" w:space="0" w:color="auto"/>
      </w:divBdr>
    </w:div>
    <w:div w:id="1689141774">
      <w:bodyDiv w:val="1"/>
      <w:marLeft w:val="0"/>
      <w:marRight w:val="0"/>
      <w:marTop w:val="0"/>
      <w:marBottom w:val="0"/>
      <w:divBdr>
        <w:top w:val="none" w:sz="0" w:space="0" w:color="auto"/>
        <w:left w:val="none" w:sz="0" w:space="0" w:color="auto"/>
        <w:bottom w:val="none" w:sz="0" w:space="0" w:color="auto"/>
        <w:right w:val="none" w:sz="0" w:space="0" w:color="auto"/>
      </w:divBdr>
    </w:div>
    <w:div w:id="1725059602">
      <w:bodyDiv w:val="1"/>
      <w:marLeft w:val="0"/>
      <w:marRight w:val="0"/>
      <w:marTop w:val="0"/>
      <w:marBottom w:val="0"/>
      <w:divBdr>
        <w:top w:val="none" w:sz="0" w:space="0" w:color="auto"/>
        <w:left w:val="none" w:sz="0" w:space="0" w:color="auto"/>
        <w:bottom w:val="none" w:sz="0" w:space="0" w:color="auto"/>
        <w:right w:val="none" w:sz="0" w:space="0" w:color="auto"/>
      </w:divBdr>
    </w:div>
    <w:div w:id="1746141785">
      <w:bodyDiv w:val="1"/>
      <w:marLeft w:val="0"/>
      <w:marRight w:val="0"/>
      <w:marTop w:val="0"/>
      <w:marBottom w:val="0"/>
      <w:divBdr>
        <w:top w:val="none" w:sz="0" w:space="0" w:color="auto"/>
        <w:left w:val="none" w:sz="0" w:space="0" w:color="auto"/>
        <w:bottom w:val="none" w:sz="0" w:space="0" w:color="auto"/>
        <w:right w:val="none" w:sz="0" w:space="0" w:color="auto"/>
      </w:divBdr>
    </w:div>
    <w:div w:id="1762529856">
      <w:bodyDiv w:val="1"/>
      <w:marLeft w:val="0"/>
      <w:marRight w:val="0"/>
      <w:marTop w:val="0"/>
      <w:marBottom w:val="0"/>
      <w:divBdr>
        <w:top w:val="none" w:sz="0" w:space="0" w:color="auto"/>
        <w:left w:val="none" w:sz="0" w:space="0" w:color="auto"/>
        <w:bottom w:val="none" w:sz="0" w:space="0" w:color="auto"/>
        <w:right w:val="none" w:sz="0" w:space="0" w:color="auto"/>
      </w:divBdr>
    </w:div>
    <w:div w:id="1801612309">
      <w:bodyDiv w:val="1"/>
      <w:marLeft w:val="0"/>
      <w:marRight w:val="0"/>
      <w:marTop w:val="0"/>
      <w:marBottom w:val="0"/>
      <w:divBdr>
        <w:top w:val="none" w:sz="0" w:space="0" w:color="auto"/>
        <w:left w:val="none" w:sz="0" w:space="0" w:color="auto"/>
        <w:bottom w:val="none" w:sz="0" w:space="0" w:color="auto"/>
        <w:right w:val="none" w:sz="0" w:space="0" w:color="auto"/>
      </w:divBdr>
    </w:div>
    <w:div w:id="1910185986">
      <w:bodyDiv w:val="1"/>
      <w:marLeft w:val="0"/>
      <w:marRight w:val="0"/>
      <w:marTop w:val="0"/>
      <w:marBottom w:val="0"/>
      <w:divBdr>
        <w:top w:val="none" w:sz="0" w:space="0" w:color="auto"/>
        <w:left w:val="none" w:sz="0" w:space="0" w:color="auto"/>
        <w:bottom w:val="none" w:sz="0" w:space="0" w:color="auto"/>
        <w:right w:val="none" w:sz="0" w:space="0" w:color="auto"/>
      </w:divBdr>
    </w:div>
    <w:div w:id="1962418109">
      <w:bodyDiv w:val="1"/>
      <w:marLeft w:val="0"/>
      <w:marRight w:val="0"/>
      <w:marTop w:val="0"/>
      <w:marBottom w:val="0"/>
      <w:divBdr>
        <w:top w:val="none" w:sz="0" w:space="0" w:color="auto"/>
        <w:left w:val="none" w:sz="0" w:space="0" w:color="auto"/>
        <w:bottom w:val="none" w:sz="0" w:space="0" w:color="auto"/>
        <w:right w:val="none" w:sz="0" w:space="0" w:color="auto"/>
      </w:divBdr>
    </w:div>
    <w:div w:id="2004506451">
      <w:bodyDiv w:val="1"/>
      <w:marLeft w:val="0"/>
      <w:marRight w:val="0"/>
      <w:marTop w:val="0"/>
      <w:marBottom w:val="0"/>
      <w:divBdr>
        <w:top w:val="none" w:sz="0" w:space="0" w:color="auto"/>
        <w:left w:val="none" w:sz="0" w:space="0" w:color="auto"/>
        <w:bottom w:val="none" w:sz="0" w:space="0" w:color="auto"/>
        <w:right w:val="none" w:sz="0" w:space="0" w:color="auto"/>
      </w:divBdr>
    </w:div>
    <w:div w:id="2012753588">
      <w:bodyDiv w:val="1"/>
      <w:marLeft w:val="0"/>
      <w:marRight w:val="0"/>
      <w:marTop w:val="0"/>
      <w:marBottom w:val="0"/>
      <w:divBdr>
        <w:top w:val="none" w:sz="0" w:space="0" w:color="auto"/>
        <w:left w:val="none" w:sz="0" w:space="0" w:color="auto"/>
        <w:bottom w:val="none" w:sz="0" w:space="0" w:color="auto"/>
        <w:right w:val="none" w:sz="0" w:space="0" w:color="auto"/>
      </w:divBdr>
      <w:divsChild>
        <w:div w:id="2078475164">
          <w:marLeft w:val="0"/>
          <w:marRight w:val="0"/>
          <w:marTop w:val="0"/>
          <w:marBottom w:val="0"/>
          <w:divBdr>
            <w:top w:val="none" w:sz="0" w:space="0" w:color="auto"/>
            <w:left w:val="none" w:sz="0" w:space="0" w:color="auto"/>
            <w:bottom w:val="none" w:sz="0" w:space="0" w:color="auto"/>
            <w:right w:val="none" w:sz="0" w:space="0" w:color="auto"/>
          </w:divBdr>
          <w:divsChild>
            <w:div w:id="395130150">
              <w:marLeft w:val="0"/>
              <w:marRight w:val="0"/>
              <w:marTop w:val="0"/>
              <w:marBottom w:val="0"/>
              <w:divBdr>
                <w:top w:val="none" w:sz="0" w:space="0" w:color="auto"/>
                <w:left w:val="none" w:sz="0" w:space="0" w:color="auto"/>
                <w:bottom w:val="none" w:sz="0" w:space="0" w:color="auto"/>
                <w:right w:val="none" w:sz="0" w:space="0" w:color="auto"/>
              </w:divBdr>
              <w:divsChild>
                <w:div w:id="184759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538274">
      <w:bodyDiv w:val="1"/>
      <w:marLeft w:val="0"/>
      <w:marRight w:val="0"/>
      <w:marTop w:val="0"/>
      <w:marBottom w:val="0"/>
      <w:divBdr>
        <w:top w:val="none" w:sz="0" w:space="0" w:color="auto"/>
        <w:left w:val="none" w:sz="0" w:space="0" w:color="auto"/>
        <w:bottom w:val="none" w:sz="0" w:space="0" w:color="auto"/>
        <w:right w:val="none" w:sz="0" w:space="0" w:color="auto"/>
      </w:divBdr>
    </w:div>
    <w:div w:id="2042825854">
      <w:bodyDiv w:val="1"/>
      <w:marLeft w:val="0"/>
      <w:marRight w:val="0"/>
      <w:marTop w:val="0"/>
      <w:marBottom w:val="0"/>
      <w:divBdr>
        <w:top w:val="none" w:sz="0" w:space="0" w:color="auto"/>
        <w:left w:val="none" w:sz="0" w:space="0" w:color="auto"/>
        <w:bottom w:val="none" w:sz="0" w:space="0" w:color="auto"/>
        <w:right w:val="none" w:sz="0" w:space="0" w:color="auto"/>
      </w:divBdr>
    </w:div>
    <w:div w:id="2062319518">
      <w:bodyDiv w:val="1"/>
      <w:marLeft w:val="0"/>
      <w:marRight w:val="0"/>
      <w:marTop w:val="0"/>
      <w:marBottom w:val="0"/>
      <w:divBdr>
        <w:top w:val="none" w:sz="0" w:space="0" w:color="auto"/>
        <w:left w:val="none" w:sz="0" w:space="0" w:color="auto"/>
        <w:bottom w:val="none" w:sz="0" w:space="0" w:color="auto"/>
        <w:right w:val="none" w:sz="0" w:space="0" w:color="auto"/>
      </w:divBdr>
    </w:div>
    <w:div w:id="2114592476">
      <w:bodyDiv w:val="1"/>
      <w:marLeft w:val="0"/>
      <w:marRight w:val="0"/>
      <w:marTop w:val="0"/>
      <w:marBottom w:val="0"/>
      <w:divBdr>
        <w:top w:val="none" w:sz="0" w:space="0" w:color="auto"/>
        <w:left w:val="none" w:sz="0" w:space="0" w:color="auto"/>
        <w:bottom w:val="none" w:sz="0" w:space="0" w:color="auto"/>
        <w:right w:val="none" w:sz="0" w:space="0" w:color="auto"/>
      </w:divBdr>
    </w:div>
    <w:div w:id="2114745355">
      <w:bodyDiv w:val="1"/>
      <w:marLeft w:val="0"/>
      <w:marRight w:val="0"/>
      <w:marTop w:val="0"/>
      <w:marBottom w:val="0"/>
      <w:divBdr>
        <w:top w:val="none" w:sz="0" w:space="0" w:color="auto"/>
        <w:left w:val="none" w:sz="0" w:space="0" w:color="auto"/>
        <w:bottom w:val="none" w:sz="0" w:space="0" w:color="auto"/>
        <w:right w:val="none" w:sz="0" w:space="0" w:color="auto"/>
      </w:divBdr>
    </w:div>
    <w:div w:id="21408035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3995995-CA53-0544-9DED-5545DFE76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111</Pages>
  <Words>57954</Words>
  <Characters>329179</Characters>
  <Application>Microsoft Office Word</Application>
  <DocSecurity>0</DocSecurity>
  <Lines>6095</Lines>
  <Paragraphs>1228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Constanza Núñez</dc:creator>
  <cp:keywords/>
  <dc:description/>
  <cp:lastModifiedBy>Claudio Nash</cp:lastModifiedBy>
  <cp:revision>5</cp:revision>
  <cp:lastPrinted>2017-07-31T14:47:00Z</cp:lastPrinted>
  <dcterms:created xsi:type="dcterms:W3CDTF">2021-12-06T16:46:00Z</dcterms:created>
  <dcterms:modified xsi:type="dcterms:W3CDTF">2021-12-06T16:57:00Z</dcterms:modified>
</cp:coreProperties>
</file>