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2DC6" w14:textId="77777777" w:rsidR="00A33AF7" w:rsidRDefault="00A33AF7">
      <w:pPr>
        <w:rPr>
          <w:rFonts w:ascii="EB Garamond" w:eastAsia="EB Garamond" w:hAnsi="EB Garamond" w:cs="EB Garamond"/>
        </w:rPr>
      </w:pPr>
    </w:p>
    <w:tbl>
      <w:tblPr>
        <w:tblStyle w:val="a"/>
        <w:tblW w:w="88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2370"/>
        <w:gridCol w:w="2355"/>
      </w:tblGrid>
      <w:tr w:rsidR="00A33AF7" w14:paraId="686DE476" w14:textId="77777777">
        <w:trPr>
          <w:trHeight w:val="495"/>
        </w:trPr>
        <w:tc>
          <w:tcPr>
            <w:tcW w:w="8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5FFAA" w14:textId="77777777" w:rsidR="00A33AF7" w:rsidRDefault="00000000">
            <w:pPr>
              <w:spacing w:after="200" w:line="276" w:lineRule="auto"/>
              <w:jc w:val="center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PROTECCIÓN MULTINIVEL DE LOS DERECHOS HUMANOS</w:t>
            </w:r>
          </w:p>
        </w:tc>
      </w:tr>
      <w:tr w:rsidR="00A33AF7" w14:paraId="50945D4A" w14:textId="77777777">
        <w:trPr>
          <w:trHeight w:val="1050"/>
        </w:trPr>
        <w:tc>
          <w:tcPr>
            <w:tcW w:w="88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27C8D" w14:textId="77777777" w:rsidR="00A33AF7" w:rsidRDefault="00000000">
            <w:pPr>
              <w:spacing w:after="200" w:line="276" w:lineRule="auto"/>
              <w:jc w:val="both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Docentes</w:t>
            </w:r>
          </w:p>
          <w:p w14:paraId="3DD10676" w14:textId="77777777" w:rsidR="00A33AF7" w:rsidRDefault="00000000">
            <w:pPr>
              <w:spacing w:after="200" w:line="276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Cecilia Domínguez V.</w:t>
            </w:r>
          </w:p>
          <w:p w14:paraId="16F1C386" w14:textId="77777777" w:rsidR="00A33AF7" w:rsidRDefault="00000000">
            <w:pPr>
              <w:spacing w:after="200" w:line="276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Claudio Nash R.</w:t>
            </w:r>
          </w:p>
          <w:p w14:paraId="53E6994F" w14:textId="77777777" w:rsidR="00A33AF7" w:rsidRDefault="00000000">
            <w:pPr>
              <w:spacing w:after="200" w:line="276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Constanza Núñez D.</w:t>
            </w:r>
          </w:p>
        </w:tc>
      </w:tr>
      <w:tr w:rsidR="00A33AF7" w14:paraId="1DA3B793" w14:textId="77777777">
        <w:trPr>
          <w:trHeight w:val="960"/>
        </w:trPr>
        <w:tc>
          <w:tcPr>
            <w:tcW w:w="88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BC7CE" w14:textId="77777777" w:rsidR="00A33AF7" w:rsidRDefault="00000000">
            <w:pPr>
              <w:spacing w:after="200" w:line="276" w:lineRule="auto"/>
              <w:jc w:val="both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Unidad Académica / organismo de la unidad académica que lo desarrolla</w:t>
            </w:r>
          </w:p>
          <w:p w14:paraId="32BD2791" w14:textId="77777777" w:rsidR="00A33AF7" w:rsidRDefault="00000000">
            <w:pPr>
              <w:spacing w:after="200" w:line="276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Departamentos de Ciencias del Derecho, Derecho Público y Derecho Internacional</w:t>
            </w:r>
          </w:p>
        </w:tc>
      </w:tr>
      <w:tr w:rsidR="00A33AF7" w14:paraId="0431E3B0" w14:textId="77777777">
        <w:trPr>
          <w:trHeight w:val="765"/>
        </w:trPr>
        <w:tc>
          <w:tcPr>
            <w:tcW w:w="88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64A56" w14:textId="77777777" w:rsidR="00A33AF7" w:rsidRDefault="00000000">
            <w:pPr>
              <w:spacing w:after="200" w:line="276" w:lineRule="auto"/>
              <w:jc w:val="both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Ciclo y Línea de Formación</w:t>
            </w:r>
          </w:p>
          <w:p w14:paraId="4E1E871B" w14:textId="77777777" w:rsidR="00A33AF7" w:rsidRDefault="00000000">
            <w:pPr>
              <w:spacing w:after="0" w:line="276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Especializada</w:t>
            </w:r>
          </w:p>
        </w:tc>
      </w:tr>
      <w:tr w:rsidR="00A33AF7" w14:paraId="360A6FDF" w14:textId="77777777">
        <w:trPr>
          <w:trHeight w:val="1125"/>
        </w:trPr>
        <w:tc>
          <w:tcPr>
            <w:tcW w:w="88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8985B" w14:textId="77777777" w:rsidR="00A33AF7" w:rsidRDefault="00000000">
            <w:pPr>
              <w:spacing w:after="0" w:line="276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Carácter de curso</w:t>
            </w:r>
          </w:p>
          <w:p w14:paraId="43F97E20" w14:textId="77777777" w:rsidR="00A33AF7" w:rsidRDefault="00000000">
            <w:pPr>
              <w:spacing w:after="0" w:line="276" w:lineRule="auto"/>
              <w:rPr>
                <w:rFonts w:ascii="EB Garamond" w:eastAsia="EB Garamond" w:hAnsi="EB Garamond" w:cs="EB Garamond"/>
                <w:i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i/>
                <w:sz w:val="24"/>
                <w:szCs w:val="24"/>
              </w:rPr>
              <w:t xml:space="preserve"> </w:t>
            </w:r>
          </w:p>
          <w:p w14:paraId="55686BC3" w14:textId="77777777" w:rsidR="00A33AF7" w:rsidRDefault="00000000">
            <w:pPr>
              <w:spacing w:after="0" w:line="276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Electivo de oferta necesaria (área especializada de derechos humanos)</w:t>
            </w:r>
          </w:p>
          <w:p w14:paraId="21FB0563" w14:textId="77777777" w:rsidR="00A33AF7" w:rsidRDefault="00000000">
            <w:pPr>
              <w:spacing w:after="0" w:line="276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 </w:t>
            </w:r>
          </w:p>
        </w:tc>
      </w:tr>
      <w:tr w:rsidR="00A33AF7" w14:paraId="016DE1CD" w14:textId="77777777">
        <w:trPr>
          <w:trHeight w:val="960"/>
        </w:trPr>
        <w:tc>
          <w:tcPr>
            <w:tcW w:w="88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28DBC" w14:textId="77777777" w:rsidR="00A33AF7" w:rsidRDefault="00000000">
            <w:pPr>
              <w:spacing w:after="200" w:line="276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Semestre en que se imparte</w:t>
            </w:r>
          </w:p>
          <w:p w14:paraId="4AB44953" w14:textId="77777777" w:rsidR="00A33AF7" w:rsidRDefault="00000000">
            <w:pPr>
              <w:spacing w:after="200" w:line="276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 partir del IV semestre</w:t>
            </w:r>
          </w:p>
        </w:tc>
      </w:tr>
      <w:tr w:rsidR="00A33AF7" w14:paraId="663564FE" w14:textId="77777777">
        <w:trPr>
          <w:trHeight w:val="960"/>
        </w:trPr>
        <w:tc>
          <w:tcPr>
            <w:tcW w:w="88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C377B" w14:textId="77777777" w:rsidR="00A33AF7" w:rsidRDefault="00000000">
            <w:pPr>
              <w:spacing w:after="200" w:line="276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Número de créditos SCT – Chile</w:t>
            </w:r>
          </w:p>
          <w:p w14:paraId="0B696ADD" w14:textId="77777777" w:rsidR="00A33AF7" w:rsidRDefault="00000000">
            <w:pPr>
              <w:spacing w:after="200" w:line="276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4 SCT</w:t>
            </w:r>
          </w:p>
        </w:tc>
      </w:tr>
      <w:tr w:rsidR="00A33AF7" w14:paraId="53826F90" w14:textId="77777777">
        <w:trPr>
          <w:trHeight w:val="112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053C5" w14:textId="77777777" w:rsidR="00A33AF7" w:rsidRDefault="00000000">
            <w:pPr>
              <w:spacing w:after="200" w:line="276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Horas de trabajo</w:t>
            </w:r>
          </w:p>
          <w:p w14:paraId="554A6AD5" w14:textId="77777777" w:rsidR="00A33AF7" w:rsidRDefault="00000000">
            <w:pPr>
              <w:spacing w:after="200" w:line="276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Total: 108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1450C" w14:textId="77777777" w:rsidR="00A33AF7" w:rsidRDefault="00000000">
            <w:pPr>
              <w:spacing w:after="0" w:line="276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Cantidad de horas presenciales</w:t>
            </w:r>
          </w:p>
          <w:p w14:paraId="1CF2A4C5" w14:textId="77777777" w:rsidR="00A33AF7" w:rsidRDefault="00000000">
            <w:pPr>
              <w:spacing w:after="0" w:line="276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49 horas</w:t>
            </w:r>
          </w:p>
          <w:p w14:paraId="23A7D104" w14:textId="77777777" w:rsidR="00A33AF7" w:rsidRDefault="00000000">
            <w:pPr>
              <w:spacing w:after="0" w:line="276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A49D0" w14:textId="77777777" w:rsidR="00A33AF7" w:rsidRDefault="00000000">
            <w:pPr>
              <w:spacing w:after="0" w:line="276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Cantidad de horas no presencial</w:t>
            </w:r>
          </w:p>
          <w:p w14:paraId="3DBE95B7" w14:textId="77777777" w:rsidR="00A33AF7" w:rsidRDefault="00000000">
            <w:pPr>
              <w:spacing w:after="0" w:line="276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59 horas</w:t>
            </w:r>
          </w:p>
        </w:tc>
      </w:tr>
      <w:tr w:rsidR="00A33AF7" w14:paraId="43D1C682" w14:textId="77777777">
        <w:trPr>
          <w:trHeight w:val="960"/>
        </w:trPr>
        <w:tc>
          <w:tcPr>
            <w:tcW w:w="88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EB83C" w14:textId="77777777" w:rsidR="00A33AF7" w:rsidRDefault="00000000">
            <w:pPr>
              <w:spacing w:after="200" w:line="276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Requisitos</w:t>
            </w:r>
          </w:p>
          <w:p w14:paraId="3FEEB63B" w14:textId="77777777" w:rsidR="00A33AF7" w:rsidRDefault="00000000">
            <w:pPr>
              <w:spacing w:after="200" w:line="276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Historia del Derecho II, Derecho Constitucional II y Derecho Internacional Público</w:t>
            </w:r>
          </w:p>
        </w:tc>
      </w:tr>
    </w:tbl>
    <w:p w14:paraId="25CAD25B" w14:textId="77777777" w:rsidR="00A33AF7" w:rsidRDefault="00A33AF7">
      <w:pPr>
        <w:rPr>
          <w:rFonts w:ascii="EB Garamond" w:eastAsia="EB Garamond" w:hAnsi="EB Garamond" w:cs="EB Garamond"/>
        </w:rPr>
      </w:pPr>
    </w:p>
    <w:p w14:paraId="22168F37" w14:textId="77777777" w:rsidR="00A33AF7" w:rsidRDefault="00A33AF7">
      <w:pPr>
        <w:rPr>
          <w:rFonts w:ascii="EB Garamond" w:eastAsia="EB Garamond" w:hAnsi="EB Garamond" w:cs="EB Garamond"/>
        </w:rPr>
      </w:pPr>
    </w:p>
    <w:p w14:paraId="0C78CF69" w14:textId="77777777" w:rsidR="00A33AF7" w:rsidRDefault="00A33AF7">
      <w:pPr>
        <w:rPr>
          <w:rFonts w:ascii="EB Garamond" w:eastAsia="EB Garamond" w:hAnsi="EB Garamond" w:cs="EB Garamond"/>
        </w:rPr>
      </w:pPr>
    </w:p>
    <w:p w14:paraId="3BB96213" w14:textId="77777777" w:rsidR="004D62A8" w:rsidRDefault="004D62A8">
      <w:pPr>
        <w:rPr>
          <w:rFonts w:ascii="EB Garamond" w:eastAsia="EB Garamond" w:hAnsi="EB Garamond" w:cs="EB Garamond"/>
        </w:rPr>
      </w:pPr>
    </w:p>
    <w:p w14:paraId="4C6DB4B5" w14:textId="0E6645C0" w:rsidR="00A14377" w:rsidRPr="004D62A8" w:rsidRDefault="00000000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lastRenderedPageBreak/>
        <w:t>Syllabus</w:t>
      </w:r>
    </w:p>
    <w:tbl>
      <w:tblPr>
        <w:tblStyle w:val="a0"/>
        <w:tblW w:w="1062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945"/>
        <w:gridCol w:w="3225"/>
        <w:gridCol w:w="1920"/>
        <w:gridCol w:w="1935"/>
        <w:gridCol w:w="1905"/>
      </w:tblGrid>
      <w:tr w:rsidR="00A33AF7" w14:paraId="67023CC2" w14:textId="77777777">
        <w:trPr>
          <w:trHeight w:val="240"/>
        </w:trPr>
        <w:tc>
          <w:tcPr>
            <w:tcW w:w="10620" w:type="dxa"/>
            <w:gridSpan w:val="6"/>
          </w:tcPr>
          <w:p w14:paraId="73B7A357" w14:textId="576157AF" w:rsidR="00A33AF7" w:rsidRDefault="00000000">
            <w:pPr>
              <w:jc w:val="both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Capítulo III</w:t>
            </w:r>
          </w:p>
        </w:tc>
      </w:tr>
      <w:tr w:rsidR="00A33AF7" w14:paraId="0390383D" w14:textId="77777777">
        <w:tc>
          <w:tcPr>
            <w:tcW w:w="690" w:type="dxa"/>
          </w:tcPr>
          <w:p w14:paraId="5BE1DDEE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21</w:t>
            </w:r>
          </w:p>
        </w:tc>
        <w:tc>
          <w:tcPr>
            <w:tcW w:w="945" w:type="dxa"/>
          </w:tcPr>
          <w:p w14:paraId="030BCC2E" w14:textId="53C7FBFC" w:rsidR="00A33AF7" w:rsidRPr="00A14377" w:rsidRDefault="00A14377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>
              <w:rPr>
                <w:rFonts w:ascii="EB Garamond" w:eastAsia="EB Garamond" w:hAnsi="EB Garamond" w:cs="EB Garamond"/>
                <w:highlight w:val="yellow"/>
              </w:rPr>
              <w:t>10</w:t>
            </w:r>
            <w:r w:rsidRPr="00A14377">
              <w:rPr>
                <w:rFonts w:ascii="EB Garamond" w:eastAsia="EB Garamond" w:hAnsi="EB Garamond" w:cs="EB Garamond"/>
                <w:highlight w:val="yellow"/>
              </w:rPr>
              <w:t>.10</w:t>
            </w:r>
          </w:p>
        </w:tc>
        <w:tc>
          <w:tcPr>
            <w:tcW w:w="3225" w:type="dxa"/>
          </w:tcPr>
          <w:p w14:paraId="76A4B695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DIDH: evolución histórica</w:t>
            </w:r>
          </w:p>
        </w:tc>
        <w:tc>
          <w:tcPr>
            <w:tcW w:w="1920" w:type="dxa"/>
          </w:tcPr>
          <w:p w14:paraId="27FD62FA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Nash, 2023</w:t>
            </w:r>
          </w:p>
        </w:tc>
        <w:tc>
          <w:tcPr>
            <w:tcW w:w="1935" w:type="dxa"/>
          </w:tcPr>
          <w:p w14:paraId="3ECAC9FE" w14:textId="77777777" w:rsidR="00A33AF7" w:rsidRDefault="00A33AF7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04B3DF75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Video (u-cursos) y discusión en clases</w:t>
            </w:r>
          </w:p>
        </w:tc>
      </w:tr>
      <w:tr w:rsidR="00A33AF7" w14:paraId="753201EA" w14:textId="77777777">
        <w:tc>
          <w:tcPr>
            <w:tcW w:w="690" w:type="dxa"/>
          </w:tcPr>
          <w:p w14:paraId="4ECA407F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22</w:t>
            </w:r>
          </w:p>
        </w:tc>
        <w:tc>
          <w:tcPr>
            <w:tcW w:w="945" w:type="dxa"/>
          </w:tcPr>
          <w:p w14:paraId="401914CA" w14:textId="3159410D" w:rsidR="00A33AF7" w:rsidRPr="00A14377" w:rsidRDefault="00000000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A14377">
              <w:rPr>
                <w:rFonts w:ascii="EB Garamond" w:eastAsia="EB Garamond" w:hAnsi="EB Garamond" w:cs="EB Garamond"/>
                <w:highlight w:val="yellow"/>
              </w:rPr>
              <w:t>1</w:t>
            </w:r>
            <w:r w:rsidR="00A14377">
              <w:rPr>
                <w:rFonts w:ascii="EB Garamond" w:eastAsia="EB Garamond" w:hAnsi="EB Garamond" w:cs="EB Garamond"/>
                <w:highlight w:val="yellow"/>
              </w:rPr>
              <w:t>3</w:t>
            </w:r>
            <w:r w:rsidRPr="00A14377">
              <w:rPr>
                <w:rFonts w:ascii="EB Garamond" w:eastAsia="EB Garamond" w:hAnsi="EB Garamond" w:cs="EB Garamond"/>
                <w:highlight w:val="yellow"/>
              </w:rPr>
              <w:t>.10</w:t>
            </w:r>
          </w:p>
        </w:tc>
        <w:tc>
          <w:tcPr>
            <w:tcW w:w="3225" w:type="dxa"/>
          </w:tcPr>
          <w:p w14:paraId="1D3F5C42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DIDH y Derecho Internacional Público: aspectos generales</w:t>
            </w:r>
          </w:p>
        </w:tc>
        <w:tc>
          <w:tcPr>
            <w:tcW w:w="1920" w:type="dxa"/>
          </w:tcPr>
          <w:p w14:paraId="22C2FF69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Nash, 2023</w:t>
            </w:r>
          </w:p>
        </w:tc>
        <w:tc>
          <w:tcPr>
            <w:tcW w:w="1935" w:type="dxa"/>
          </w:tcPr>
          <w:p w14:paraId="2DCD11CC" w14:textId="77777777" w:rsidR="00A33AF7" w:rsidRDefault="00A33AF7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2F3090DC" w14:textId="77777777" w:rsidR="00A33AF7" w:rsidRDefault="00A33AF7">
            <w:pPr>
              <w:jc w:val="both"/>
              <w:rPr>
                <w:rFonts w:ascii="EB Garamond" w:eastAsia="EB Garamond" w:hAnsi="EB Garamond" w:cs="EB Garamond"/>
              </w:rPr>
            </w:pPr>
          </w:p>
        </w:tc>
      </w:tr>
      <w:tr w:rsidR="00A33AF7" w14:paraId="37584E11" w14:textId="77777777">
        <w:tc>
          <w:tcPr>
            <w:tcW w:w="690" w:type="dxa"/>
          </w:tcPr>
          <w:p w14:paraId="1A805E7A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23</w:t>
            </w:r>
          </w:p>
        </w:tc>
        <w:tc>
          <w:tcPr>
            <w:tcW w:w="945" w:type="dxa"/>
          </w:tcPr>
          <w:p w14:paraId="49B53A86" w14:textId="77777777" w:rsidR="00A33AF7" w:rsidRPr="00A14377" w:rsidRDefault="00000000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A14377">
              <w:rPr>
                <w:rFonts w:ascii="EB Garamond" w:eastAsia="EB Garamond" w:hAnsi="EB Garamond" w:cs="EB Garamond"/>
                <w:highlight w:val="yellow"/>
              </w:rPr>
              <w:t>13.10</w:t>
            </w:r>
          </w:p>
        </w:tc>
        <w:tc>
          <w:tcPr>
            <w:tcW w:w="3225" w:type="dxa"/>
          </w:tcPr>
          <w:p w14:paraId="4892F61A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Fuentes del DIDH</w:t>
            </w:r>
          </w:p>
        </w:tc>
        <w:tc>
          <w:tcPr>
            <w:tcW w:w="1920" w:type="dxa"/>
          </w:tcPr>
          <w:p w14:paraId="48F831F7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proofErr w:type="spellStart"/>
            <w:r>
              <w:rPr>
                <w:rFonts w:ascii="EB Garamond" w:eastAsia="EB Garamond" w:hAnsi="EB Garamond" w:cs="EB Garamond"/>
              </w:rPr>
              <w:t>Tarre</w:t>
            </w:r>
            <w:proofErr w:type="spellEnd"/>
            <w:r>
              <w:rPr>
                <w:rFonts w:ascii="EB Garamond" w:eastAsia="EB Garamond" w:hAnsi="EB Garamond" w:cs="EB Garamond"/>
              </w:rPr>
              <w:t xml:space="preserve"> (video)</w:t>
            </w:r>
          </w:p>
        </w:tc>
        <w:tc>
          <w:tcPr>
            <w:tcW w:w="1935" w:type="dxa"/>
          </w:tcPr>
          <w:p w14:paraId="74A1A77F" w14:textId="77777777" w:rsidR="00A33AF7" w:rsidRDefault="00A33AF7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78A39A03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 xml:space="preserve">Análisis de video Patricia </w:t>
            </w:r>
            <w:proofErr w:type="spellStart"/>
            <w:r>
              <w:rPr>
                <w:rFonts w:ascii="EB Garamond" w:eastAsia="EB Garamond" w:hAnsi="EB Garamond" w:cs="EB Garamond"/>
              </w:rPr>
              <w:t>Tarre</w:t>
            </w:r>
            <w:proofErr w:type="spellEnd"/>
          </w:p>
        </w:tc>
      </w:tr>
      <w:tr w:rsidR="00A33AF7" w14:paraId="6A0BFB8C" w14:textId="77777777">
        <w:tc>
          <w:tcPr>
            <w:tcW w:w="690" w:type="dxa"/>
          </w:tcPr>
          <w:p w14:paraId="51B7A815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24</w:t>
            </w:r>
          </w:p>
        </w:tc>
        <w:tc>
          <w:tcPr>
            <w:tcW w:w="945" w:type="dxa"/>
          </w:tcPr>
          <w:p w14:paraId="0DB81987" w14:textId="77777777" w:rsidR="00A33AF7" w:rsidRPr="00A14377" w:rsidRDefault="00000000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A14377">
              <w:rPr>
                <w:rFonts w:ascii="EB Garamond" w:eastAsia="EB Garamond" w:hAnsi="EB Garamond" w:cs="EB Garamond"/>
                <w:highlight w:val="yellow"/>
              </w:rPr>
              <w:t>16.10</w:t>
            </w:r>
          </w:p>
        </w:tc>
        <w:tc>
          <w:tcPr>
            <w:tcW w:w="3225" w:type="dxa"/>
          </w:tcPr>
          <w:p w14:paraId="6AB81919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Características generales de la protección internacional de DDHH: naturaleza órganos protección</w:t>
            </w:r>
          </w:p>
        </w:tc>
        <w:tc>
          <w:tcPr>
            <w:tcW w:w="1920" w:type="dxa"/>
          </w:tcPr>
          <w:p w14:paraId="33A7B1BE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Nikken, 1994</w:t>
            </w:r>
          </w:p>
        </w:tc>
        <w:tc>
          <w:tcPr>
            <w:tcW w:w="1935" w:type="dxa"/>
          </w:tcPr>
          <w:p w14:paraId="435AA1D0" w14:textId="77777777" w:rsidR="00A33AF7" w:rsidRDefault="00A33AF7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06FE6F99" w14:textId="77777777" w:rsidR="00A33AF7" w:rsidRDefault="00000000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Análisis de caso</w:t>
            </w:r>
          </w:p>
        </w:tc>
      </w:tr>
      <w:tr w:rsidR="004D62A8" w14:paraId="7DDB5FF1" w14:textId="77777777">
        <w:tc>
          <w:tcPr>
            <w:tcW w:w="690" w:type="dxa"/>
          </w:tcPr>
          <w:p w14:paraId="68BE2830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25</w:t>
            </w:r>
          </w:p>
        </w:tc>
        <w:tc>
          <w:tcPr>
            <w:tcW w:w="945" w:type="dxa"/>
          </w:tcPr>
          <w:p w14:paraId="62189CB7" w14:textId="77777777" w:rsidR="004D62A8" w:rsidRPr="00A14377" w:rsidRDefault="004D62A8" w:rsidP="004D62A8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A14377">
              <w:rPr>
                <w:rFonts w:ascii="EB Garamond" w:eastAsia="EB Garamond" w:hAnsi="EB Garamond" w:cs="EB Garamond"/>
                <w:highlight w:val="yellow"/>
              </w:rPr>
              <w:t>17.10</w:t>
            </w:r>
          </w:p>
        </w:tc>
        <w:tc>
          <w:tcPr>
            <w:tcW w:w="3225" w:type="dxa"/>
          </w:tcPr>
          <w:p w14:paraId="65410C2B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Catálogos de derechos: aspectos generales</w:t>
            </w:r>
          </w:p>
        </w:tc>
        <w:tc>
          <w:tcPr>
            <w:tcW w:w="1920" w:type="dxa"/>
          </w:tcPr>
          <w:p w14:paraId="0B7CB8D9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Declaración Universal de Derechos Humanos, 1948; Pactos Internacionales ONU, 1966</w:t>
            </w:r>
          </w:p>
        </w:tc>
        <w:tc>
          <w:tcPr>
            <w:tcW w:w="1935" w:type="dxa"/>
          </w:tcPr>
          <w:p w14:paraId="4ACC0D89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11301D29" w14:textId="5C38AD8D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Análisis de caso</w:t>
            </w:r>
          </w:p>
        </w:tc>
      </w:tr>
      <w:tr w:rsidR="004D62A8" w14:paraId="7CB7E8A3" w14:textId="77777777">
        <w:tc>
          <w:tcPr>
            <w:tcW w:w="690" w:type="dxa"/>
          </w:tcPr>
          <w:p w14:paraId="63FCADA4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26</w:t>
            </w:r>
          </w:p>
        </w:tc>
        <w:tc>
          <w:tcPr>
            <w:tcW w:w="945" w:type="dxa"/>
          </w:tcPr>
          <w:p w14:paraId="6F9E479D" w14:textId="77777777" w:rsidR="004D62A8" w:rsidRPr="00A14377" w:rsidRDefault="004D62A8" w:rsidP="004D62A8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A14377">
              <w:rPr>
                <w:rFonts w:ascii="EB Garamond" w:eastAsia="EB Garamond" w:hAnsi="EB Garamond" w:cs="EB Garamond"/>
                <w:highlight w:val="yellow"/>
              </w:rPr>
              <w:t>20.10</w:t>
            </w:r>
          </w:p>
        </w:tc>
        <w:tc>
          <w:tcPr>
            <w:tcW w:w="3225" w:type="dxa"/>
          </w:tcPr>
          <w:p w14:paraId="262E467A" w14:textId="07CE4441" w:rsidR="004D62A8" w:rsidRPr="00752EE9" w:rsidRDefault="00DA0E56" w:rsidP="004D62A8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752EE9">
              <w:rPr>
                <w:rFonts w:ascii="EB Garamond" w:eastAsia="EB Garamond" w:hAnsi="EB Garamond" w:cs="EB Garamond"/>
                <w:highlight w:val="yellow"/>
              </w:rPr>
              <w:t>Paro actividades</w:t>
            </w:r>
          </w:p>
        </w:tc>
        <w:tc>
          <w:tcPr>
            <w:tcW w:w="1920" w:type="dxa"/>
          </w:tcPr>
          <w:p w14:paraId="58527423" w14:textId="7DABDDAF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35" w:type="dxa"/>
          </w:tcPr>
          <w:p w14:paraId="6E3E36EF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63CE4EF5" w14:textId="6AEAABF6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</w:tr>
      <w:tr w:rsidR="004D62A8" w14:paraId="62BAFB47" w14:textId="77777777">
        <w:tc>
          <w:tcPr>
            <w:tcW w:w="690" w:type="dxa"/>
          </w:tcPr>
          <w:p w14:paraId="3664BB0A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27</w:t>
            </w:r>
          </w:p>
        </w:tc>
        <w:tc>
          <w:tcPr>
            <w:tcW w:w="945" w:type="dxa"/>
          </w:tcPr>
          <w:p w14:paraId="516831D8" w14:textId="0C8B1ACA" w:rsidR="004D62A8" w:rsidRPr="00A14377" w:rsidRDefault="004D62A8" w:rsidP="004D62A8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A14377">
              <w:rPr>
                <w:rFonts w:ascii="EB Garamond" w:eastAsia="EB Garamond" w:hAnsi="EB Garamond" w:cs="EB Garamond"/>
                <w:highlight w:val="yellow"/>
              </w:rPr>
              <w:t>2</w:t>
            </w:r>
            <w:r>
              <w:rPr>
                <w:rFonts w:ascii="EB Garamond" w:eastAsia="EB Garamond" w:hAnsi="EB Garamond" w:cs="EB Garamond"/>
                <w:highlight w:val="yellow"/>
              </w:rPr>
              <w:t>3</w:t>
            </w:r>
            <w:r w:rsidRPr="00A14377">
              <w:rPr>
                <w:rFonts w:ascii="EB Garamond" w:eastAsia="EB Garamond" w:hAnsi="EB Garamond" w:cs="EB Garamond"/>
                <w:highlight w:val="yellow"/>
              </w:rPr>
              <w:t>.10</w:t>
            </w:r>
          </w:p>
        </w:tc>
        <w:tc>
          <w:tcPr>
            <w:tcW w:w="3225" w:type="dxa"/>
          </w:tcPr>
          <w:p w14:paraId="254D02B0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Derecho Refugiados</w:t>
            </w:r>
          </w:p>
        </w:tc>
        <w:tc>
          <w:tcPr>
            <w:tcW w:w="1920" w:type="dxa"/>
          </w:tcPr>
          <w:p w14:paraId="166CDDE6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ONU, s/f</w:t>
            </w:r>
          </w:p>
        </w:tc>
        <w:tc>
          <w:tcPr>
            <w:tcW w:w="1935" w:type="dxa"/>
          </w:tcPr>
          <w:p w14:paraId="698990BA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5D82170B" w14:textId="423B977F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Análisis de caso</w:t>
            </w:r>
          </w:p>
        </w:tc>
      </w:tr>
      <w:tr w:rsidR="004D62A8" w14:paraId="43528689" w14:textId="77777777">
        <w:tc>
          <w:tcPr>
            <w:tcW w:w="690" w:type="dxa"/>
          </w:tcPr>
          <w:p w14:paraId="3A46BD6B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28</w:t>
            </w:r>
          </w:p>
        </w:tc>
        <w:tc>
          <w:tcPr>
            <w:tcW w:w="945" w:type="dxa"/>
          </w:tcPr>
          <w:p w14:paraId="46DD778E" w14:textId="4CEF00FD" w:rsidR="004D62A8" w:rsidRPr="00A14377" w:rsidRDefault="004D62A8" w:rsidP="004D62A8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A14377">
              <w:rPr>
                <w:rFonts w:ascii="EB Garamond" w:eastAsia="EB Garamond" w:hAnsi="EB Garamond" w:cs="EB Garamond"/>
                <w:highlight w:val="yellow"/>
              </w:rPr>
              <w:t>2</w:t>
            </w:r>
            <w:r>
              <w:rPr>
                <w:rFonts w:ascii="EB Garamond" w:eastAsia="EB Garamond" w:hAnsi="EB Garamond" w:cs="EB Garamond"/>
                <w:highlight w:val="yellow"/>
              </w:rPr>
              <w:t>3</w:t>
            </w:r>
            <w:r w:rsidRPr="00A14377">
              <w:rPr>
                <w:rFonts w:ascii="EB Garamond" w:eastAsia="EB Garamond" w:hAnsi="EB Garamond" w:cs="EB Garamond"/>
                <w:highlight w:val="yellow"/>
              </w:rPr>
              <w:t>.10</w:t>
            </w:r>
          </w:p>
        </w:tc>
        <w:tc>
          <w:tcPr>
            <w:tcW w:w="3225" w:type="dxa"/>
          </w:tcPr>
          <w:p w14:paraId="39405994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Derecho Medioambiental</w:t>
            </w:r>
          </w:p>
        </w:tc>
        <w:tc>
          <w:tcPr>
            <w:tcW w:w="1920" w:type="dxa"/>
          </w:tcPr>
          <w:p w14:paraId="74B9582E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Corte IDH, 2017</w:t>
            </w:r>
          </w:p>
        </w:tc>
        <w:tc>
          <w:tcPr>
            <w:tcW w:w="1935" w:type="dxa"/>
          </w:tcPr>
          <w:p w14:paraId="0578DF9D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09274A1A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ONU (youtube)</w:t>
            </w:r>
          </w:p>
        </w:tc>
      </w:tr>
      <w:tr w:rsidR="004D62A8" w14:paraId="0820C9DA" w14:textId="77777777">
        <w:tc>
          <w:tcPr>
            <w:tcW w:w="690" w:type="dxa"/>
          </w:tcPr>
          <w:p w14:paraId="50000D5C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29</w:t>
            </w:r>
          </w:p>
        </w:tc>
        <w:tc>
          <w:tcPr>
            <w:tcW w:w="945" w:type="dxa"/>
          </w:tcPr>
          <w:p w14:paraId="2D0D693A" w14:textId="613BE286" w:rsidR="004D62A8" w:rsidRPr="00A14377" w:rsidRDefault="004D62A8" w:rsidP="004D62A8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A14377">
              <w:rPr>
                <w:rFonts w:ascii="EB Garamond" w:eastAsia="EB Garamond" w:hAnsi="EB Garamond" w:cs="EB Garamond"/>
                <w:highlight w:val="yellow"/>
              </w:rPr>
              <w:t>2</w:t>
            </w:r>
            <w:r>
              <w:rPr>
                <w:rFonts w:ascii="EB Garamond" w:eastAsia="EB Garamond" w:hAnsi="EB Garamond" w:cs="EB Garamond"/>
                <w:highlight w:val="yellow"/>
              </w:rPr>
              <w:t>4</w:t>
            </w:r>
            <w:r w:rsidRPr="00A14377">
              <w:rPr>
                <w:rFonts w:ascii="EB Garamond" w:eastAsia="EB Garamond" w:hAnsi="EB Garamond" w:cs="EB Garamond"/>
                <w:highlight w:val="yellow"/>
              </w:rPr>
              <w:t>.10</w:t>
            </w:r>
          </w:p>
        </w:tc>
        <w:tc>
          <w:tcPr>
            <w:tcW w:w="3225" w:type="dxa"/>
          </w:tcPr>
          <w:p w14:paraId="768A91A3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Responsabilidad internacional del Estado y DDHH: aspectos generales</w:t>
            </w:r>
          </w:p>
        </w:tc>
        <w:tc>
          <w:tcPr>
            <w:tcW w:w="1920" w:type="dxa"/>
          </w:tcPr>
          <w:p w14:paraId="3D020391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CDI, 2001; Nash, 2023</w:t>
            </w:r>
          </w:p>
        </w:tc>
        <w:tc>
          <w:tcPr>
            <w:tcW w:w="1935" w:type="dxa"/>
          </w:tcPr>
          <w:p w14:paraId="114F93FE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34ED213C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</w:tr>
      <w:tr w:rsidR="004D62A8" w14:paraId="60925E17" w14:textId="77777777">
        <w:tc>
          <w:tcPr>
            <w:tcW w:w="690" w:type="dxa"/>
          </w:tcPr>
          <w:p w14:paraId="6CEC5582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30</w:t>
            </w:r>
          </w:p>
        </w:tc>
        <w:tc>
          <w:tcPr>
            <w:tcW w:w="945" w:type="dxa"/>
          </w:tcPr>
          <w:p w14:paraId="41994799" w14:textId="57B33925" w:rsidR="004D62A8" w:rsidRPr="00A14377" w:rsidRDefault="004D62A8" w:rsidP="004D62A8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>
              <w:rPr>
                <w:rFonts w:ascii="EB Garamond" w:eastAsia="EB Garamond" w:hAnsi="EB Garamond" w:cs="EB Garamond"/>
                <w:highlight w:val="yellow"/>
              </w:rPr>
              <w:t>24</w:t>
            </w:r>
            <w:r w:rsidRPr="00A14377">
              <w:rPr>
                <w:rFonts w:ascii="EB Garamond" w:eastAsia="EB Garamond" w:hAnsi="EB Garamond" w:cs="EB Garamond"/>
                <w:highlight w:val="yellow"/>
              </w:rPr>
              <w:t>.10</w:t>
            </w:r>
          </w:p>
        </w:tc>
        <w:tc>
          <w:tcPr>
            <w:tcW w:w="3225" w:type="dxa"/>
          </w:tcPr>
          <w:p w14:paraId="305C9DA9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Responsabilidad internacional del Estado: sistema universal y regionales</w:t>
            </w:r>
          </w:p>
        </w:tc>
        <w:tc>
          <w:tcPr>
            <w:tcW w:w="1920" w:type="dxa"/>
          </w:tcPr>
          <w:p w14:paraId="6C193781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Nash, 2023</w:t>
            </w:r>
          </w:p>
        </w:tc>
        <w:tc>
          <w:tcPr>
            <w:tcW w:w="1935" w:type="dxa"/>
          </w:tcPr>
          <w:p w14:paraId="1E734B46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481B7633" w14:textId="77777777" w:rsidR="004D62A8" w:rsidRDefault="004D62A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Videos introductorios</w:t>
            </w:r>
          </w:p>
        </w:tc>
      </w:tr>
      <w:tr w:rsidR="00ED09C8" w14:paraId="6BDE2C37" w14:textId="77777777">
        <w:tc>
          <w:tcPr>
            <w:tcW w:w="690" w:type="dxa"/>
          </w:tcPr>
          <w:p w14:paraId="6A3070D8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31</w:t>
            </w:r>
          </w:p>
        </w:tc>
        <w:tc>
          <w:tcPr>
            <w:tcW w:w="945" w:type="dxa"/>
          </w:tcPr>
          <w:p w14:paraId="5F65FC2A" w14:textId="6373A114" w:rsidR="00ED09C8" w:rsidRPr="00A14377" w:rsidRDefault="00ED09C8" w:rsidP="004D62A8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A14377">
              <w:rPr>
                <w:rFonts w:ascii="EB Garamond" w:eastAsia="EB Garamond" w:hAnsi="EB Garamond" w:cs="EB Garamond"/>
                <w:highlight w:val="yellow"/>
              </w:rPr>
              <w:t>3</w:t>
            </w:r>
            <w:r>
              <w:rPr>
                <w:rFonts w:ascii="EB Garamond" w:eastAsia="EB Garamond" w:hAnsi="EB Garamond" w:cs="EB Garamond"/>
                <w:highlight w:val="yellow"/>
              </w:rPr>
              <w:t>0</w:t>
            </w:r>
            <w:r w:rsidRPr="00A14377">
              <w:rPr>
                <w:rFonts w:ascii="EB Garamond" w:eastAsia="EB Garamond" w:hAnsi="EB Garamond" w:cs="EB Garamond"/>
                <w:highlight w:val="yellow"/>
              </w:rPr>
              <w:t>.10</w:t>
            </w:r>
          </w:p>
        </w:tc>
        <w:tc>
          <w:tcPr>
            <w:tcW w:w="3225" w:type="dxa"/>
          </w:tcPr>
          <w:p w14:paraId="6687AE19" w14:textId="144268B7" w:rsidR="00ED09C8" w:rsidRPr="00752EE9" w:rsidRDefault="00ED09C8" w:rsidP="004D62A8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752EE9">
              <w:rPr>
                <w:rFonts w:ascii="EB Garamond" w:eastAsia="EB Garamond" w:hAnsi="EB Garamond" w:cs="EB Garamond"/>
                <w:highlight w:val="yellow"/>
              </w:rPr>
              <w:t>Derecho humanitario</w:t>
            </w:r>
            <w:r w:rsidRPr="00752EE9">
              <w:rPr>
                <w:rFonts w:ascii="EB Garamond" w:eastAsia="EB Garamond" w:hAnsi="EB Garamond" w:cs="EB Garamond"/>
                <w:highlight w:val="yellow"/>
              </w:rPr>
              <w:t xml:space="preserve"> y Derecho penal internacional </w:t>
            </w:r>
          </w:p>
        </w:tc>
        <w:tc>
          <w:tcPr>
            <w:tcW w:w="1920" w:type="dxa"/>
          </w:tcPr>
          <w:p w14:paraId="7E2EE2EC" w14:textId="37E52237" w:rsidR="00ED09C8" w:rsidRPr="00752EE9" w:rsidRDefault="00DA0E56" w:rsidP="004D62A8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proofErr w:type="spellStart"/>
            <w:r w:rsidRPr="00752EE9">
              <w:rPr>
                <w:rFonts w:ascii="EB Garamond" w:eastAsia="EB Garamond" w:hAnsi="EB Garamond" w:cs="EB Garamond"/>
                <w:highlight w:val="yellow"/>
              </w:rPr>
              <w:t>Swinarski</w:t>
            </w:r>
            <w:proofErr w:type="spellEnd"/>
            <w:r w:rsidRPr="00752EE9">
              <w:rPr>
                <w:rFonts w:ascii="EB Garamond" w:eastAsia="EB Garamond" w:hAnsi="EB Garamond" w:cs="EB Garamond"/>
                <w:highlight w:val="yellow"/>
              </w:rPr>
              <w:t xml:space="preserve">, 1984; </w:t>
            </w:r>
            <w:r w:rsidR="00ED09C8" w:rsidRPr="00752EE9">
              <w:rPr>
                <w:rFonts w:ascii="EB Garamond" w:eastAsia="EB Garamond" w:hAnsi="EB Garamond" w:cs="EB Garamond"/>
                <w:highlight w:val="yellow"/>
              </w:rPr>
              <w:t>CPI, s/ f</w:t>
            </w:r>
          </w:p>
        </w:tc>
        <w:tc>
          <w:tcPr>
            <w:tcW w:w="1935" w:type="dxa"/>
          </w:tcPr>
          <w:p w14:paraId="67C482E0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78DDB10D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Video ICC</w:t>
            </w:r>
          </w:p>
        </w:tc>
      </w:tr>
      <w:tr w:rsidR="00ED09C8" w14:paraId="6003D266" w14:textId="77777777" w:rsidTr="00F326FE">
        <w:tc>
          <w:tcPr>
            <w:tcW w:w="690" w:type="dxa"/>
          </w:tcPr>
          <w:p w14:paraId="4E819B6E" w14:textId="0DAB74F4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945" w:type="dxa"/>
          </w:tcPr>
          <w:p w14:paraId="5D34AC37" w14:textId="0A1C6002" w:rsidR="00ED09C8" w:rsidRPr="004B3F29" w:rsidRDefault="00ED09C8" w:rsidP="004D62A8">
            <w:pPr>
              <w:jc w:val="both"/>
              <w:rPr>
                <w:rFonts w:ascii="EB Garamond" w:eastAsia="EB Garamond" w:hAnsi="EB Garamond" w:cs="EB Garamond"/>
                <w:highlight w:val="yellow"/>
              </w:rPr>
            </w:pPr>
            <w:r w:rsidRPr="004B3F29">
              <w:rPr>
                <w:rFonts w:ascii="EB Garamond" w:eastAsia="EB Garamond" w:hAnsi="EB Garamond" w:cs="EB Garamond"/>
                <w:highlight w:val="yellow"/>
              </w:rPr>
              <w:t>03.11</w:t>
            </w:r>
          </w:p>
        </w:tc>
        <w:tc>
          <w:tcPr>
            <w:tcW w:w="3225" w:type="dxa"/>
          </w:tcPr>
          <w:p w14:paraId="48BFB157" w14:textId="5692815D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CONTROL</w:t>
            </w:r>
          </w:p>
        </w:tc>
        <w:tc>
          <w:tcPr>
            <w:tcW w:w="1920" w:type="dxa"/>
          </w:tcPr>
          <w:p w14:paraId="7D033E01" w14:textId="4D79C139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35" w:type="dxa"/>
          </w:tcPr>
          <w:p w14:paraId="006E9FAF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2EF09EAB" w14:textId="52F68BE3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</w:tr>
      <w:tr w:rsidR="00ED09C8" w14:paraId="2502EDCA" w14:textId="77777777">
        <w:trPr>
          <w:trHeight w:val="220"/>
        </w:trPr>
        <w:tc>
          <w:tcPr>
            <w:tcW w:w="10620" w:type="dxa"/>
            <w:gridSpan w:val="6"/>
          </w:tcPr>
          <w:p w14:paraId="45533AC8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Capítulo IV</w:t>
            </w:r>
          </w:p>
        </w:tc>
      </w:tr>
      <w:tr w:rsidR="00ED09C8" w14:paraId="406B9687" w14:textId="77777777">
        <w:tc>
          <w:tcPr>
            <w:tcW w:w="690" w:type="dxa"/>
          </w:tcPr>
          <w:p w14:paraId="7C691DC5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32</w:t>
            </w:r>
          </w:p>
        </w:tc>
        <w:tc>
          <w:tcPr>
            <w:tcW w:w="945" w:type="dxa"/>
          </w:tcPr>
          <w:p w14:paraId="67A80207" w14:textId="00FADD7D" w:rsidR="00ED09C8" w:rsidRPr="004B3F29" w:rsidRDefault="00ED09C8" w:rsidP="004D62A8">
            <w:pPr>
              <w:jc w:val="both"/>
              <w:rPr>
                <w:rFonts w:ascii="EB Garamond" w:eastAsia="EB Garamond" w:hAnsi="EB Garamond" w:cs="EB Garamond"/>
                <w:highlight w:val="green"/>
              </w:rPr>
            </w:pPr>
            <w:r w:rsidRPr="004B3F29">
              <w:rPr>
                <w:rFonts w:ascii="EB Garamond" w:eastAsia="EB Garamond" w:hAnsi="EB Garamond" w:cs="EB Garamond"/>
                <w:highlight w:val="green"/>
              </w:rPr>
              <w:t>31.10</w:t>
            </w:r>
          </w:p>
        </w:tc>
        <w:tc>
          <w:tcPr>
            <w:tcW w:w="3225" w:type="dxa"/>
          </w:tcPr>
          <w:p w14:paraId="3362C34D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Procesos de convergencia: de la subsidiaridad a la retroalimentación</w:t>
            </w:r>
          </w:p>
        </w:tc>
        <w:tc>
          <w:tcPr>
            <w:tcW w:w="1920" w:type="dxa"/>
          </w:tcPr>
          <w:p w14:paraId="6EEB2501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35" w:type="dxa"/>
          </w:tcPr>
          <w:p w14:paraId="4DF794DE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2E16EC14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</w:tr>
      <w:tr w:rsidR="00ED09C8" w14:paraId="48709329" w14:textId="77777777">
        <w:tc>
          <w:tcPr>
            <w:tcW w:w="690" w:type="dxa"/>
          </w:tcPr>
          <w:p w14:paraId="7A7A9C05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33</w:t>
            </w:r>
          </w:p>
        </w:tc>
        <w:tc>
          <w:tcPr>
            <w:tcW w:w="945" w:type="dxa"/>
          </w:tcPr>
          <w:p w14:paraId="4CC069FF" w14:textId="77777777" w:rsidR="00ED09C8" w:rsidRPr="004B3F29" w:rsidRDefault="00ED09C8" w:rsidP="004D62A8">
            <w:pPr>
              <w:jc w:val="both"/>
              <w:rPr>
                <w:rFonts w:ascii="EB Garamond" w:eastAsia="EB Garamond" w:hAnsi="EB Garamond" w:cs="EB Garamond"/>
                <w:highlight w:val="green"/>
              </w:rPr>
            </w:pPr>
            <w:r w:rsidRPr="004B3F29">
              <w:rPr>
                <w:rFonts w:ascii="EB Garamond" w:eastAsia="EB Garamond" w:hAnsi="EB Garamond" w:cs="EB Garamond"/>
                <w:highlight w:val="green"/>
              </w:rPr>
              <w:t>06.11</w:t>
            </w:r>
          </w:p>
        </w:tc>
        <w:tc>
          <w:tcPr>
            <w:tcW w:w="3225" w:type="dxa"/>
          </w:tcPr>
          <w:p w14:paraId="0CAF30FC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Recepción formal del DIDH</w:t>
            </w:r>
          </w:p>
        </w:tc>
        <w:tc>
          <w:tcPr>
            <w:tcW w:w="1920" w:type="dxa"/>
          </w:tcPr>
          <w:p w14:paraId="37F6E2C1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Trabajo con casos</w:t>
            </w:r>
          </w:p>
        </w:tc>
        <w:tc>
          <w:tcPr>
            <w:tcW w:w="1935" w:type="dxa"/>
          </w:tcPr>
          <w:p w14:paraId="1565CA3A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7D0BCAD0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</w:tr>
      <w:tr w:rsidR="00ED09C8" w14:paraId="67B4FD4D" w14:textId="77777777">
        <w:tc>
          <w:tcPr>
            <w:tcW w:w="690" w:type="dxa"/>
          </w:tcPr>
          <w:p w14:paraId="21CA60A4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34</w:t>
            </w:r>
          </w:p>
        </w:tc>
        <w:tc>
          <w:tcPr>
            <w:tcW w:w="945" w:type="dxa"/>
          </w:tcPr>
          <w:p w14:paraId="6BEA37C3" w14:textId="77777777" w:rsidR="00ED09C8" w:rsidRPr="004B3F29" w:rsidRDefault="00ED09C8" w:rsidP="004D62A8">
            <w:pPr>
              <w:jc w:val="both"/>
              <w:rPr>
                <w:rFonts w:ascii="EB Garamond" w:eastAsia="EB Garamond" w:hAnsi="EB Garamond" w:cs="EB Garamond"/>
                <w:highlight w:val="green"/>
              </w:rPr>
            </w:pPr>
            <w:r w:rsidRPr="004B3F29">
              <w:rPr>
                <w:rFonts w:ascii="EB Garamond" w:eastAsia="EB Garamond" w:hAnsi="EB Garamond" w:cs="EB Garamond"/>
                <w:highlight w:val="green"/>
              </w:rPr>
              <w:t>07.11</w:t>
            </w:r>
          </w:p>
        </w:tc>
        <w:tc>
          <w:tcPr>
            <w:tcW w:w="3225" w:type="dxa"/>
          </w:tcPr>
          <w:p w14:paraId="136A18EC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Usos del DIDH en la jurisprudencia nacional</w:t>
            </w:r>
          </w:p>
        </w:tc>
        <w:tc>
          <w:tcPr>
            <w:tcW w:w="1920" w:type="dxa"/>
          </w:tcPr>
          <w:p w14:paraId="684ACA8F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Trabajo con casos</w:t>
            </w:r>
          </w:p>
        </w:tc>
        <w:tc>
          <w:tcPr>
            <w:tcW w:w="1935" w:type="dxa"/>
          </w:tcPr>
          <w:p w14:paraId="1849ABF7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5D56D84E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</w:tr>
      <w:tr w:rsidR="00ED09C8" w14:paraId="73FA5618" w14:textId="77777777">
        <w:tc>
          <w:tcPr>
            <w:tcW w:w="690" w:type="dxa"/>
          </w:tcPr>
          <w:p w14:paraId="2566726D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35</w:t>
            </w:r>
          </w:p>
        </w:tc>
        <w:tc>
          <w:tcPr>
            <w:tcW w:w="945" w:type="dxa"/>
          </w:tcPr>
          <w:p w14:paraId="66409850" w14:textId="77777777" w:rsidR="00ED09C8" w:rsidRPr="004B3F29" w:rsidRDefault="00ED09C8" w:rsidP="004D62A8">
            <w:pPr>
              <w:jc w:val="both"/>
              <w:rPr>
                <w:rFonts w:ascii="EB Garamond" w:eastAsia="EB Garamond" w:hAnsi="EB Garamond" w:cs="EB Garamond"/>
                <w:highlight w:val="green"/>
              </w:rPr>
            </w:pPr>
            <w:r w:rsidRPr="004B3F29">
              <w:rPr>
                <w:rFonts w:ascii="EB Garamond" w:eastAsia="EB Garamond" w:hAnsi="EB Garamond" w:cs="EB Garamond"/>
                <w:highlight w:val="green"/>
              </w:rPr>
              <w:t>10.11</w:t>
            </w:r>
          </w:p>
        </w:tc>
        <w:tc>
          <w:tcPr>
            <w:tcW w:w="3225" w:type="dxa"/>
          </w:tcPr>
          <w:p w14:paraId="5720114C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Grupos en situación de discriminación e impacto del DIDH: pueblos originarios, género y derechos humanos de las mujeres</w:t>
            </w:r>
          </w:p>
        </w:tc>
        <w:tc>
          <w:tcPr>
            <w:tcW w:w="1920" w:type="dxa"/>
          </w:tcPr>
          <w:p w14:paraId="04448175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  <w:r>
              <w:rPr>
                <w:rFonts w:ascii="EB Garamond" w:eastAsia="EB Garamond" w:hAnsi="EB Garamond" w:cs="EB Garamond"/>
              </w:rPr>
              <w:t>Trabajo con casos</w:t>
            </w:r>
          </w:p>
        </w:tc>
        <w:tc>
          <w:tcPr>
            <w:tcW w:w="1935" w:type="dxa"/>
          </w:tcPr>
          <w:p w14:paraId="532707BF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  <w:tc>
          <w:tcPr>
            <w:tcW w:w="1905" w:type="dxa"/>
          </w:tcPr>
          <w:p w14:paraId="1B61049A" w14:textId="77777777" w:rsidR="00ED09C8" w:rsidRDefault="00ED09C8" w:rsidP="004D62A8">
            <w:pPr>
              <w:jc w:val="both"/>
              <w:rPr>
                <w:rFonts w:ascii="EB Garamond" w:eastAsia="EB Garamond" w:hAnsi="EB Garamond" w:cs="EB Garamond"/>
              </w:rPr>
            </w:pPr>
          </w:p>
        </w:tc>
      </w:tr>
    </w:tbl>
    <w:p w14:paraId="09B1B791" w14:textId="77777777" w:rsidR="00A33AF7" w:rsidRDefault="00A33AF7">
      <w:pPr>
        <w:jc w:val="both"/>
        <w:rPr>
          <w:rFonts w:ascii="EB Garamond" w:eastAsia="EB Garamond" w:hAnsi="EB Garamond" w:cs="EB Garamond"/>
          <w:sz w:val="32"/>
          <w:szCs w:val="32"/>
          <w:highlight w:val="yellow"/>
        </w:rPr>
      </w:pPr>
    </w:p>
    <w:sectPr w:rsidR="00A33AF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F7"/>
    <w:rsid w:val="004B3F29"/>
    <w:rsid w:val="004D62A8"/>
    <w:rsid w:val="00752EE9"/>
    <w:rsid w:val="00A14377"/>
    <w:rsid w:val="00A33AF7"/>
    <w:rsid w:val="00AF39E6"/>
    <w:rsid w:val="00DA0E56"/>
    <w:rsid w:val="00E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86BA9B"/>
  <w15:docId w15:val="{0F18C490-6300-A240-94DC-F7E61641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44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1ig84oCdIUxnj9+t0IVD3/jjTg==">CgMxLjAyDmguamVmaGxzNWZwZ25lOAByITEwZi15a0RrN3NGZXJJSi1uSElUaEpKeGdJSkFfRFptRQ==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cnunez</dc:creator>
  <cp:lastModifiedBy>Claudio Nash</cp:lastModifiedBy>
  <cp:revision>5</cp:revision>
  <cp:lastPrinted>2023-10-10T00:14:00Z</cp:lastPrinted>
  <dcterms:created xsi:type="dcterms:W3CDTF">2023-10-19T20:03:00Z</dcterms:created>
  <dcterms:modified xsi:type="dcterms:W3CDTF">2023-10-19T20:05:00Z</dcterms:modified>
</cp:coreProperties>
</file>