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12DC6" w14:textId="77777777" w:rsidR="00A33AF7" w:rsidRDefault="00A33AF7">
      <w:pPr>
        <w:rPr>
          <w:rFonts w:ascii="EB Garamond" w:eastAsia="EB Garamond" w:hAnsi="EB Garamond" w:cs="EB Garamond"/>
        </w:rPr>
      </w:pPr>
    </w:p>
    <w:tbl>
      <w:tblPr>
        <w:tblStyle w:val="a"/>
        <w:tblW w:w="88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95"/>
        <w:gridCol w:w="2370"/>
        <w:gridCol w:w="2355"/>
      </w:tblGrid>
      <w:tr w:rsidR="00A33AF7" w14:paraId="686DE476" w14:textId="77777777">
        <w:trPr>
          <w:trHeight w:val="495"/>
        </w:trPr>
        <w:tc>
          <w:tcPr>
            <w:tcW w:w="8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45FFAA" w14:textId="77777777" w:rsidR="00A33AF7" w:rsidRDefault="00000000">
            <w:pPr>
              <w:spacing w:after="200" w:line="276" w:lineRule="auto"/>
              <w:jc w:val="center"/>
              <w:rPr>
                <w:rFonts w:ascii="EB Garamond" w:eastAsia="EB Garamond" w:hAnsi="EB Garamond" w:cs="EB Garamond"/>
                <w:b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b/>
                <w:sz w:val="24"/>
                <w:szCs w:val="24"/>
              </w:rPr>
              <w:t>PROTECCIÓN MULTINIVEL DE LOS DERECHOS HUMANOS</w:t>
            </w:r>
          </w:p>
        </w:tc>
      </w:tr>
      <w:tr w:rsidR="00A33AF7" w14:paraId="50945D4A" w14:textId="77777777">
        <w:trPr>
          <w:trHeight w:val="1050"/>
        </w:trPr>
        <w:tc>
          <w:tcPr>
            <w:tcW w:w="882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E27C8D" w14:textId="77777777" w:rsidR="00A33AF7" w:rsidRDefault="00000000">
            <w:pPr>
              <w:spacing w:after="200" w:line="276" w:lineRule="auto"/>
              <w:jc w:val="both"/>
              <w:rPr>
                <w:rFonts w:ascii="EB Garamond" w:eastAsia="EB Garamond" w:hAnsi="EB Garamond" w:cs="EB Garamond"/>
                <w:b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b/>
                <w:sz w:val="24"/>
                <w:szCs w:val="24"/>
              </w:rPr>
              <w:t>Docentes</w:t>
            </w:r>
          </w:p>
          <w:p w14:paraId="3DD10676" w14:textId="77777777" w:rsidR="00A33AF7" w:rsidRDefault="00000000">
            <w:pPr>
              <w:spacing w:after="200" w:line="276" w:lineRule="auto"/>
              <w:jc w:val="both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Cecilia Domínguez V.</w:t>
            </w:r>
          </w:p>
          <w:p w14:paraId="16F1C386" w14:textId="77777777" w:rsidR="00A33AF7" w:rsidRDefault="00000000">
            <w:pPr>
              <w:spacing w:after="200" w:line="276" w:lineRule="auto"/>
              <w:jc w:val="both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Claudio Nash R.</w:t>
            </w:r>
          </w:p>
          <w:p w14:paraId="53E6994F" w14:textId="77777777" w:rsidR="00A33AF7" w:rsidRDefault="00000000">
            <w:pPr>
              <w:spacing w:after="200" w:line="276" w:lineRule="auto"/>
              <w:jc w:val="both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Constanza Núñez D.</w:t>
            </w:r>
          </w:p>
        </w:tc>
      </w:tr>
      <w:tr w:rsidR="00A33AF7" w14:paraId="1DA3B793" w14:textId="77777777">
        <w:trPr>
          <w:trHeight w:val="960"/>
        </w:trPr>
        <w:tc>
          <w:tcPr>
            <w:tcW w:w="882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CBC7CE" w14:textId="77777777" w:rsidR="00A33AF7" w:rsidRDefault="00000000">
            <w:pPr>
              <w:spacing w:after="200" w:line="276" w:lineRule="auto"/>
              <w:jc w:val="both"/>
              <w:rPr>
                <w:rFonts w:ascii="EB Garamond" w:eastAsia="EB Garamond" w:hAnsi="EB Garamond" w:cs="EB Garamond"/>
                <w:b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b/>
                <w:sz w:val="24"/>
                <w:szCs w:val="24"/>
              </w:rPr>
              <w:t>Unidad Académica / organismo de la unidad académica que lo desarrolla</w:t>
            </w:r>
          </w:p>
          <w:p w14:paraId="32BD2791" w14:textId="77777777" w:rsidR="00A33AF7" w:rsidRDefault="00000000">
            <w:pPr>
              <w:spacing w:after="200" w:line="276" w:lineRule="auto"/>
              <w:jc w:val="both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Departamentos de Ciencias del Derecho, Derecho Público y Derecho Internacional</w:t>
            </w:r>
          </w:p>
        </w:tc>
      </w:tr>
      <w:tr w:rsidR="00A33AF7" w14:paraId="0431E3B0" w14:textId="77777777">
        <w:trPr>
          <w:trHeight w:val="765"/>
        </w:trPr>
        <w:tc>
          <w:tcPr>
            <w:tcW w:w="882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C64A56" w14:textId="77777777" w:rsidR="00A33AF7" w:rsidRDefault="00000000">
            <w:pPr>
              <w:spacing w:after="200" w:line="276" w:lineRule="auto"/>
              <w:jc w:val="both"/>
              <w:rPr>
                <w:rFonts w:ascii="EB Garamond" w:eastAsia="EB Garamond" w:hAnsi="EB Garamond" w:cs="EB Garamond"/>
                <w:b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b/>
                <w:sz w:val="24"/>
                <w:szCs w:val="24"/>
              </w:rPr>
              <w:t>Ciclo y Línea de Formación</w:t>
            </w:r>
          </w:p>
          <w:p w14:paraId="4E1E871B" w14:textId="77777777" w:rsidR="00A33AF7" w:rsidRDefault="00000000">
            <w:pPr>
              <w:spacing w:after="0" w:line="276" w:lineRule="auto"/>
              <w:jc w:val="both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Especializada</w:t>
            </w:r>
          </w:p>
        </w:tc>
      </w:tr>
      <w:tr w:rsidR="00A33AF7" w14:paraId="360A6FDF" w14:textId="77777777">
        <w:trPr>
          <w:trHeight w:val="1125"/>
        </w:trPr>
        <w:tc>
          <w:tcPr>
            <w:tcW w:w="882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F8985B" w14:textId="77777777" w:rsidR="00A33AF7" w:rsidRDefault="00000000">
            <w:pPr>
              <w:spacing w:after="0" w:line="276" w:lineRule="auto"/>
              <w:rPr>
                <w:rFonts w:ascii="EB Garamond" w:eastAsia="EB Garamond" w:hAnsi="EB Garamond" w:cs="EB Garamond"/>
                <w:b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b/>
                <w:sz w:val="24"/>
                <w:szCs w:val="24"/>
              </w:rPr>
              <w:t>Carácter de curso</w:t>
            </w:r>
          </w:p>
          <w:p w14:paraId="43F97E20" w14:textId="77777777" w:rsidR="00A33AF7" w:rsidRDefault="00000000">
            <w:pPr>
              <w:spacing w:after="0" w:line="276" w:lineRule="auto"/>
              <w:rPr>
                <w:rFonts w:ascii="EB Garamond" w:eastAsia="EB Garamond" w:hAnsi="EB Garamond" w:cs="EB Garamond"/>
                <w:i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i/>
                <w:sz w:val="24"/>
                <w:szCs w:val="24"/>
              </w:rPr>
              <w:t xml:space="preserve"> </w:t>
            </w:r>
          </w:p>
          <w:p w14:paraId="55686BC3" w14:textId="77777777" w:rsidR="00A33AF7" w:rsidRDefault="00000000">
            <w:pPr>
              <w:spacing w:after="0" w:line="276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Electivo de oferta necesaria (área especializada de derechos humanos)</w:t>
            </w:r>
          </w:p>
          <w:p w14:paraId="21FB0563" w14:textId="77777777" w:rsidR="00A33AF7" w:rsidRDefault="00000000">
            <w:pPr>
              <w:spacing w:after="0" w:line="276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 xml:space="preserve"> </w:t>
            </w:r>
          </w:p>
        </w:tc>
      </w:tr>
      <w:tr w:rsidR="00A33AF7" w14:paraId="016DE1CD" w14:textId="77777777">
        <w:trPr>
          <w:trHeight w:val="960"/>
        </w:trPr>
        <w:tc>
          <w:tcPr>
            <w:tcW w:w="882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728DBC" w14:textId="77777777" w:rsidR="00A33AF7" w:rsidRDefault="00000000">
            <w:pPr>
              <w:spacing w:after="200" w:line="276" w:lineRule="auto"/>
              <w:rPr>
                <w:rFonts w:ascii="EB Garamond" w:eastAsia="EB Garamond" w:hAnsi="EB Garamond" w:cs="EB Garamond"/>
                <w:b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b/>
                <w:sz w:val="24"/>
                <w:szCs w:val="24"/>
              </w:rPr>
              <w:t>Semestre en que se imparte</w:t>
            </w:r>
          </w:p>
          <w:p w14:paraId="4AB44953" w14:textId="77777777" w:rsidR="00A33AF7" w:rsidRDefault="00000000">
            <w:pPr>
              <w:spacing w:after="200" w:line="276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A partir del IV semestre</w:t>
            </w:r>
          </w:p>
        </w:tc>
      </w:tr>
      <w:tr w:rsidR="00A33AF7" w14:paraId="663564FE" w14:textId="77777777">
        <w:trPr>
          <w:trHeight w:val="960"/>
        </w:trPr>
        <w:tc>
          <w:tcPr>
            <w:tcW w:w="882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7C377B" w14:textId="77777777" w:rsidR="00A33AF7" w:rsidRDefault="00000000">
            <w:pPr>
              <w:spacing w:after="200" w:line="276" w:lineRule="auto"/>
              <w:rPr>
                <w:rFonts w:ascii="EB Garamond" w:eastAsia="EB Garamond" w:hAnsi="EB Garamond" w:cs="EB Garamond"/>
                <w:b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b/>
                <w:sz w:val="24"/>
                <w:szCs w:val="24"/>
              </w:rPr>
              <w:t>Número de créditos SCT – Chile</w:t>
            </w:r>
          </w:p>
          <w:p w14:paraId="0B696ADD" w14:textId="77777777" w:rsidR="00A33AF7" w:rsidRDefault="00000000">
            <w:pPr>
              <w:spacing w:after="200" w:line="276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4 SCT</w:t>
            </w:r>
          </w:p>
        </w:tc>
      </w:tr>
      <w:tr w:rsidR="00A33AF7" w14:paraId="53826F90" w14:textId="77777777">
        <w:trPr>
          <w:trHeight w:val="1125"/>
        </w:trPr>
        <w:tc>
          <w:tcPr>
            <w:tcW w:w="4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7053C5" w14:textId="77777777" w:rsidR="00A33AF7" w:rsidRDefault="00000000">
            <w:pPr>
              <w:spacing w:after="200" w:line="276" w:lineRule="auto"/>
              <w:rPr>
                <w:rFonts w:ascii="EB Garamond" w:eastAsia="EB Garamond" w:hAnsi="EB Garamond" w:cs="EB Garamond"/>
                <w:b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b/>
                <w:sz w:val="24"/>
                <w:szCs w:val="24"/>
              </w:rPr>
              <w:t>Horas de trabajo</w:t>
            </w:r>
          </w:p>
          <w:p w14:paraId="554A6AD5" w14:textId="77777777" w:rsidR="00A33AF7" w:rsidRDefault="00000000">
            <w:pPr>
              <w:spacing w:after="200" w:line="276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Total: 108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F1450C" w14:textId="77777777" w:rsidR="00A33AF7" w:rsidRDefault="00000000">
            <w:pPr>
              <w:spacing w:after="0" w:line="276" w:lineRule="auto"/>
              <w:rPr>
                <w:rFonts w:ascii="EB Garamond" w:eastAsia="EB Garamond" w:hAnsi="EB Garamond" w:cs="EB Garamond"/>
                <w:b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b/>
                <w:sz w:val="24"/>
                <w:szCs w:val="24"/>
              </w:rPr>
              <w:t>Cantidad de horas presenciales</w:t>
            </w:r>
          </w:p>
          <w:p w14:paraId="1CF2A4C5" w14:textId="77777777" w:rsidR="00A33AF7" w:rsidRDefault="00000000">
            <w:pPr>
              <w:spacing w:after="0" w:line="276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49 horas</w:t>
            </w:r>
          </w:p>
          <w:p w14:paraId="23A7D104" w14:textId="77777777" w:rsidR="00A33AF7" w:rsidRDefault="00000000">
            <w:pPr>
              <w:spacing w:after="0" w:line="276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0A49D0" w14:textId="77777777" w:rsidR="00A33AF7" w:rsidRDefault="00000000">
            <w:pPr>
              <w:spacing w:after="0" w:line="276" w:lineRule="auto"/>
              <w:rPr>
                <w:rFonts w:ascii="EB Garamond" w:eastAsia="EB Garamond" w:hAnsi="EB Garamond" w:cs="EB Garamond"/>
                <w:b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b/>
                <w:sz w:val="24"/>
                <w:szCs w:val="24"/>
              </w:rPr>
              <w:t>Cantidad de horas no presencial</w:t>
            </w:r>
          </w:p>
          <w:p w14:paraId="3DBE95B7" w14:textId="77777777" w:rsidR="00A33AF7" w:rsidRDefault="00000000">
            <w:pPr>
              <w:spacing w:after="0" w:line="276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59 horas</w:t>
            </w:r>
          </w:p>
        </w:tc>
      </w:tr>
      <w:tr w:rsidR="00A33AF7" w14:paraId="43D1C682" w14:textId="77777777">
        <w:trPr>
          <w:trHeight w:val="960"/>
        </w:trPr>
        <w:tc>
          <w:tcPr>
            <w:tcW w:w="882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FEB83C" w14:textId="77777777" w:rsidR="00A33AF7" w:rsidRDefault="00000000">
            <w:pPr>
              <w:spacing w:after="200" w:line="276" w:lineRule="auto"/>
              <w:rPr>
                <w:rFonts w:ascii="EB Garamond" w:eastAsia="EB Garamond" w:hAnsi="EB Garamond" w:cs="EB Garamond"/>
                <w:b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b/>
                <w:sz w:val="24"/>
                <w:szCs w:val="24"/>
              </w:rPr>
              <w:t>Requisitos</w:t>
            </w:r>
          </w:p>
          <w:p w14:paraId="3FEEB63B" w14:textId="77777777" w:rsidR="00A33AF7" w:rsidRDefault="00000000">
            <w:pPr>
              <w:spacing w:after="200" w:line="276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Historia del Derecho II, Derecho Constitucional II y Derecho Internacional Público</w:t>
            </w:r>
          </w:p>
        </w:tc>
      </w:tr>
    </w:tbl>
    <w:p w14:paraId="25CAD25B" w14:textId="77777777" w:rsidR="00A33AF7" w:rsidRDefault="00A33AF7">
      <w:pPr>
        <w:rPr>
          <w:rFonts w:ascii="EB Garamond" w:eastAsia="EB Garamond" w:hAnsi="EB Garamond" w:cs="EB Garamond"/>
        </w:rPr>
      </w:pPr>
    </w:p>
    <w:p w14:paraId="22168F37" w14:textId="77777777" w:rsidR="00A33AF7" w:rsidRDefault="00A33AF7">
      <w:pPr>
        <w:rPr>
          <w:rFonts w:ascii="EB Garamond" w:eastAsia="EB Garamond" w:hAnsi="EB Garamond" w:cs="EB Garamond"/>
        </w:rPr>
      </w:pPr>
    </w:p>
    <w:p w14:paraId="0C78CF69" w14:textId="77777777" w:rsidR="00A33AF7" w:rsidRDefault="00A33AF7">
      <w:pPr>
        <w:rPr>
          <w:rFonts w:ascii="EB Garamond" w:eastAsia="EB Garamond" w:hAnsi="EB Garamond" w:cs="EB Garamond"/>
        </w:rPr>
      </w:pPr>
    </w:p>
    <w:p w14:paraId="3BB96213" w14:textId="77777777" w:rsidR="004D62A8" w:rsidRDefault="004D62A8">
      <w:pPr>
        <w:rPr>
          <w:rFonts w:ascii="EB Garamond" w:eastAsia="EB Garamond" w:hAnsi="EB Garamond" w:cs="EB Garamond"/>
        </w:rPr>
      </w:pPr>
    </w:p>
    <w:p w14:paraId="4C6DB4B5" w14:textId="0E6645C0" w:rsidR="00A14377" w:rsidRPr="004D62A8" w:rsidRDefault="00000000">
      <w:pPr>
        <w:rPr>
          <w:rFonts w:ascii="EB Garamond" w:eastAsia="EB Garamond" w:hAnsi="EB Garamond" w:cs="EB Garamond"/>
          <w:b/>
        </w:rPr>
      </w:pPr>
      <w:r>
        <w:rPr>
          <w:rFonts w:ascii="EB Garamond" w:eastAsia="EB Garamond" w:hAnsi="EB Garamond" w:cs="EB Garamond"/>
          <w:b/>
        </w:rPr>
        <w:lastRenderedPageBreak/>
        <w:t>Syllabus</w:t>
      </w:r>
    </w:p>
    <w:tbl>
      <w:tblPr>
        <w:tblStyle w:val="a0"/>
        <w:tblW w:w="1062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0"/>
        <w:gridCol w:w="945"/>
        <w:gridCol w:w="3225"/>
        <w:gridCol w:w="1920"/>
        <w:gridCol w:w="1935"/>
        <w:gridCol w:w="1905"/>
      </w:tblGrid>
      <w:tr w:rsidR="00A33AF7" w14:paraId="67023CC2" w14:textId="77777777">
        <w:trPr>
          <w:trHeight w:val="240"/>
        </w:trPr>
        <w:tc>
          <w:tcPr>
            <w:tcW w:w="10620" w:type="dxa"/>
            <w:gridSpan w:val="6"/>
          </w:tcPr>
          <w:p w14:paraId="73B7A357" w14:textId="576157AF" w:rsidR="00A33AF7" w:rsidRDefault="00000000">
            <w:pPr>
              <w:jc w:val="both"/>
              <w:rPr>
                <w:rFonts w:ascii="EB Garamond" w:eastAsia="EB Garamond" w:hAnsi="EB Garamond" w:cs="EB Garamond"/>
                <w:b/>
              </w:rPr>
            </w:pPr>
            <w:r>
              <w:rPr>
                <w:rFonts w:ascii="EB Garamond" w:eastAsia="EB Garamond" w:hAnsi="EB Garamond" w:cs="EB Garamond"/>
                <w:b/>
              </w:rPr>
              <w:t>Capítulo III</w:t>
            </w:r>
          </w:p>
        </w:tc>
      </w:tr>
      <w:tr w:rsidR="00A33AF7" w14:paraId="0390383D" w14:textId="77777777">
        <w:tc>
          <w:tcPr>
            <w:tcW w:w="690" w:type="dxa"/>
          </w:tcPr>
          <w:p w14:paraId="5BE1DDEE" w14:textId="77777777" w:rsidR="00A33AF7" w:rsidRDefault="00000000">
            <w:pPr>
              <w:jc w:val="both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21</w:t>
            </w:r>
          </w:p>
        </w:tc>
        <w:tc>
          <w:tcPr>
            <w:tcW w:w="945" w:type="dxa"/>
          </w:tcPr>
          <w:p w14:paraId="030BCC2E" w14:textId="53C7FBFC" w:rsidR="00A33AF7" w:rsidRPr="00A14377" w:rsidRDefault="00A14377">
            <w:pPr>
              <w:jc w:val="both"/>
              <w:rPr>
                <w:rFonts w:ascii="EB Garamond" w:eastAsia="EB Garamond" w:hAnsi="EB Garamond" w:cs="EB Garamond"/>
                <w:highlight w:val="yellow"/>
              </w:rPr>
            </w:pPr>
            <w:r>
              <w:rPr>
                <w:rFonts w:ascii="EB Garamond" w:eastAsia="EB Garamond" w:hAnsi="EB Garamond" w:cs="EB Garamond"/>
                <w:highlight w:val="yellow"/>
              </w:rPr>
              <w:t>10</w:t>
            </w:r>
            <w:r w:rsidRPr="00A14377">
              <w:rPr>
                <w:rFonts w:ascii="EB Garamond" w:eastAsia="EB Garamond" w:hAnsi="EB Garamond" w:cs="EB Garamond"/>
                <w:highlight w:val="yellow"/>
              </w:rPr>
              <w:t>.10</w:t>
            </w:r>
          </w:p>
        </w:tc>
        <w:tc>
          <w:tcPr>
            <w:tcW w:w="3225" w:type="dxa"/>
          </w:tcPr>
          <w:p w14:paraId="76A4B695" w14:textId="77777777" w:rsidR="00A33AF7" w:rsidRDefault="00000000">
            <w:pPr>
              <w:jc w:val="both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DIDH: evolución histórica</w:t>
            </w:r>
          </w:p>
        </w:tc>
        <w:tc>
          <w:tcPr>
            <w:tcW w:w="1920" w:type="dxa"/>
          </w:tcPr>
          <w:p w14:paraId="27FD62FA" w14:textId="77777777" w:rsidR="00A33AF7" w:rsidRDefault="00000000">
            <w:pPr>
              <w:jc w:val="both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Nash, 2023</w:t>
            </w:r>
          </w:p>
        </w:tc>
        <w:tc>
          <w:tcPr>
            <w:tcW w:w="1935" w:type="dxa"/>
          </w:tcPr>
          <w:p w14:paraId="3ECAC9FE" w14:textId="77777777" w:rsidR="00A33AF7" w:rsidRDefault="00A33AF7">
            <w:pPr>
              <w:jc w:val="both"/>
              <w:rPr>
                <w:rFonts w:ascii="EB Garamond" w:eastAsia="EB Garamond" w:hAnsi="EB Garamond" w:cs="EB Garamond"/>
              </w:rPr>
            </w:pPr>
          </w:p>
        </w:tc>
        <w:tc>
          <w:tcPr>
            <w:tcW w:w="1905" w:type="dxa"/>
          </w:tcPr>
          <w:p w14:paraId="04B3DF75" w14:textId="77777777" w:rsidR="00A33AF7" w:rsidRDefault="00000000">
            <w:pPr>
              <w:jc w:val="both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Video (u-cursos) y discusión en clases</w:t>
            </w:r>
          </w:p>
        </w:tc>
      </w:tr>
      <w:tr w:rsidR="00A33AF7" w14:paraId="753201EA" w14:textId="77777777">
        <w:tc>
          <w:tcPr>
            <w:tcW w:w="690" w:type="dxa"/>
          </w:tcPr>
          <w:p w14:paraId="4ECA407F" w14:textId="77777777" w:rsidR="00A33AF7" w:rsidRDefault="00000000">
            <w:pPr>
              <w:jc w:val="both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22</w:t>
            </w:r>
          </w:p>
        </w:tc>
        <w:tc>
          <w:tcPr>
            <w:tcW w:w="945" w:type="dxa"/>
          </w:tcPr>
          <w:p w14:paraId="401914CA" w14:textId="3159410D" w:rsidR="00A33AF7" w:rsidRPr="00A14377" w:rsidRDefault="00000000">
            <w:pPr>
              <w:jc w:val="both"/>
              <w:rPr>
                <w:rFonts w:ascii="EB Garamond" w:eastAsia="EB Garamond" w:hAnsi="EB Garamond" w:cs="EB Garamond"/>
                <w:highlight w:val="yellow"/>
              </w:rPr>
            </w:pPr>
            <w:r w:rsidRPr="00A14377">
              <w:rPr>
                <w:rFonts w:ascii="EB Garamond" w:eastAsia="EB Garamond" w:hAnsi="EB Garamond" w:cs="EB Garamond"/>
                <w:highlight w:val="yellow"/>
              </w:rPr>
              <w:t>1</w:t>
            </w:r>
            <w:r w:rsidR="00A14377">
              <w:rPr>
                <w:rFonts w:ascii="EB Garamond" w:eastAsia="EB Garamond" w:hAnsi="EB Garamond" w:cs="EB Garamond"/>
                <w:highlight w:val="yellow"/>
              </w:rPr>
              <w:t>3</w:t>
            </w:r>
            <w:r w:rsidRPr="00A14377">
              <w:rPr>
                <w:rFonts w:ascii="EB Garamond" w:eastAsia="EB Garamond" w:hAnsi="EB Garamond" w:cs="EB Garamond"/>
                <w:highlight w:val="yellow"/>
              </w:rPr>
              <w:t>.10</w:t>
            </w:r>
          </w:p>
        </w:tc>
        <w:tc>
          <w:tcPr>
            <w:tcW w:w="3225" w:type="dxa"/>
          </w:tcPr>
          <w:p w14:paraId="1D3F5C42" w14:textId="77777777" w:rsidR="00A33AF7" w:rsidRDefault="00000000">
            <w:pPr>
              <w:jc w:val="both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DIDH y Derecho Internacional Público: aspectos generales</w:t>
            </w:r>
          </w:p>
        </w:tc>
        <w:tc>
          <w:tcPr>
            <w:tcW w:w="1920" w:type="dxa"/>
          </w:tcPr>
          <w:p w14:paraId="22C2FF69" w14:textId="77777777" w:rsidR="00A33AF7" w:rsidRDefault="00000000">
            <w:pPr>
              <w:jc w:val="both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Nash, 2023</w:t>
            </w:r>
          </w:p>
        </w:tc>
        <w:tc>
          <w:tcPr>
            <w:tcW w:w="1935" w:type="dxa"/>
          </w:tcPr>
          <w:p w14:paraId="2DCD11CC" w14:textId="77777777" w:rsidR="00A33AF7" w:rsidRDefault="00A33AF7">
            <w:pPr>
              <w:jc w:val="both"/>
              <w:rPr>
                <w:rFonts w:ascii="EB Garamond" w:eastAsia="EB Garamond" w:hAnsi="EB Garamond" w:cs="EB Garamond"/>
              </w:rPr>
            </w:pPr>
          </w:p>
        </w:tc>
        <w:tc>
          <w:tcPr>
            <w:tcW w:w="1905" w:type="dxa"/>
          </w:tcPr>
          <w:p w14:paraId="2F3090DC" w14:textId="77777777" w:rsidR="00A33AF7" w:rsidRDefault="00A33AF7">
            <w:pPr>
              <w:jc w:val="both"/>
              <w:rPr>
                <w:rFonts w:ascii="EB Garamond" w:eastAsia="EB Garamond" w:hAnsi="EB Garamond" w:cs="EB Garamond"/>
              </w:rPr>
            </w:pPr>
          </w:p>
        </w:tc>
      </w:tr>
      <w:tr w:rsidR="00A33AF7" w14:paraId="37584E11" w14:textId="77777777">
        <w:tc>
          <w:tcPr>
            <w:tcW w:w="690" w:type="dxa"/>
          </w:tcPr>
          <w:p w14:paraId="1A805E7A" w14:textId="77777777" w:rsidR="00A33AF7" w:rsidRDefault="00000000">
            <w:pPr>
              <w:jc w:val="both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23</w:t>
            </w:r>
          </w:p>
        </w:tc>
        <w:tc>
          <w:tcPr>
            <w:tcW w:w="945" w:type="dxa"/>
          </w:tcPr>
          <w:p w14:paraId="49B53A86" w14:textId="77777777" w:rsidR="00A33AF7" w:rsidRPr="00A14377" w:rsidRDefault="00000000">
            <w:pPr>
              <w:jc w:val="both"/>
              <w:rPr>
                <w:rFonts w:ascii="EB Garamond" w:eastAsia="EB Garamond" w:hAnsi="EB Garamond" w:cs="EB Garamond"/>
                <w:highlight w:val="yellow"/>
              </w:rPr>
            </w:pPr>
            <w:r w:rsidRPr="00A14377">
              <w:rPr>
                <w:rFonts w:ascii="EB Garamond" w:eastAsia="EB Garamond" w:hAnsi="EB Garamond" w:cs="EB Garamond"/>
                <w:highlight w:val="yellow"/>
              </w:rPr>
              <w:t>13.10</w:t>
            </w:r>
          </w:p>
        </w:tc>
        <w:tc>
          <w:tcPr>
            <w:tcW w:w="3225" w:type="dxa"/>
          </w:tcPr>
          <w:p w14:paraId="4892F61A" w14:textId="77777777" w:rsidR="00A33AF7" w:rsidRDefault="00000000">
            <w:pPr>
              <w:jc w:val="both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Fuentes del DIDH</w:t>
            </w:r>
          </w:p>
        </w:tc>
        <w:tc>
          <w:tcPr>
            <w:tcW w:w="1920" w:type="dxa"/>
          </w:tcPr>
          <w:p w14:paraId="48F831F7" w14:textId="77777777" w:rsidR="00A33AF7" w:rsidRDefault="00000000">
            <w:pPr>
              <w:jc w:val="both"/>
              <w:rPr>
                <w:rFonts w:ascii="EB Garamond" w:eastAsia="EB Garamond" w:hAnsi="EB Garamond" w:cs="EB Garamond"/>
              </w:rPr>
            </w:pPr>
            <w:proofErr w:type="spellStart"/>
            <w:r>
              <w:rPr>
                <w:rFonts w:ascii="EB Garamond" w:eastAsia="EB Garamond" w:hAnsi="EB Garamond" w:cs="EB Garamond"/>
              </w:rPr>
              <w:t>Tarre</w:t>
            </w:r>
            <w:proofErr w:type="spellEnd"/>
            <w:r>
              <w:rPr>
                <w:rFonts w:ascii="EB Garamond" w:eastAsia="EB Garamond" w:hAnsi="EB Garamond" w:cs="EB Garamond"/>
              </w:rPr>
              <w:t xml:space="preserve"> (video)</w:t>
            </w:r>
          </w:p>
        </w:tc>
        <w:tc>
          <w:tcPr>
            <w:tcW w:w="1935" w:type="dxa"/>
          </w:tcPr>
          <w:p w14:paraId="74A1A77F" w14:textId="77777777" w:rsidR="00A33AF7" w:rsidRDefault="00A33AF7">
            <w:pPr>
              <w:jc w:val="both"/>
              <w:rPr>
                <w:rFonts w:ascii="EB Garamond" w:eastAsia="EB Garamond" w:hAnsi="EB Garamond" w:cs="EB Garamond"/>
              </w:rPr>
            </w:pPr>
          </w:p>
        </w:tc>
        <w:tc>
          <w:tcPr>
            <w:tcW w:w="1905" w:type="dxa"/>
          </w:tcPr>
          <w:p w14:paraId="78A39A03" w14:textId="77777777" w:rsidR="00A33AF7" w:rsidRDefault="00000000">
            <w:pPr>
              <w:jc w:val="both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 xml:space="preserve">Análisis de video Patricia </w:t>
            </w:r>
            <w:proofErr w:type="spellStart"/>
            <w:r>
              <w:rPr>
                <w:rFonts w:ascii="EB Garamond" w:eastAsia="EB Garamond" w:hAnsi="EB Garamond" w:cs="EB Garamond"/>
              </w:rPr>
              <w:t>Tarre</w:t>
            </w:r>
            <w:proofErr w:type="spellEnd"/>
          </w:p>
        </w:tc>
      </w:tr>
      <w:tr w:rsidR="00A33AF7" w14:paraId="6A0BFB8C" w14:textId="77777777">
        <w:tc>
          <w:tcPr>
            <w:tcW w:w="690" w:type="dxa"/>
          </w:tcPr>
          <w:p w14:paraId="51B7A815" w14:textId="77777777" w:rsidR="00A33AF7" w:rsidRDefault="00000000">
            <w:pPr>
              <w:jc w:val="both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24</w:t>
            </w:r>
          </w:p>
        </w:tc>
        <w:tc>
          <w:tcPr>
            <w:tcW w:w="945" w:type="dxa"/>
          </w:tcPr>
          <w:p w14:paraId="0DB81987" w14:textId="77777777" w:rsidR="00A33AF7" w:rsidRPr="00A14377" w:rsidRDefault="00000000">
            <w:pPr>
              <w:jc w:val="both"/>
              <w:rPr>
                <w:rFonts w:ascii="EB Garamond" w:eastAsia="EB Garamond" w:hAnsi="EB Garamond" w:cs="EB Garamond"/>
                <w:highlight w:val="yellow"/>
              </w:rPr>
            </w:pPr>
            <w:r w:rsidRPr="00A14377">
              <w:rPr>
                <w:rFonts w:ascii="EB Garamond" w:eastAsia="EB Garamond" w:hAnsi="EB Garamond" w:cs="EB Garamond"/>
                <w:highlight w:val="yellow"/>
              </w:rPr>
              <w:t>16.10</w:t>
            </w:r>
          </w:p>
        </w:tc>
        <w:tc>
          <w:tcPr>
            <w:tcW w:w="3225" w:type="dxa"/>
          </w:tcPr>
          <w:p w14:paraId="6AB81919" w14:textId="77777777" w:rsidR="00A33AF7" w:rsidRDefault="00000000">
            <w:pPr>
              <w:jc w:val="both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Características generales de la protección internacional de DDHH: naturaleza órganos protección</w:t>
            </w:r>
          </w:p>
        </w:tc>
        <w:tc>
          <w:tcPr>
            <w:tcW w:w="1920" w:type="dxa"/>
          </w:tcPr>
          <w:p w14:paraId="33A7B1BE" w14:textId="77777777" w:rsidR="00A33AF7" w:rsidRDefault="00000000">
            <w:pPr>
              <w:jc w:val="both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Nikken, 1994</w:t>
            </w:r>
          </w:p>
        </w:tc>
        <w:tc>
          <w:tcPr>
            <w:tcW w:w="1935" w:type="dxa"/>
          </w:tcPr>
          <w:p w14:paraId="435AA1D0" w14:textId="77777777" w:rsidR="00A33AF7" w:rsidRDefault="00A33AF7">
            <w:pPr>
              <w:jc w:val="both"/>
              <w:rPr>
                <w:rFonts w:ascii="EB Garamond" w:eastAsia="EB Garamond" w:hAnsi="EB Garamond" w:cs="EB Garamond"/>
              </w:rPr>
            </w:pPr>
          </w:p>
        </w:tc>
        <w:tc>
          <w:tcPr>
            <w:tcW w:w="1905" w:type="dxa"/>
          </w:tcPr>
          <w:p w14:paraId="06FE6F99" w14:textId="77777777" w:rsidR="00A33AF7" w:rsidRDefault="00000000">
            <w:pPr>
              <w:jc w:val="both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Análisis de caso</w:t>
            </w:r>
          </w:p>
        </w:tc>
      </w:tr>
      <w:tr w:rsidR="004D62A8" w14:paraId="7DDB5FF1" w14:textId="77777777">
        <w:tc>
          <w:tcPr>
            <w:tcW w:w="690" w:type="dxa"/>
          </w:tcPr>
          <w:p w14:paraId="68BE2830" w14:textId="77777777" w:rsidR="004D62A8" w:rsidRDefault="004D62A8" w:rsidP="004D62A8">
            <w:pPr>
              <w:jc w:val="both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25</w:t>
            </w:r>
          </w:p>
        </w:tc>
        <w:tc>
          <w:tcPr>
            <w:tcW w:w="945" w:type="dxa"/>
          </w:tcPr>
          <w:p w14:paraId="62189CB7" w14:textId="77777777" w:rsidR="004D62A8" w:rsidRPr="00A14377" w:rsidRDefault="004D62A8" w:rsidP="004D62A8">
            <w:pPr>
              <w:jc w:val="both"/>
              <w:rPr>
                <w:rFonts w:ascii="EB Garamond" w:eastAsia="EB Garamond" w:hAnsi="EB Garamond" w:cs="EB Garamond"/>
                <w:highlight w:val="yellow"/>
              </w:rPr>
            </w:pPr>
            <w:r w:rsidRPr="00A14377">
              <w:rPr>
                <w:rFonts w:ascii="EB Garamond" w:eastAsia="EB Garamond" w:hAnsi="EB Garamond" w:cs="EB Garamond"/>
                <w:highlight w:val="yellow"/>
              </w:rPr>
              <w:t>17.10</w:t>
            </w:r>
          </w:p>
        </w:tc>
        <w:tc>
          <w:tcPr>
            <w:tcW w:w="3225" w:type="dxa"/>
          </w:tcPr>
          <w:p w14:paraId="65410C2B" w14:textId="77777777" w:rsidR="004D62A8" w:rsidRDefault="004D62A8" w:rsidP="004D62A8">
            <w:pPr>
              <w:jc w:val="both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Catálogos de derechos: aspectos generales</w:t>
            </w:r>
          </w:p>
        </w:tc>
        <w:tc>
          <w:tcPr>
            <w:tcW w:w="1920" w:type="dxa"/>
          </w:tcPr>
          <w:p w14:paraId="0B7CB8D9" w14:textId="77777777" w:rsidR="004D62A8" w:rsidRDefault="004D62A8" w:rsidP="004D62A8">
            <w:pPr>
              <w:jc w:val="both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Declaración Universal de Derechos Humanos, 1948; Pactos Internacionales ONU, 1966</w:t>
            </w:r>
          </w:p>
        </w:tc>
        <w:tc>
          <w:tcPr>
            <w:tcW w:w="1935" w:type="dxa"/>
          </w:tcPr>
          <w:p w14:paraId="4ACC0D89" w14:textId="77777777" w:rsidR="004D62A8" w:rsidRDefault="004D62A8" w:rsidP="004D62A8">
            <w:pPr>
              <w:jc w:val="both"/>
              <w:rPr>
                <w:rFonts w:ascii="EB Garamond" w:eastAsia="EB Garamond" w:hAnsi="EB Garamond" w:cs="EB Garamond"/>
              </w:rPr>
            </w:pPr>
          </w:p>
        </w:tc>
        <w:tc>
          <w:tcPr>
            <w:tcW w:w="1905" w:type="dxa"/>
          </w:tcPr>
          <w:p w14:paraId="11301D29" w14:textId="5C38AD8D" w:rsidR="004D62A8" w:rsidRDefault="004D62A8" w:rsidP="004D62A8">
            <w:pPr>
              <w:jc w:val="both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Análisis de caso</w:t>
            </w:r>
          </w:p>
        </w:tc>
      </w:tr>
      <w:tr w:rsidR="004D62A8" w14:paraId="7CB7E8A3" w14:textId="77777777">
        <w:tc>
          <w:tcPr>
            <w:tcW w:w="690" w:type="dxa"/>
          </w:tcPr>
          <w:p w14:paraId="63FCADA4" w14:textId="77777777" w:rsidR="004D62A8" w:rsidRDefault="004D62A8" w:rsidP="004D62A8">
            <w:pPr>
              <w:jc w:val="both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26</w:t>
            </w:r>
          </w:p>
        </w:tc>
        <w:tc>
          <w:tcPr>
            <w:tcW w:w="945" w:type="dxa"/>
          </w:tcPr>
          <w:p w14:paraId="6F9E479D" w14:textId="77777777" w:rsidR="004D62A8" w:rsidRPr="00A14377" w:rsidRDefault="004D62A8" w:rsidP="004D62A8">
            <w:pPr>
              <w:jc w:val="both"/>
              <w:rPr>
                <w:rFonts w:ascii="EB Garamond" w:eastAsia="EB Garamond" w:hAnsi="EB Garamond" w:cs="EB Garamond"/>
                <w:highlight w:val="yellow"/>
              </w:rPr>
            </w:pPr>
            <w:r w:rsidRPr="00A14377">
              <w:rPr>
                <w:rFonts w:ascii="EB Garamond" w:eastAsia="EB Garamond" w:hAnsi="EB Garamond" w:cs="EB Garamond"/>
                <w:highlight w:val="yellow"/>
              </w:rPr>
              <w:t>20.10</w:t>
            </w:r>
          </w:p>
        </w:tc>
        <w:tc>
          <w:tcPr>
            <w:tcW w:w="3225" w:type="dxa"/>
          </w:tcPr>
          <w:p w14:paraId="262E467A" w14:textId="07CE4441" w:rsidR="004D62A8" w:rsidRPr="00752EE9" w:rsidRDefault="00DA0E56" w:rsidP="004D62A8">
            <w:pPr>
              <w:jc w:val="both"/>
              <w:rPr>
                <w:rFonts w:ascii="EB Garamond" w:eastAsia="EB Garamond" w:hAnsi="EB Garamond" w:cs="EB Garamond"/>
                <w:highlight w:val="yellow"/>
              </w:rPr>
            </w:pPr>
            <w:r w:rsidRPr="00752EE9">
              <w:rPr>
                <w:rFonts w:ascii="EB Garamond" w:eastAsia="EB Garamond" w:hAnsi="EB Garamond" w:cs="EB Garamond"/>
                <w:highlight w:val="yellow"/>
              </w:rPr>
              <w:t>Paro actividades</w:t>
            </w:r>
          </w:p>
        </w:tc>
        <w:tc>
          <w:tcPr>
            <w:tcW w:w="1920" w:type="dxa"/>
          </w:tcPr>
          <w:p w14:paraId="58527423" w14:textId="7DABDDAF" w:rsidR="004D62A8" w:rsidRDefault="004D62A8" w:rsidP="004D62A8">
            <w:pPr>
              <w:jc w:val="both"/>
              <w:rPr>
                <w:rFonts w:ascii="EB Garamond" w:eastAsia="EB Garamond" w:hAnsi="EB Garamond" w:cs="EB Garamond"/>
              </w:rPr>
            </w:pPr>
          </w:p>
        </w:tc>
        <w:tc>
          <w:tcPr>
            <w:tcW w:w="1935" w:type="dxa"/>
          </w:tcPr>
          <w:p w14:paraId="6E3E36EF" w14:textId="77777777" w:rsidR="004D62A8" w:rsidRDefault="004D62A8" w:rsidP="004D62A8">
            <w:pPr>
              <w:jc w:val="both"/>
              <w:rPr>
                <w:rFonts w:ascii="EB Garamond" w:eastAsia="EB Garamond" w:hAnsi="EB Garamond" w:cs="EB Garamond"/>
              </w:rPr>
            </w:pPr>
          </w:p>
        </w:tc>
        <w:tc>
          <w:tcPr>
            <w:tcW w:w="1905" w:type="dxa"/>
          </w:tcPr>
          <w:p w14:paraId="63CE4EF5" w14:textId="6AEAABF6" w:rsidR="004D62A8" w:rsidRDefault="004D62A8" w:rsidP="004D62A8">
            <w:pPr>
              <w:jc w:val="both"/>
              <w:rPr>
                <w:rFonts w:ascii="EB Garamond" w:eastAsia="EB Garamond" w:hAnsi="EB Garamond" w:cs="EB Garamond"/>
              </w:rPr>
            </w:pPr>
          </w:p>
        </w:tc>
      </w:tr>
      <w:tr w:rsidR="004D62A8" w14:paraId="62BAFB47" w14:textId="77777777">
        <w:tc>
          <w:tcPr>
            <w:tcW w:w="690" w:type="dxa"/>
          </w:tcPr>
          <w:p w14:paraId="3664BB0A" w14:textId="77777777" w:rsidR="004D62A8" w:rsidRDefault="004D62A8" w:rsidP="004D62A8">
            <w:pPr>
              <w:jc w:val="both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27</w:t>
            </w:r>
          </w:p>
        </w:tc>
        <w:tc>
          <w:tcPr>
            <w:tcW w:w="945" w:type="dxa"/>
          </w:tcPr>
          <w:p w14:paraId="516831D8" w14:textId="0C8B1ACA" w:rsidR="004D62A8" w:rsidRPr="00A14377" w:rsidRDefault="004D62A8" w:rsidP="004D62A8">
            <w:pPr>
              <w:jc w:val="both"/>
              <w:rPr>
                <w:rFonts w:ascii="EB Garamond" w:eastAsia="EB Garamond" w:hAnsi="EB Garamond" w:cs="EB Garamond"/>
                <w:highlight w:val="yellow"/>
              </w:rPr>
            </w:pPr>
            <w:r w:rsidRPr="00A14377">
              <w:rPr>
                <w:rFonts w:ascii="EB Garamond" w:eastAsia="EB Garamond" w:hAnsi="EB Garamond" w:cs="EB Garamond"/>
                <w:highlight w:val="yellow"/>
              </w:rPr>
              <w:t>2</w:t>
            </w:r>
            <w:r>
              <w:rPr>
                <w:rFonts w:ascii="EB Garamond" w:eastAsia="EB Garamond" w:hAnsi="EB Garamond" w:cs="EB Garamond"/>
                <w:highlight w:val="yellow"/>
              </w:rPr>
              <w:t>3</w:t>
            </w:r>
            <w:r w:rsidRPr="00A14377">
              <w:rPr>
                <w:rFonts w:ascii="EB Garamond" w:eastAsia="EB Garamond" w:hAnsi="EB Garamond" w:cs="EB Garamond"/>
                <w:highlight w:val="yellow"/>
              </w:rPr>
              <w:t>.10</w:t>
            </w:r>
          </w:p>
        </w:tc>
        <w:tc>
          <w:tcPr>
            <w:tcW w:w="3225" w:type="dxa"/>
          </w:tcPr>
          <w:p w14:paraId="254D02B0" w14:textId="77777777" w:rsidR="004D62A8" w:rsidRDefault="004D62A8" w:rsidP="004D62A8">
            <w:pPr>
              <w:jc w:val="both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Derecho Refugiados</w:t>
            </w:r>
          </w:p>
        </w:tc>
        <w:tc>
          <w:tcPr>
            <w:tcW w:w="1920" w:type="dxa"/>
          </w:tcPr>
          <w:p w14:paraId="166CDDE6" w14:textId="77777777" w:rsidR="004D62A8" w:rsidRDefault="004D62A8" w:rsidP="004D62A8">
            <w:pPr>
              <w:jc w:val="both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ONU, s/f</w:t>
            </w:r>
          </w:p>
        </w:tc>
        <w:tc>
          <w:tcPr>
            <w:tcW w:w="1935" w:type="dxa"/>
          </w:tcPr>
          <w:p w14:paraId="698990BA" w14:textId="77777777" w:rsidR="004D62A8" w:rsidRDefault="004D62A8" w:rsidP="004D62A8">
            <w:pPr>
              <w:jc w:val="both"/>
              <w:rPr>
                <w:rFonts w:ascii="EB Garamond" w:eastAsia="EB Garamond" w:hAnsi="EB Garamond" w:cs="EB Garamond"/>
              </w:rPr>
            </w:pPr>
          </w:p>
        </w:tc>
        <w:tc>
          <w:tcPr>
            <w:tcW w:w="1905" w:type="dxa"/>
          </w:tcPr>
          <w:p w14:paraId="5D82170B" w14:textId="423B977F" w:rsidR="004D62A8" w:rsidRDefault="004D62A8" w:rsidP="004D62A8">
            <w:pPr>
              <w:jc w:val="both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Análisis de caso</w:t>
            </w:r>
          </w:p>
        </w:tc>
      </w:tr>
      <w:tr w:rsidR="004D62A8" w14:paraId="43528689" w14:textId="77777777">
        <w:tc>
          <w:tcPr>
            <w:tcW w:w="690" w:type="dxa"/>
          </w:tcPr>
          <w:p w14:paraId="3A46BD6B" w14:textId="77777777" w:rsidR="004D62A8" w:rsidRDefault="004D62A8" w:rsidP="004D62A8">
            <w:pPr>
              <w:jc w:val="both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28</w:t>
            </w:r>
          </w:p>
        </w:tc>
        <w:tc>
          <w:tcPr>
            <w:tcW w:w="945" w:type="dxa"/>
          </w:tcPr>
          <w:p w14:paraId="46DD778E" w14:textId="4CEF00FD" w:rsidR="004D62A8" w:rsidRPr="00A14377" w:rsidRDefault="004D62A8" w:rsidP="004D62A8">
            <w:pPr>
              <w:jc w:val="both"/>
              <w:rPr>
                <w:rFonts w:ascii="EB Garamond" w:eastAsia="EB Garamond" w:hAnsi="EB Garamond" w:cs="EB Garamond"/>
                <w:highlight w:val="yellow"/>
              </w:rPr>
            </w:pPr>
            <w:r w:rsidRPr="00A14377">
              <w:rPr>
                <w:rFonts w:ascii="EB Garamond" w:eastAsia="EB Garamond" w:hAnsi="EB Garamond" w:cs="EB Garamond"/>
                <w:highlight w:val="yellow"/>
              </w:rPr>
              <w:t>2</w:t>
            </w:r>
            <w:r>
              <w:rPr>
                <w:rFonts w:ascii="EB Garamond" w:eastAsia="EB Garamond" w:hAnsi="EB Garamond" w:cs="EB Garamond"/>
                <w:highlight w:val="yellow"/>
              </w:rPr>
              <w:t>3</w:t>
            </w:r>
            <w:r w:rsidRPr="00A14377">
              <w:rPr>
                <w:rFonts w:ascii="EB Garamond" w:eastAsia="EB Garamond" w:hAnsi="EB Garamond" w:cs="EB Garamond"/>
                <w:highlight w:val="yellow"/>
              </w:rPr>
              <w:t>.10</w:t>
            </w:r>
          </w:p>
        </w:tc>
        <w:tc>
          <w:tcPr>
            <w:tcW w:w="3225" w:type="dxa"/>
          </w:tcPr>
          <w:p w14:paraId="39405994" w14:textId="77777777" w:rsidR="004D62A8" w:rsidRDefault="004D62A8" w:rsidP="004D62A8">
            <w:pPr>
              <w:jc w:val="both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Derecho Medioambiental</w:t>
            </w:r>
          </w:p>
        </w:tc>
        <w:tc>
          <w:tcPr>
            <w:tcW w:w="1920" w:type="dxa"/>
          </w:tcPr>
          <w:p w14:paraId="74B9582E" w14:textId="77777777" w:rsidR="004D62A8" w:rsidRDefault="004D62A8" w:rsidP="004D62A8">
            <w:pPr>
              <w:jc w:val="both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Corte IDH, 2017</w:t>
            </w:r>
          </w:p>
        </w:tc>
        <w:tc>
          <w:tcPr>
            <w:tcW w:w="1935" w:type="dxa"/>
          </w:tcPr>
          <w:p w14:paraId="0578DF9D" w14:textId="77777777" w:rsidR="004D62A8" w:rsidRDefault="004D62A8" w:rsidP="004D62A8">
            <w:pPr>
              <w:jc w:val="both"/>
              <w:rPr>
                <w:rFonts w:ascii="EB Garamond" w:eastAsia="EB Garamond" w:hAnsi="EB Garamond" w:cs="EB Garamond"/>
              </w:rPr>
            </w:pPr>
          </w:p>
        </w:tc>
        <w:tc>
          <w:tcPr>
            <w:tcW w:w="1905" w:type="dxa"/>
          </w:tcPr>
          <w:p w14:paraId="09274A1A" w14:textId="77777777" w:rsidR="004D62A8" w:rsidRDefault="004D62A8" w:rsidP="004D62A8">
            <w:pPr>
              <w:jc w:val="both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ONU (youtube)</w:t>
            </w:r>
          </w:p>
        </w:tc>
      </w:tr>
      <w:tr w:rsidR="004D62A8" w14:paraId="0820C9DA" w14:textId="77777777">
        <w:tc>
          <w:tcPr>
            <w:tcW w:w="690" w:type="dxa"/>
          </w:tcPr>
          <w:p w14:paraId="50000D5C" w14:textId="77777777" w:rsidR="004D62A8" w:rsidRDefault="004D62A8" w:rsidP="004D62A8">
            <w:pPr>
              <w:jc w:val="both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29</w:t>
            </w:r>
          </w:p>
        </w:tc>
        <w:tc>
          <w:tcPr>
            <w:tcW w:w="945" w:type="dxa"/>
          </w:tcPr>
          <w:p w14:paraId="2D0D693A" w14:textId="613BE286" w:rsidR="004D62A8" w:rsidRPr="00A14377" w:rsidRDefault="004D62A8" w:rsidP="004D62A8">
            <w:pPr>
              <w:jc w:val="both"/>
              <w:rPr>
                <w:rFonts w:ascii="EB Garamond" w:eastAsia="EB Garamond" w:hAnsi="EB Garamond" w:cs="EB Garamond"/>
                <w:highlight w:val="yellow"/>
              </w:rPr>
            </w:pPr>
            <w:r w:rsidRPr="00A14377">
              <w:rPr>
                <w:rFonts w:ascii="EB Garamond" w:eastAsia="EB Garamond" w:hAnsi="EB Garamond" w:cs="EB Garamond"/>
                <w:highlight w:val="yellow"/>
              </w:rPr>
              <w:t>2</w:t>
            </w:r>
            <w:r>
              <w:rPr>
                <w:rFonts w:ascii="EB Garamond" w:eastAsia="EB Garamond" w:hAnsi="EB Garamond" w:cs="EB Garamond"/>
                <w:highlight w:val="yellow"/>
              </w:rPr>
              <w:t>4</w:t>
            </w:r>
            <w:r w:rsidRPr="00A14377">
              <w:rPr>
                <w:rFonts w:ascii="EB Garamond" w:eastAsia="EB Garamond" w:hAnsi="EB Garamond" w:cs="EB Garamond"/>
                <w:highlight w:val="yellow"/>
              </w:rPr>
              <w:t>.10</w:t>
            </w:r>
          </w:p>
        </w:tc>
        <w:tc>
          <w:tcPr>
            <w:tcW w:w="3225" w:type="dxa"/>
          </w:tcPr>
          <w:p w14:paraId="768A91A3" w14:textId="77777777" w:rsidR="004D62A8" w:rsidRDefault="004D62A8" w:rsidP="004D62A8">
            <w:pPr>
              <w:jc w:val="both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Responsabilidad internacional del Estado y DDHH: aspectos generales</w:t>
            </w:r>
          </w:p>
        </w:tc>
        <w:tc>
          <w:tcPr>
            <w:tcW w:w="1920" w:type="dxa"/>
          </w:tcPr>
          <w:p w14:paraId="3D020391" w14:textId="77777777" w:rsidR="004D62A8" w:rsidRDefault="004D62A8" w:rsidP="004D62A8">
            <w:pPr>
              <w:jc w:val="both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CDI, 2001; Nash, 2023</w:t>
            </w:r>
          </w:p>
        </w:tc>
        <w:tc>
          <w:tcPr>
            <w:tcW w:w="1935" w:type="dxa"/>
          </w:tcPr>
          <w:p w14:paraId="114F93FE" w14:textId="77777777" w:rsidR="004D62A8" w:rsidRDefault="004D62A8" w:rsidP="004D62A8">
            <w:pPr>
              <w:jc w:val="both"/>
              <w:rPr>
                <w:rFonts w:ascii="EB Garamond" w:eastAsia="EB Garamond" w:hAnsi="EB Garamond" w:cs="EB Garamond"/>
              </w:rPr>
            </w:pPr>
          </w:p>
        </w:tc>
        <w:tc>
          <w:tcPr>
            <w:tcW w:w="1905" w:type="dxa"/>
          </w:tcPr>
          <w:p w14:paraId="34ED213C" w14:textId="77777777" w:rsidR="004D62A8" w:rsidRDefault="004D62A8" w:rsidP="004D62A8">
            <w:pPr>
              <w:jc w:val="both"/>
              <w:rPr>
                <w:rFonts w:ascii="EB Garamond" w:eastAsia="EB Garamond" w:hAnsi="EB Garamond" w:cs="EB Garamond"/>
              </w:rPr>
            </w:pPr>
          </w:p>
        </w:tc>
      </w:tr>
      <w:tr w:rsidR="004D62A8" w14:paraId="60925E17" w14:textId="77777777">
        <w:tc>
          <w:tcPr>
            <w:tcW w:w="690" w:type="dxa"/>
          </w:tcPr>
          <w:p w14:paraId="6CEC5582" w14:textId="77777777" w:rsidR="004D62A8" w:rsidRDefault="004D62A8" w:rsidP="004D62A8">
            <w:pPr>
              <w:jc w:val="both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30</w:t>
            </w:r>
          </w:p>
        </w:tc>
        <w:tc>
          <w:tcPr>
            <w:tcW w:w="945" w:type="dxa"/>
          </w:tcPr>
          <w:p w14:paraId="41994799" w14:textId="57B33925" w:rsidR="004D62A8" w:rsidRPr="00A14377" w:rsidRDefault="004D62A8" w:rsidP="004D62A8">
            <w:pPr>
              <w:jc w:val="both"/>
              <w:rPr>
                <w:rFonts w:ascii="EB Garamond" w:eastAsia="EB Garamond" w:hAnsi="EB Garamond" w:cs="EB Garamond"/>
                <w:highlight w:val="yellow"/>
              </w:rPr>
            </w:pPr>
            <w:r>
              <w:rPr>
                <w:rFonts w:ascii="EB Garamond" w:eastAsia="EB Garamond" w:hAnsi="EB Garamond" w:cs="EB Garamond"/>
                <w:highlight w:val="yellow"/>
              </w:rPr>
              <w:t>24</w:t>
            </w:r>
            <w:r w:rsidRPr="00A14377">
              <w:rPr>
                <w:rFonts w:ascii="EB Garamond" w:eastAsia="EB Garamond" w:hAnsi="EB Garamond" w:cs="EB Garamond"/>
                <w:highlight w:val="yellow"/>
              </w:rPr>
              <w:t>.10</w:t>
            </w:r>
          </w:p>
        </w:tc>
        <w:tc>
          <w:tcPr>
            <w:tcW w:w="3225" w:type="dxa"/>
          </w:tcPr>
          <w:p w14:paraId="305C9DA9" w14:textId="77777777" w:rsidR="004D62A8" w:rsidRDefault="004D62A8" w:rsidP="004D62A8">
            <w:pPr>
              <w:jc w:val="both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Responsabilidad internacional del Estado: sistema universal y regionales</w:t>
            </w:r>
          </w:p>
        </w:tc>
        <w:tc>
          <w:tcPr>
            <w:tcW w:w="1920" w:type="dxa"/>
          </w:tcPr>
          <w:p w14:paraId="6C193781" w14:textId="77777777" w:rsidR="004D62A8" w:rsidRDefault="004D62A8" w:rsidP="004D62A8">
            <w:pPr>
              <w:jc w:val="both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Nash, 2023</w:t>
            </w:r>
          </w:p>
        </w:tc>
        <w:tc>
          <w:tcPr>
            <w:tcW w:w="1935" w:type="dxa"/>
          </w:tcPr>
          <w:p w14:paraId="1E734B46" w14:textId="77777777" w:rsidR="004D62A8" w:rsidRDefault="004D62A8" w:rsidP="004D62A8">
            <w:pPr>
              <w:jc w:val="both"/>
              <w:rPr>
                <w:rFonts w:ascii="EB Garamond" w:eastAsia="EB Garamond" w:hAnsi="EB Garamond" w:cs="EB Garamond"/>
              </w:rPr>
            </w:pPr>
          </w:p>
        </w:tc>
        <w:tc>
          <w:tcPr>
            <w:tcW w:w="1905" w:type="dxa"/>
          </w:tcPr>
          <w:p w14:paraId="481B7633" w14:textId="77777777" w:rsidR="004D62A8" w:rsidRDefault="004D62A8" w:rsidP="004D62A8">
            <w:pPr>
              <w:jc w:val="both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Videos introductorios</w:t>
            </w:r>
          </w:p>
        </w:tc>
      </w:tr>
      <w:tr w:rsidR="00ED09C8" w14:paraId="6BDE2C37" w14:textId="77777777">
        <w:tc>
          <w:tcPr>
            <w:tcW w:w="690" w:type="dxa"/>
          </w:tcPr>
          <w:p w14:paraId="6A3070D8" w14:textId="77777777" w:rsidR="00ED09C8" w:rsidRDefault="00ED09C8" w:rsidP="004D62A8">
            <w:pPr>
              <w:jc w:val="both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31</w:t>
            </w:r>
          </w:p>
        </w:tc>
        <w:tc>
          <w:tcPr>
            <w:tcW w:w="945" w:type="dxa"/>
          </w:tcPr>
          <w:p w14:paraId="5F65FC2A" w14:textId="6373A114" w:rsidR="00ED09C8" w:rsidRPr="00A14377" w:rsidRDefault="00ED09C8" w:rsidP="004D62A8">
            <w:pPr>
              <w:jc w:val="both"/>
              <w:rPr>
                <w:rFonts w:ascii="EB Garamond" w:eastAsia="EB Garamond" w:hAnsi="EB Garamond" w:cs="EB Garamond"/>
                <w:highlight w:val="yellow"/>
              </w:rPr>
            </w:pPr>
            <w:r w:rsidRPr="00A14377">
              <w:rPr>
                <w:rFonts w:ascii="EB Garamond" w:eastAsia="EB Garamond" w:hAnsi="EB Garamond" w:cs="EB Garamond"/>
                <w:highlight w:val="yellow"/>
              </w:rPr>
              <w:t>3</w:t>
            </w:r>
            <w:r>
              <w:rPr>
                <w:rFonts w:ascii="EB Garamond" w:eastAsia="EB Garamond" w:hAnsi="EB Garamond" w:cs="EB Garamond"/>
                <w:highlight w:val="yellow"/>
              </w:rPr>
              <w:t>0</w:t>
            </w:r>
            <w:r w:rsidRPr="00A14377">
              <w:rPr>
                <w:rFonts w:ascii="EB Garamond" w:eastAsia="EB Garamond" w:hAnsi="EB Garamond" w:cs="EB Garamond"/>
                <w:highlight w:val="yellow"/>
              </w:rPr>
              <w:t>.10</w:t>
            </w:r>
          </w:p>
        </w:tc>
        <w:tc>
          <w:tcPr>
            <w:tcW w:w="3225" w:type="dxa"/>
          </w:tcPr>
          <w:p w14:paraId="6687AE19" w14:textId="144268B7" w:rsidR="00ED09C8" w:rsidRPr="00752EE9" w:rsidRDefault="00ED09C8" w:rsidP="004D62A8">
            <w:pPr>
              <w:jc w:val="both"/>
              <w:rPr>
                <w:rFonts w:ascii="EB Garamond" w:eastAsia="EB Garamond" w:hAnsi="EB Garamond" w:cs="EB Garamond"/>
                <w:highlight w:val="yellow"/>
              </w:rPr>
            </w:pPr>
            <w:r w:rsidRPr="00752EE9">
              <w:rPr>
                <w:rFonts w:ascii="EB Garamond" w:eastAsia="EB Garamond" w:hAnsi="EB Garamond" w:cs="EB Garamond"/>
                <w:highlight w:val="yellow"/>
              </w:rPr>
              <w:t>Derecho humanitario</w:t>
            </w:r>
            <w:r w:rsidRPr="00752EE9">
              <w:rPr>
                <w:rFonts w:ascii="EB Garamond" w:eastAsia="EB Garamond" w:hAnsi="EB Garamond" w:cs="EB Garamond"/>
                <w:highlight w:val="yellow"/>
              </w:rPr>
              <w:t xml:space="preserve"> y Derecho penal internacional </w:t>
            </w:r>
          </w:p>
        </w:tc>
        <w:tc>
          <w:tcPr>
            <w:tcW w:w="1920" w:type="dxa"/>
          </w:tcPr>
          <w:p w14:paraId="7E2EE2EC" w14:textId="37E52237" w:rsidR="00ED09C8" w:rsidRPr="00752EE9" w:rsidRDefault="00DA0E56" w:rsidP="004D62A8">
            <w:pPr>
              <w:jc w:val="both"/>
              <w:rPr>
                <w:rFonts w:ascii="EB Garamond" w:eastAsia="EB Garamond" w:hAnsi="EB Garamond" w:cs="EB Garamond"/>
                <w:highlight w:val="yellow"/>
              </w:rPr>
            </w:pPr>
            <w:proofErr w:type="spellStart"/>
            <w:r w:rsidRPr="00752EE9">
              <w:rPr>
                <w:rFonts w:ascii="EB Garamond" w:eastAsia="EB Garamond" w:hAnsi="EB Garamond" w:cs="EB Garamond"/>
                <w:highlight w:val="yellow"/>
              </w:rPr>
              <w:t>Swinarski</w:t>
            </w:r>
            <w:proofErr w:type="spellEnd"/>
            <w:r w:rsidRPr="00752EE9">
              <w:rPr>
                <w:rFonts w:ascii="EB Garamond" w:eastAsia="EB Garamond" w:hAnsi="EB Garamond" w:cs="EB Garamond"/>
                <w:highlight w:val="yellow"/>
              </w:rPr>
              <w:t xml:space="preserve">, 1984; </w:t>
            </w:r>
            <w:r w:rsidR="00ED09C8" w:rsidRPr="00752EE9">
              <w:rPr>
                <w:rFonts w:ascii="EB Garamond" w:eastAsia="EB Garamond" w:hAnsi="EB Garamond" w:cs="EB Garamond"/>
                <w:highlight w:val="yellow"/>
              </w:rPr>
              <w:t>CPI, s/ f</w:t>
            </w:r>
          </w:p>
        </w:tc>
        <w:tc>
          <w:tcPr>
            <w:tcW w:w="1935" w:type="dxa"/>
          </w:tcPr>
          <w:p w14:paraId="67C482E0" w14:textId="77777777" w:rsidR="00ED09C8" w:rsidRDefault="00ED09C8" w:rsidP="004D62A8">
            <w:pPr>
              <w:jc w:val="both"/>
              <w:rPr>
                <w:rFonts w:ascii="EB Garamond" w:eastAsia="EB Garamond" w:hAnsi="EB Garamond" w:cs="EB Garamond"/>
              </w:rPr>
            </w:pPr>
          </w:p>
        </w:tc>
        <w:tc>
          <w:tcPr>
            <w:tcW w:w="1905" w:type="dxa"/>
          </w:tcPr>
          <w:p w14:paraId="78DDB10D" w14:textId="77777777" w:rsidR="00ED09C8" w:rsidRDefault="00ED09C8" w:rsidP="004D62A8">
            <w:pPr>
              <w:jc w:val="both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Video ICC</w:t>
            </w:r>
          </w:p>
        </w:tc>
      </w:tr>
      <w:tr w:rsidR="00ED09C8" w14:paraId="6003D266" w14:textId="77777777" w:rsidTr="00F326FE">
        <w:tc>
          <w:tcPr>
            <w:tcW w:w="690" w:type="dxa"/>
          </w:tcPr>
          <w:p w14:paraId="4E819B6E" w14:textId="0DAB74F4" w:rsidR="00ED09C8" w:rsidRDefault="00ED09C8" w:rsidP="004D62A8">
            <w:pPr>
              <w:jc w:val="both"/>
              <w:rPr>
                <w:rFonts w:ascii="EB Garamond" w:eastAsia="EB Garamond" w:hAnsi="EB Garamond" w:cs="EB Garamond"/>
              </w:rPr>
            </w:pPr>
          </w:p>
        </w:tc>
        <w:tc>
          <w:tcPr>
            <w:tcW w:w="945" w:type="dxa"/>
          </w:tcPr>
          <w:p w14:paraId="5D34AC37" w14:textId="0A1C6002" w:rsidR="00ED09C8" w:rsidRPr="004B3F29" w:rsidRDefault="00ED09C8" w:rsidP="004D62A8">
            <w:pPr>
              <w:jc w:val="both"/>
              <w:rPr>
                <w:rFonts w:ascii="EB Garamond" w:eastAsia="EB Garamond" w:hAnsi="EB Garamond" w:cs="EB Garamond"/>
                <w:highlight w:val="yellow"/>
              </w:rPr>
            </w:pPr>
            <w:r w:rsidRPr="004B3F29">
              <w:rPr>
                <w:rFonts w:ascii="EB Garamond" w:eastAsia="EB Garamond" w:hAnsi="EB Garamond" w:cs="EB Garamond"/>
                <w:highlight w:val="yellow"/>
              </w:rPr>
              <w:t>03.11</w:t>
            </w:r>
          </w:p>
        </w:tc>
        <w:tc>
          <w:tcPr>
            <w:tcW w:w="3225" w:type="dxa"/>
          </w:tcPr>
          <w:p w14:paraId="48BFB157" w14:textId="5692815D" w:rsidR="00ED09C8" w:rsidRDefault="00ED09C8" w:rsidP="004D62A8">
            <w:pPr>
              <w:jc w:val="both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CONTROL</w:t>
            </w:r>
          </w:p>
        </w:tc>
        <w:tc>
          <w:tcPr>
            <w:tcW w:w="1920" w:type="dxa"/>
          </w:tcPr>
          <w:p w14:paraId="7D033E01" w14:textId="4D79C139" w:rsidR="00ED09C8" w:rsidRDefault="00ED09C8" w:rsidP="004D62A8">
            <w:pPr>
              <w:jc w:val="both"/>
              <w:rPr>
                <w:rFonts w:ascii="EB Garamond" w:eastAsia="EB Garamond" w:hAnsi="EB Garamond" w:cs="EB Garamond"/>
              </w:rPr>
            </w:pPr>
          </w:p>
        </w:tc>
        <w:tc>
          <w:tcPr>
            <w:tcW w:w="1935" w:type="dxa"/>
          </w:tcPr>
          <w:p w14:paraId="006E9FAF" w14:textId="77777777" w:rsidR="00ED09C8" w:rsidRDefault="00ED09C8" w:rsidP="004D62A8">
            <w:pPr>
              <w:jc w:val="both"/>
              <w:rPr>
                <w:rFonts w:ascii="EB Garamond" w:eastAsia="EB Garamond" w:hAnsi="EB Garamond" w:cs="EB Garamond"/>
              </w:rPr>
            </w:pPr>
          </w:p>
        </w:tc>
        <w:tc>
          <w:tcPr>
            <w:tcW w:w="1905" w:type="dxa"/>
          </w:tcPr>
          <w:p w14:paraId="2EF09EAB" w14:textId="52F68BE3" w:rsidR="00ED09C8" w:rsidRDefault="00ED09C8" w:rsidP="004D62A8">
            <w:pPr>
              <w:jc w:val="both"/>
              <w:rPr>
                <w:rFonts w:ascii="EB Garamond" w:eastAsia="EB Garamond" w:hAnsi="EB Garamond" w:cs="EB Garamond"/>
              </w:rPr>
            </w:pPr>
          </w:p>
        </w:tc>
      </w:tr>
      <w:tr w:rsidR="00ED09C8" w14:paraId="2502EDCA" w14:textId="77777777">
        <w:trPr>
          <w:trHeight w:val="220"/>
        </w:trPr>
        <w:tc>
          <w:tcPr>
            <w:tcW w:w="10620" w:type="dxa"/>
            <w:gridSpan w:val="6"/>
          </w:tcPr>
          <w:p w14:paraId="45533AC8" w14:textId="77777777" w:rsidR="00ED09C8" w:rsidRDefault="00ED09C8" w:rsidP="004D62A8">
            <w:pPr>
              <w:jc w:val="both"/>
              <w:rPr>
                <w:rFonts w:ascii="EB Garamond" w:eastAsia="EB Garamond" w:hAnsi="EB Garamond" w:cs="EB Garamond"/>
                <w:b/>
              </w:rPr>
            </w:pPr>
            <w:r>
              <w:rPr>
                <w:rFonts w:ascii="EB Garamond" w:eastAsia="EB Garamond" w:hAnsi="EB Garamond" w:cs="EB Garamond"/>
                <w:b/>
              </w:rPr>
              <w:t>Capítulo IV</w:t>
            </w:r>
          </w:p>
        </w:tc>
      </w:tr>
      <w:tr w:rsidR="00ED09C8" w14:paraId="406B9687" w14:textId="77777777">
        <w:tc>
          <w:tcPr>
            <w:tcW w:w="690" w:type="dxa"/>
          </w:tcPr>
          <w:p w14:paraId="7C691DC5" w14:textId="77777777" w:rsidR="00ED09C8" w:rsidRDefault="00ED09C8" w:rsidP="004D62A8">
            <w:pPr>
              <w:jc w:val="both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32</w:t>
            </w:r>
          </w:p>
        </w:tc>
        <w:tc>
          <w:tcPr>
            <w:tcW w:w="945" w:type="dxa"/>
          </w:tcPr>
          <w:p w14:paraId="67A80207" w14:textId="00FADD7D" w:rsidR="00ED09C8" w:rsidRPr="004B3F29" w:rsidRDefault="00ED09C8" w:rsidP="004D62A8">
            <w:pPr>
              <w:jc w:val="both"/>
              <w:rPr>
                <w:rFonts w:ascii="EB Garamond" w:eastAsia="EB Garamond" w:hAnsi="EB Garamond" w:cs="EB Garamond"/>
                <w:highlight w:val="green"/>
              </w:rPr>
            </w:pPr>
            <w:r w:rsidRPr="004B3F29">
              <w:rPr>
                <w:rFonts w:ascii="EB Garamond" w:eastAsia="EB Garamond" w:hAnsi="EB Garamond" w:cs="EB Garamond"/>
                <w:highlight w:val="green"/>
              </w:rPr>
              <w:t>31.10</w:t>
            </w:r>
          </w:p>
        </w:tc>
        <w:tc>
          <w:tcPr>
            <w:tcW w:w="3225" w:type="dxa"/>
          </w:tcPr>
          <w:p w14:paraId="3362C34D" w14:textId="77777777" w:rsidR="00ED09C8" w:rsidRDefault="00ED09C8" w:rsidP="004D62A8">
            <w:pPr>
              <w:jc w:val="both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Procesos de convergencia: de la subsidiaridad a la retroalimentación</w:t>
            </w:r>
          </w:p>
        </w:tc>
        <w:tc>
          <w:tcPr>
            <w:tcW w:w="1920" w:type="dxa"/>
          </w:tcPr>
          <w:p w14:paraId="6EEB2501" w14:textId="77777777" w:rsidR="00ED09C8" w:rsidRDefault="00ED09C8" w:rsidP="004D62A8">
            <w:pPr>
              <w:jc w:val="both"/>
              <w:rPr>
                <w:rFonts w:ascii="EB Garamond" w:eastAsia="EB Garamond" w:hAnsi="EB Garamond" w:cs="EB Garamond"/>
              </w:rPr>
            </w:pPr>
          </w:p>
        </w:tc>
        <w:tc>
          <w:tcPr>
            <w:tcW w:w="1935" w:type="dxa"/>
          </w:tcPr>
          <w:p w14:paraId="4DF794DE" w14:textId="77777777" w:rsidR="00ED09C8" w:rsidRDefault="00ED09C8" w:rsidP="004D62A8">
            <w:pPr>
              <w:jc w:val="both"/>
              <w:rPr>
                <w:rFonts w:ascii="EB Garamond" w:eastAsia="EB Garamond" w:hAnsi="EB Garamond" w:cs="EB Garamond"/>
              </w:rPr>
            </w:pPr>
          </w:p>
        </w:tc>
        <w:tc>
          <w:tcPr>
            <w:tcW w:w="1905" w:type="dxa"/>
          </w:tcPr>
          <w:p w14:paraId="2E16EC14" w14:textId="77777777" w:rsidR="00ED09C8" w:rsidRDefault="00ED09C8" w:rsidP="004D62A8">
            <w:pPr>
              <w:jc w:val="both"/>
              <w:rPr>
                <w:rFonts w:ascii="EB Garamond" w:eastAsia="EB Garamond" w:hAnsi="EB Garamond" w:cs="EB Garamond"/>
              </w:rPr>
            </w:pPr>
          </w:p>
        </w:tc>
      </w:tr>
      <w:tr w:rsidR="00ED09C8" w14:paraId="48709329" w14:textId="77777777">
        <w:tc>
          <w:tcPr>
            <w:tcW w:w="690" w:type="dxa"/>
          </w:tcPr>
          <w:p w14:paraId="7A7A9C05" w14:textId="77777777" w:rsidR="00ED09C8" w:rsidRDefault="00ED09C8" w:rsidP="004D62A8">
            <w:pPr>
              <w:jc w:val="both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33</w:t>
            </w:r>
          </w:p>
        </w:tc>
        <w:tc>
          <w:tcPr>
            <w:tcW w:w="945" w:type="dxa"/>
          </w:tcPr>
          <w:p w14:paraId="4CC069FF" w14:textId="77777777" w:rsidR="00ED09C8" w:rsidRPr="004B3F29" w:rsidRDefault="00ED09C8" w:rsidP="004D62A8">
            <w:pPr>
              <w:jc w:val="both"/>
              <w:rPr>
                <w:rFonts w:ascii="EB Garamond" w:eastAsia="EB Garamond" w:hAnsi="EB Garamond" w:cs="EB Garamond"/>
                <w:highlight w:val="green"/>
              </w:rPr>
            </w:pPr>
            <w:r w:rsidRPr="004B3F29">
              <w:rPr>
                <w:rFonts w:ascii="EB Garamond" w:eastAsia="EB Garamond" w:hAnsi="EB Garamond" w:cs="EB Garamond"/>
                <w:highlight w:val="green"/>
              </w:rPr>
              <w:t>06.11</w:t>
            </w:r>
          </w:p>
        </w:tc>
        <w:tc>
          <w:tcPr>
            <w:tcW w:w="3225" w:type="dxa"/>
          </w:tcPr>
          <w:p w14:paraId="0CAF30FC" w14:textId="77777777" w:rsidR="00ED09C8" w:rsidRDefault="00ED09C8" w:rsidP="004D62A8">
            <w:pPr>
              <w:jc w:val="both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Recepción formal del DIDH</w:t>
            </w:r>
          </w:p>
        </w:tc>
        <w:tc>
          <w:tcPr>
            <w:tcW w:w="1920" w:type="dxa"/>
          </w:tcPr>
          <w:p w14:paraId="37F6E2C1" w14:textId="77777777" w:rsidR="00ED09C8" w:rsidRDefault="00ED09C8" w:rsidP="004D62A8">
            <w:pPr>
              <w:jc w:val="both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Trabajo con casos</w:t>
            </w:r>
          </w:p>
        </w:tc>
        <w:tc>
          <w:tcPr>
            <w:tcW w:w="1935" w:type="dxa"/>
          </w:tcPr>
          <w:p w14:paraId="1565CA3A" w14:textId="77777777" w:rsidR="00ED09C8" w:rsidRDefault="00ED09C8" w:rsidP="004D62A8">
            <w:pPr>
              <w:jc w:val="both"/>
              <w:rPr>
                <w:rFonts w:ascii="EB Garamond" w:eastAsia="EB Garamond" w:hAnsi="EB Garamond" w:cs="EB Garamond"/>
              </w:rPr>
            </w:pPr>
          </w:p>
        </w:tc>
        <w:tc>
          <w:tcPr>
            <w:tcW w:w="1905" w:type="dxa"/>
          </w:tcPr>
          <w:p w14:paraId="7D0BCAD0" w14:textId="77777777" w:rsidR="00ED09C8" w:rsidRDefault="00ED09C8" w:rsidP="004D62A8">
            <w:pPr>
              <w:jc w:val="both"/>
              <w:rPr>
                <w:rFonts w:ascii="EB Garamond" w:eastAsia="EB Garamond" w:hAnsi="EB Garamond" w:cs="EB Garamond"/>
              </w:rPr>
            </w:pPr>
          </w:p>
        </w:tc>
      </w:tr>
      <w:tr w:rsidR="00ED09C8" w14:paraId="67B4FD4D" w14:textId="77777777">
        <w:tc>
          <w:tcPr>
            <w:tcW w:w="690" w:type="dxa"/>
          </w:tcPr>
          <w:p w14:paraId="21CA60A4" w14:textId="77777777" w:rsidR="00ED09C8" w:rsidRDefault="00ED09C8" w:rsidP="004D62A8">
            <w:pPr>
              <w:jc w:val="both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34</w:t>
            </w:r>
          </w:p>
        </w:tc>
        <w:tc>
          <w:tcPr>
            <w:tcW w:w="945" w:type="dxa"/>
          </w:tcPr>
          <w:p w14:paraId="6BEA37C3" w14:textId="77777777" w:rsidR="00ED09C8" w:rsidRPr="004B3F29" w:rsidRDefault="00ED09C8" w:rsidP="004D62A8">
            <w:pPr>
              <w:jc w:val="both"/>
              <w:rPr>
                <w:rFonts w:ascii="EB Garamond" w:eastAsia="EB Garamond" w:hAnsi="EB Garamond" w:cs="EB Garamond"/>
                <w:highlight w:val="green"/>
              </w:rPr>
            </w:pPr>
            <w:r w:rsidRPr="004B3F29">
              <w:rPr>
                <w:rFonts w:ascii="EB Garamond" w:eastAsia="EB Garamond" w:hAnsi="EB Garamond" w:cs="EB Garamond"/>
                <w:highlight w:val="green"/>
              </w:rPr>
              <w:t>07.11</w:t>
            </w:r>
          </w:p>
        </w:tc>
        <w:tc>
          <w:tcPr>
            <w:tcW w:w="3225" w:type="dxa"/>
          </w:tcPr>
          <w:p w14:paraId="136A18EC" w14:textId="77777777" w:rsidR="00ED09C8" w:rsidRDefault="00ED09C8" w:rsidP="004D62A8">
            <w:pPr>
              <w:jc w:val="both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Usos del DIDH en la jurisprudencia nacional</w:t>
            </w:r>
          </w:p>
        </w:tc>
        <w:tc>
          <w:tcPr>
            <w:tcW w:w="1920" w:type="dxa"/>
          </w:tcPr>
          <w:p w14:paraId="684ACA8F" w14:textId="77777777" w:rsidR="00ED09C8" w:rsidRDefault="00ED09C8" w:rsidP="004D62A8">
            <w:pPr>
              <w:jc w:val="both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Trabajo con casos</w:t>
            </w:r>
          </w:p>
        </w:tc>
        <w:tc>
          <w:tcPr>
            <w:tcW w:w="1935" w:type="dxa"/>
          </w:tcPr>
          <w:p w14:paraId="1849ABF7" w14:textId="77777777" w:rsidR="00ED09C8" w:rsidRDefault="00ED09C8" w:rsidP="004D62A8">
            <w:pPr>
              <w:jc w:val="both"/>
              <w:rPr>
                <w:rFonts w:ascii="EB Garamond" w:eastAsia="EB Garamond" w:hAnsi="EB Garamond" w:cs="EB Garamond"/>
              </w:rPr>
            </w:pPr>
          </w:p>
        </w:tc>
        <w:tc>
          <w:tcPr>
            <w:tcW w:w="1905" w:type="dxa"/>
          </w:tcPr>
          <w:p w14:paraId="5D56D84E" w14:textId="77777777" w:rsidR="00ED09C8" w:rsidRDefault="00ED09C8" w:rsidP="004D62A8">
            <w:pPr>
              <w:jc w:val="both"/>
              <w:rPr>
                <w:rFonts w:ascii="EB Garamond" w:eastAsia="EB Garamond" w:hAnsi="EB Garamond" w:cs="EB Garamond"/>
              </w:rPr>
            </w:pPr>
          </w:p>
        </w:tc>
      </w:tr>
      <w:tr w:rsidR="00ED09C8" w14:paraId="73FA5618" w14:textId="77777777">
        <w:tc>
          <w:tcPr>
            <w:tcW w:w="690" w:type="dxa"/>
          </w:tcPr>
          <w:p w14:paraId="2566726D" w14:textId="77777777" w:rsidR="00ED09C8" w:rsidRDefault="00ED09C8" w:rsidP="004D62A8">
            <w:pPr>
              <w:jc w:val="both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35</w:t>
            </w:r>
          </w:p>
        </w:tc>
        <w:tc>
          <w:tcPr>
            <w:tcW w:w="945" w:type="dxa"/>
          </w:tcPr>
          <w:p w14:paraId="66409850" w14:textId="77777777" w:rsidR="00ED09C8" w:rsidRPr="004B3F29" w:rsidRDefault="00ED09C8" w:rsidP="004D62A8">
            <w:pPr>
              <w:jc w:val="both"/>
              <w:rPr>
                <w:rFonts w:ascii="EB Garamond" w:eastAsia="EB Garamond" w:hAnsi="EB Garamond" w:cs="EB Garamond"/>
                <w:highlight w:val="green"/>
              </w:rPr>
            </w:pPr>
            <w:r w:rsidRPr="004B3F29">
              <w:rPr>
                <w:rFonts w:ascii="EB Garamond" w:eastAsia="EB Garamond" w:hAnsi="EB Garamond" w:cs="EB Garamond"/>
                <w:highlight w:val="green"/>
              </w:rPr>
              <w:t>10.11</w:t>
            </w:r>
          </w:p>
        </w:tc>
        <w:tc>
          <w:tcPr>
            <w:tcW w:w="3225" w:type="dxa"/>
          </w:tcPr>
          <w:p w14:paraId="5720114C" w14:textId="77777777" w:rsidR="00ED09C8" w:rsidRDefault="00ED09C8" w:rsidP="004D62A8">
            <w:pPr>
              <w:jc w:val="both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Grupos en situación de discriminación e impacto del DIDH: pueblos originarios, género y derechos humanos de las mujeres</w:t>
            </w:r>
          </w:p>
        </w:tc>
        <w:tc>
          <w:tcPr>
            <w:tcW w:w="1920" w:type="dxa"/>
          </w:tcPr>
          <w:p w14:paraId="04448175" w14:textId="77777777" w:rsidR="00ED09C8" w:rsidRDefault="00ED09C8" w:rsidP="004D62A8">
            <w:pPr>
              <w:jc w:val="both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Trabajo con casos</w:t>
            </w:r>
          </w:p>
        </w:tc>
        <w:tc>
          <w:tcPr>
            <w:tcW w:w="1935" w:type="dxa"/>
          </w:tcPr>
          <w:p w14:paraId="532707BF" w14:textId="77777777" w:rsidR="00ED09C8" w:rsidRDefault="00ED09C8" w:rsidP="004D62A8">
            <w:pPr>
              <w:jc w:val="both"/>
              <w:rPr>
                <w:rFonts w:ascii="EB Garamond" w:eastAsia="EB Garamond" w:hAnsi="EB Garamond" w:cs="EB Garamond"/>
              </w:rPr>
            </w:pPr>
          </w:p>
        </w:tc>
        <w:tc>
          <w:tcPr>
            <w:tcW w:w="1905" w:type="dxa"/>
          </w:tcPr>
          <w:p w14:paraId="1B61049A" w14:textId="77777777" w:rsidR="00ED09C8" w:rsidRDefault="00ED09C8" w:rsidP="004D62A8">
            <w:pPr>
              <w:jc w:val="both"/>
              <w:rPr>
                <w:rFonts w:ascii="EB Garamond" w:eastAsia="EB Garamond" w:hAnsi="EB Garamond" w:cs="EB Garamond"/>
              </w:rPr>
            </w:pPr>
          </w:p>
        </w:tc>
      </w:tr>
    </w:tbl>
    <w:p w14:paraId="09B1B791" w14:textId="77777777" w:rsidR="00A33AF7" w:rsidRDefault="00A33AF7">
      <w:pPr>
        <w:jc w:val="both"/>
        <w:rPr>
          <w:rFonts w:ascii="EB Garamond" w:eastAsia="EB Garamond" w:hAnsi="EB Garamond" w:cs="EB Garamond"/>
          <w:sz w:val="32"/>
          <w:szCs w:val="32"/>
          <w:highlight w:val="yellow"/>
        </w:rPr>
      </w:pPr>
    </w:p>
    <w:sectPr w:rsidR="00A33AF7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B Garamond">
    <w:panose1 w:val="00000500000000000000"/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AF7"/>
    <w:rsid w:val="004B3F29"/>
    <w:rsid w:val="004D62A8"/>
    <w:rsid w:val="00752EE9"/>
    <w:rsid w:val="00A14377"/>
    <w:rsid w:val="00A33AF7"/>
    <w:rsid w:val="00AF39E6"/>
    <w:rsid w:val="00DA0E56"/>
    <w:rsid w:val="00ED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86BA9B"/>
  <w15:docId w15:val="{0F18C490-6300-A240-94DC-F7E61641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446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1ig84oCdIUxnj9+t0IVD3/jjTg==">CgMxLjAyDmguamVmaGxzNWZwZ25lOAByITEwZi15a0RrN3NGZXJJSi1uSElUaEpKeGdJSkFfRFptRQ==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cnunez</dc:creator>
  <cp:lastModifiedBy>Claudio Nash</cp:lastModifiedBy>
  <cp:revision>5</cp:revision>
  <cp:lastPrinted>2023-10-10T00:14:00Z</cp:lastPrinted>
  <dcterms:created xsi:type="dcterms:W3CDTF">2023-10-19T20:03:00Z</dcterms:created>
  <dcterms:modified xsi:type="dcterms:W3CDTF">2023-10-19T20:05:00Z</dcterms:modified>
</cp:coreProperties>
</file>