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B636" w14:textId="77777777" w:rsidR="00C46235" w:rsidRPr="00C46235" w:rsidRDefault="00C46235" w:rsidP="009729C0">
      <w:pPr>
        <w:spacing w:line="240" w:lineRule="auto"/>
        <w:contextualSpacing/>
        <w:rPr>
          <w:lang w:val="es-CL"/>
        </w:rPr>
      </w:pPr>
    </w:p>
    <w:p w14:paraId="2954323A" w14:textId="0D51EFBC" w:rsidR="00C46235" w:rsidRPr="00C46235" w:rsidRDefault="00E522C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 xml:space="preserve">Pauta de evaluación de </w:t>
      </w:r>
      <w:r w:rsidR="00BC2AA7">
        <w:rPr>
          <w:b/>
          <w:u w:val="single"/>
          <w:lang w:val="es-CL"/>
        </w:rPr>
        <w:t xml:space="preserve">Negociación </w:t>
      </w:r>
    </w:p>
    <w:p w14:paraId="1E17913F" w14:textId="77777777" w:rsidR="00C46235" w:rsidRPr="00C46235" w:rsidRDefault="00C46235" w:rsidP="00C4623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14:paraId="092BDDE1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14:paraId="72EBB8DB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7"/>
      </w:tblGrid>
      <w:tr w:rsidR="009729C0" w:rsidRPr="009729C0" w14:paraId="2363253F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581FABA2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14:paraId="52084C47" w14:textId="0C090BDF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2ADDDB32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2D98B97B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14:paraId="5710641F" w14:textId="0FE8D535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140E8102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1C2ED027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14:paraId="4AF42A7B" w14:textId="42C89A4A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6844D677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0B77F8C8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14:paraId="148FB5F9" w14:textId="1E32558F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221E1BB8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33E4783C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14:paraId="5EE569F1" w14:textId="521910F9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14:paraId="781A1B29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1C90F260" w14:textId="77777777" w:rsidR="00035911" w:rsidRDefault="009729C0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221460"/>
      <w:r w:rsidRPr="009729C0">
        <w:rPr>
          <w:rFonts w:asciiTheme="minorHAnsi" w:hAnsiTheme="minorHAnsi"/>
          <w:b/>
          <w:lang w:val="es-CL"/>
        </w:rPr>
        <w:t>Niveles de Evaluación</w:t>
      </w:r>
      <w:r w:rsidR="00280FDC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14:paraId="7FAF17BA" w14:textId="77777777" w:rsidR="00035911" w:rsidRPr="00035911" w:rsidRDefault="00035911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8"/>
        <w:gridCol w:w="4910"/>
      </w:tblGrid>
      <w:tr w:rsidR="00035911" w14:paraId="5F4DF56E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2E2604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bookmarkStart w:id="1" w:name="_Hlk47610654"/>
            <w:r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755393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140C71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2DFCF4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035911" w14:paraId="6FE03453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602A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17FA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14:paraId="5877C12A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14:paraId="053A3F1B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14:paraId="26938FEE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BE1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16A285FB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14:paraId="73FAAD58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14:paraId="72D90DE4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 al 3.9</w:t>
            </w:r>
          </w:p>
          <w:p w14:paraId="0BF6C6A9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15300B5A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9E2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no realiza las acciones esperadas y/o las realiza de mala manera, de tal forma que no cumple estándares mínimos de desempeño profesional.</w:t>
            </w:r>
          </w:p>
          <w:p w14:paraId="28298A2A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5CA638DC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no puede ser certificado por las manifiestas debilidades evidenciadas en al menos uno de los componentes del desempeño.</w:t>
            </w:r>
          </w:p>
        </w:tc>
      </w:tr>
      <w:tr w:rsidR="00035911" w14:paraId="70BF4877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3D48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A0A3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70E0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 al 4.9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4D2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14:paraId="57B6FC8B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22033970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global: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035911" w14:paraId="6B29A96A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E1B5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CCEB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506D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5 al 5.9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595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realiza las acciones necesarias para un bien desempeño profesional ajustándose a un buen estándar de calidad. Se le hacen correcciones menores.</w:t>
            </w:r>
          </w:p>
          <w:p w14:paraId="20D432C2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07ABF6D9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035911" w14:paraId="2161BD77" w14:textId="77777777" w:rsidTr="00035911">
        <w:trPr>
          <w:trHeight w:val="7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2565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5E19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14:paraId="4B8EA6B8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14:paraId="3A9EBF2E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57C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14:paraId="185A24B8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6.6 al 7</w:t>
            </w:r>
          </w:p>
          <w:p w14:paraId="553F6542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7A93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14:paraId="6B97654B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2A15CCE2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  <w:bookmarkEnd w:id="1"/>
      </w:tr>
    </w:tbl>
    <w:p w14:paraId="3DAE3D05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6067CAE5" w14:textId="77777777" w:rsidR="00E522C5" w:rsidRDefault="00E522C5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14:paraId="08DFAA7B" w14:textId="77777777" w:rsidR="009729C0" w:rsidRPr="009729C0" w:rsidRDefault="009729C0" w:rsidP="00E522C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14:paraId="079BEAC2" w14:textId="77777777" w:rsidR="009729C0" w:rsidRPr="00E522C5" w:rsidRDefault="009729C0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bookmarkEnd w:id="0"/>
    <w:p w14:paraId="0BA60DF6" w14:textId="77777777" w:rsidR="00BC2AA7" w:rsidRPr="00BE730A" w:rsidRDefault="00BC2AA7" w:rsidP="00BC2AA7">
      <w:pPr>
        <w:spacing w:line="240" w:lineRule="auto"/>
        <w:contextualSpacing/>
        <w:jc w:val="both"/>
        <w:rPr>
          <w:b/>
          <w:bCs/>
        </w:rPr>
      </w:pPr>
      <w:r w:rsidRPr="00635465">
        <w:rPr>
          <w:b/>
          <w:bCs/>
        </w:rPr>
        <w:t>Acciones evaluadas:</w:t>
      </w: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100"/>
        <w:gridCol w:w="544"/>
        <w:gridCol w:w="544"/>
        <w:gridCol w:w="544"/>
        <w:gridCol w:w="544"/>
        <w:gridCol w:w="851"/>
        <w:gridCol w:w="1036"/>
      </w:tblGrid>
      <w:tr w:rsidR="00BC2AA7" w:rsidRPr="00C62804" w14:paraId="5E4FC937" w14:textId="77777777" w:rsidTr="000E7A13">
        <w:trPr>
          <w:trHeight w:val="806"/>
        </w:trPr>
        <w:tc>
          <w:tcPr>
            <w:tcW w:w="1738" w:type="dxa"/>
            <w:shd w:val="clear" w:color="auto" w:fill="auto"/>
            <w:vAlign w:val="center"/>
          </w:tcPr>
          <w:p w14:paraId="7C72584D" w14:textId="77777777" w:rsidR="00BC2AA7" w:rsidRPr="00C62804" w:rsidRDefault="00BC2AA7" w:rsidP="000E7A13">
            <w:pPr>
              <w:spacing w:line="240" w:lineRule="auto"/>
              <w:contextualSpacing/>
              <w:jc w:val="center"/>
              <w:rPr>
                <w:b/>
              </w:rPr>
            </w:pPr>
            <w:bookmarkStart w:id="2" w:name="_Hlk47612152"/>
            <w:r w:rsidRPr="00C62804">
              <w:rPr>
                <w:b/>
              </w:rPr>
              <w:t>Dimensión</w:t>
            </w: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B27C2E" w14:textId="77777777" w:rsidR="00BC2AA7" w:rsidRPr="00C62804" w:rsidRDefault="00BC2AA7" w:rsidP="000E7A13">
            <w:pPr>
              <w:spacing w:line="240" w:lineRule="auto"/>
              <w:contextualSpacing/>
              <w:jc w:val="center"/>
              <w:rPr>
                <w:b/>
              </w:rPr>
            </w:pPr>
            <w:r w:rsidRPr="00C62804">
              <w:rPr>
                <w:b/>
              </w:rPr>
              <w:t>Criterios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52D470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7ACC3D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9E14827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</w:p>
          <w:p w14:paraId="2299B31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14:paraId="7D79738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518531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</w:p>
          <w:p w14:paraId="4D6F748E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  <w:p w14:paraId="47D73790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67B7032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  <w:r w:rsidRPr="00C62804">
              <w:rPr>
                <w:b/>
              </w:rPr>
              <w:t xml:space="preserve">Nota </w:t>
            </w:r>
            <w:proofErr w:type="spellStart"/>
            <w:r w:rsidRPr="00C62804">
              <w:rPr>
                <w:b/>
              </w:rPr>
              <w:t>Item</w:t>
            </w:r>
            <w:proofErr w:type="spellEnd"/>
          </w:p>
        </w:tc>
        <w:tc>
          <w:tcPr>
            <w:tcW w:w="1036" w:type="dxa"/>
            <w:vAlign w:val="center"/>
          </w:tcPr>
          <w:p w14:paraId="688C02AE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b/>
              </w:rPr>
            </w:pPr>
            <w:proofErr w:type="spellStart"/>
            <w:r w:rsidRPr="00C62804">
              <w:rPr>
                <w:b/>
              </w:rPr>
              <w:t>Pro</w:t>
            </w:r>
            <w:r>
              <w:rPr>
                <w:b/>
              </w:rPr>
              <w:t>m</w:t>
            </w:r>
            <w:proofErr w:type="spellEnd"/>
            <w:r>
              <w:rPr>
                <w:b/>
              </w:rPr>
              <w:t>.</w:t>
            </w:r>
          </w:p>
        </w:tc>
      </w:tr>
      <w:tr w:rsidR="00BC2AA7" w:rsidRPr="00C62804" w14:paraId="34EAFCF7" w14:textId="77777777" w:rsidTr="000E7A13">
        <w:trPr>
          <w:trHeight w:val="516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5E7346C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  <w:r w:rsidRPr="00C62804">
              <w:t>I- Identificación de las características del conflicto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</w:tcPr>
          <w:p w14:paraId="01D2ED3A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identifica claramente las partes en conflicto.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6DDE8"/>
          </w:tcPr>
          <w:p w14:paraId="13E38352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14:paraId="1A318B9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14:paraId="79C46C60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</w:tcPr>
          <w:p w14:paraId="7F7EA73E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6DDE8"/>
          </w:tcPr>
          <w:p w14:paraId="38E2E5D7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14:paraId="73984DBB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1154957C" w14:textId="77777777" w:rsidTr="000E7A13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5F7574A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B6DDE8"/>
          </w:tcPr>
          <w:p w14:paraId="6CDC774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identifica claramente el conflicto (pretensiones aparentemente contrapuestas).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4" w:space="0" w:color="auto"/>
            </w:tcBorders>
            <w:shd w:val="clear" w:color="auto" w:fill="B6DDE8"/>
          </w:tcPr>
          <w:p w14:paraId="60D84D2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B6DDE8"/>
          </w:tcPr>
          <w:p w14:paraId="6515EA0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B6DDE8"/>
          </w:tcPr>
          <w:p w14:paraId="14C0D6BB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B6DDE8"/>
          </w:tcPr>
          <w:p w14:paraId="44FA8DE3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B6DDE8"/>
          </w:tcPr>
          <w:p w14:paraId="5B22220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14:paraId="477FEA8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2FD7C84E" w14:textId="77777777" w:rsidTr="000E7A13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4F76D1E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14:paraId="5322052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</w:t>
            </w:r>
            <w:r>
              <w:rPr>
                <w:i/>
                <w:sz w:val="18"/>
                <w:szCs w:val="18"/>
              </w:rPr>
              <w:t>identifica y distingue las posiciones e intereses de las partes del conflicto.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B2C2FF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939C4B1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83B9497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14:paraId="30C039FA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97CEC7B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14:paraId="28892186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4850E52D" w14:textId="77777777" w:rsidTr="000E7A13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42C1BC6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14:paraId="2B3240B1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(la) estudiante conoce el contexto donde se desarrolla el conflicto.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1E87DE6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F32B1DB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6DDD51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14:paraId="27454FA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90D1076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14:paraId="753D3616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7DCDDB3C" w14:textId="77777777" w:rsidTr="000E7A13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274BA80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14:paraId="3323A17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(la) estudiante conoce el impacto del conflicto en la vida de las partes involucradas.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8F5E0F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BC541C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979FA90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14:paraId="478E3CC8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6BE8FA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79A196A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19B39A08" w14:textId="77777777" w:rsidTr="000E7A13">
        <w:trPr>
          <w:trHeight w:val="626"/>
        </w:trPr>
        <w:tc>
          <w:tcPr>
            <w:tcW w:w="17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083EE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  <w:p w14:paraId="5AB23A78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  <w:r w:rsidRPr="00C62804">
              <w:t>II- Construcción de alternativas</w:t>
            </w:r>
          </w:p>
        </w:tc>
        <w:tc>
          <w:tcPr>
            <w:tcW w:w="310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279F4D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 xml:space="preserve">El </w:t>
            </w:r>
            <w:r>
              <w:rPr>
                <w:i/>
                <w:sz w:val="18"/>
                <w:szCs w:val="18"/>
              </w:rPr>
              <w:t xml:space="preserve">(la) </w:t>
            </w:r>
            <w:r w:rsidRPr="00C62804">
              <w:rPr>
                <w:i/>
                <w:sz w:val="18"/>
                <w:szCs w:val="18"/>
              </w:rPr>
              <w:t xml:space="preserve">estudiante construye diferentes alternativas de solución que consideran los intereses de todas las partes involucradas en el conflicto.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BB2E7D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14:paraId="3975407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14:paraId="6236A411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540F8AA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</w:tcPr>
          <w:p w14:paraId="08907F7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</w:tcPr>
          <w:p w14:paraId="2A765BF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555A988A" w14:textId="77777777" w:rsidTr="000E7A13">
        <w:trPr>
          <w:trHeight w:val="677"/>
        </w:trPr>
        <w:tc>
          <w:tcPr>
            <w:tcW w:w="1738" w:type="dxa"/>
            <w:vMerge/>
            <w:shd w:val="clear" w:color="auto" w:fill="auto"/>
            <w:vAlign w:val="center"/>
          </w:tcPr>
          <w:p w14:paraId="1A28E353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p w14:paraId="2DA5A66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i/>
                <w:sz w:val="18"/>
                <w:szCs w:val="18"/>
              </w:rPr>
              <w:t xml:space="preserve">la) </w:t>
            </w:r>
            <w:r w:rsidRPr="00C62804">
              <w:rPr>
                <w:i/>
                <w:sz w:val="18"/>
                <w:szCs w:val="18"/>
              </w:rPr>
              <w:t xml:space="preserve"> estudiante</w:t>
            </w:r>
            <w:proofErr w:type="gramEnd"/>
            <w:r w:rsidRPr="00C62804">
              <w:rPr>
                <w:i/>
                <w:sz w:val="18"/>
                <w:szCs w:val="18"/>
              </w:rPr>
              <w:t xml:space="preserve"> identifica el MAAN de cada una de las partes.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auto"/>
          </w:tcPr>
          <w:p w14:paraId="46ED2FDB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1451C31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1FB7389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auto"/>
          </w:tcPr>
          <w:p w14:paraId="53026812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E5F605E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</w:tcPr>
          <w:p w14:paraId="4C00CA38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5D2BFB22" w14:textId="77777777" w:rsidTr="000E7A13">
        <w:trPr>
          <w:trHeight w:val="552"/>
        </w:trPr>
        <w:tc>
          <w:tcPr>
            <w:tcW w:w="1738" w:type="dxa"/>
            <w:vMerge/>
            <w:shd w:val="clear" w:color="auto" w:fill="auto"/>
            <w:vAlign w:val="center"/>
          </w:tcPr>
          <w:p w14:paraId="0F9AC9F1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p w14:paraId="4041D3EE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(la) </w:t>
            </w:r>
            <w:r w:rsidRPr="00C62804">
              <w:rPr>
                <w:i/>
                <w:sz w:val="18"/>
                <w:szCs w:val="18"/>
              </w:rPr>
              <w:t>estudiante identifica los “</w:t>
            </w:r>
            <w:proofErr w:type="spellStart"/>
            <w:r w:rsidRPr="00C62804">
              <w:rPr>
                <w:i/>
                <w:sz w:val="18"/>
                <w:szCs w:val="18"/>
              </w:rPr>
              <w:t>dealbreaker</w:t>
            </w:r>
            <w:proofErr w:type="spellEnd"/>
            <w:r w:rsidRPr="00C62804">
              <w:rPr>
                <w:i/>
                <w:sz w:val="18"/>
                <w:szCs w:val="18"/>
              </w:rPr>
              <w:t>” para cada parte.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auto"/>
          </w:tcPr>
          <w:p w14:paraId="386C1FD6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270E2E6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66181C0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auto"/>
          </w:tcPr>
          <w:p w14:paraId="45F94D1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80EEC1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</w:tcPr>
          <w:p w14:paraId="3F849A9B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4991C930" w14:textId="77777777" w:rsidTr="000E7A13">
        <w:trPr>
          <w:trHeight w:val="552"/>
        </w:trPr>
        <w:tc>
          <w:tcPr>
            <w:tcW w:w="1738" w:type="dxa"/>
            <w:vMerge/>
            <w:shd w:val="clear" w:color="auto" w:fill="auto"/>
            <w:vAlign w:val="center"/>
          </w:tcPr>
          <w:p w14:paraId="7B4E247C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auto"/>
          </w:tcPr>
          <w:p w14:paraId="7FDAA0C7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conoce los procedimientos indispensables para materializar las alternativas en caso de acuerdo.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auto"/>
          </w:tcPr>
          <w:p w14:paraId="0156FCB1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0128B24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14:paraId="114CD698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auto"/>
          </w:tcPr>
          <w:p w14:paraId="4BD1410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5B940EA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14:paraId="1EFC212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10FA9CB8" w14:textId="77777777" w:rsidTr="000E7A13">
        <w:trPr>
          <w:trHeight w:val="465"/>
        </w:trPr>
        <w:tc>
          <w:tcPr>
            <w:tcW w:w="1738" w:type="dxa"/>
            <w:vMerge w:val="restart"/>
            <w:tcBorders>
              <w:top w:val="single" w:sz="4" w:space="0" w:color="auto"/>
            </w:tcBorders>
            <w:shd w:val="clear" w:color="auto" w:fill="B6DDE8"/>
          </w:tcPr>
          <w:p w14:paraId="78E00A5B" w14:textId="77777777" w:rsidR="00BC2AA7" w:rsidRPr="00C62804" w:rsidRDefault="00BC2AA7" w:rsidP="000E7A13">
            <w:pPr>
              <w:contextualSpacing/>
              <w:jc w:val="center"/>
            </w:pPr>
          </w:p>
          <w:p w14:paraId="45FA2FAE" w14:textId="77777777" w:rsidR="00BC2AA7" w:rsidRPr="00C62804" w:rsidRDefault="00BC2AA7" w:rsidP="000E7A13">
            <w:pPr>
              <w:contextualSpacing/>
              <w:jc w:val="center"/>
            </w:pPr>
          </w:p>
          <w:p w14:paraId="2A041256" w14:textId="77777777" w:rsidR="00BC2AA7" w:rsidRDefault="00BC2AA7" w:rsidP="000E7A13">
            <w:pPr>
              <w:contextualSpacing/>
              <w:jc w:val="center"/>
            </w:pPr>
            <w:r w:rsidRPr="00C62804">
              <w:t>III-Análisis crítico de las alternativas</w:t>
            </w:r>
          </w:p>
          <w:p w14:paraId="794024D6" w14:textId="77777777" w:rsidR="00BC2AA7" w:rsidRPr="00C62804" w:rsidRDefault="00BC2AA7" w:rsidP="000E7A13">
            <w:pPr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B6DDE8"/>
          </w:tcPr>
          <w:p w14:paraId="2CD21D67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analiza críticamente las alternativas según criterios de eficiencia, eficacia, viabilidad de implementación y relación posterior de las partes.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B6DDE8"/>
          </w:tcPr>
          <w:p w14:paraId="13BED568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B6DDE8"/>
          </w:tcPr>
          <w:p w14:paraId="1B0DBA38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B6DDE8"/>
          </w:tcPr>
          <w:p w14:paraId="78ADBC1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B6DDE8"/>
          </w:tcPr>
          <w:p w14:paraId="3C160F68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6DDE8"/>
          </w:tcPr>
          <w:p w14:paraId="3559DA3B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shd w:val="clear" w:color="auto" w:fill="B6DDE8"/>
          </w:tcPr>
          <w:p w14:paraId="5315CDEB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14:paraId="06898AF7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14:paraId="65A4C9FE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14:paraId="7DE6122D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14:paraId="7E5440AE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14:paraId="014248A1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14:paraId="66E8EDE0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645BCEB8" w14:textId="77777777" w:rsidTr="000E7A13">
        <w:trPr>
          <w:trHeight w:val="482"/>
        </w:trPr>
        <w:tc>
          <w:tcPr>
            <w:tcW w:w="1738" w:type="dxa"/>
            <w:vMerge/>
            <w:shd w:val="clear" w:color="auto" w:fill="B6DDE8"/>
          </w:tcPr>
          <w:p w14:paraId="795B04D3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B6DDE8"/>
          </w:tcPr>
          <w:p w14:paraId="33D5058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identifica una alternativa óptima de solución de conflicto y justifica convenientemente su decisión.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B6DDE8"/>
          </w:tcPr>
          <w:p w14:paraId="0E41845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B6DDE8"/>
          </w:tcPr>
          <w:p w14:paraId="027E492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B6DDE8"/>
          </w:tcPr>
          <w:p w14:paraId="41C957A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B6DDE8"/>
          </w:tcPr>
          <w:p w14:paraId="64356103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6DDE8"/>
          </w:tcPr>
          <w:p w14:paraId="6ED7A6C6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shd w:val="clear" w:color="auto" w:fill="B6DDE8"/>
          </w:tcPr>
          <w:p w14:paraId="6225EF57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3C9A80ED" w14:textId="77777777" w:rsidTr="000E7A13">
        <w:trPr>
          <w:trHeight w:val="482"/>
        </w:trPr>
        <w:tc>
          <w:tcPr>
            <w:tcW w:w="1738" w:type="dxa"/>
            <w:vMerge w:val="restart"/>
            <w:shd w:val="clear" w:color="auto" w:fill="FFFFFF" w:themeFill="background1"/>
          </w:tcPr>
          <w:p w14:paraId="31165B30" w14:textId="77777777" w:rsidR="00BC2AA7" w:rsidRDefault="00BC2AA7" w:rsidP="000E7A13">
            <w:pPr>
              <w:spacing w:line="240" w:lineRule="auto"/>
              <w:contextualSpacing/>
              <w:jc w:val="center"/>
            </w:pPr>
          </w:p>
          <w:p w14:paraId="41B4FAF5" w14:textId="77777777" w:rsidR="00BC2AA7" w:rsidRDefault="00BC2AA7" w:rsidP="000E7A13">
            <w:pPr>
              <w:spacing w:line="240" w:lineRule="auto"/>
              <w:contextualSpacing/>
              <w:jc w:val="center"/>
            </w:pPr>
          </w:p>
          <w:p w14:paraId="570C5D86" w14:textId="77777777" w:rsidR="00BC2AA7" w:rsidRDefault="00BC2AA7" w:rsidP="000E7A13">
            <w:pPr>
              <w:spacing w:line="240" w:lineRule="auto"/>
              <w:contextualSpacing/>
              <w:jc w:val="center"/>
            </w:pPr>
          </w:p>
          <w:p w14:paraId="106CB353" w14:textId="77777777" w:rsidR="00BC2AA7" w:rsidRDefault="00BC2AA7" w:rsidP="000E7A13">
            <w:pPr>
              <w:spacing w:line="240" w:lineRule="auto"/>
              <w:contextualSpacing/>
              <w:jc w:val="center"/>
            </w:pPr>
          </w:p>
          <w:p w14:paraId="3528423B" w14:textId="77777777" w:rsidR="00BC2AA7" w:rsidRDefault="00BC2AA7" w:rsidP="000E7A13">
            <w:pPr>
              <w:spacing w:line="240" w:lineRule="auto"/>
              <w:contextualSpacing/>
              <w:jc w:val="center"/>
            </w:pPr>
          </w:p>
          <w:p w14:paraId="6481AB6C" w14:textId="77777777" w:rsidR="00BC2AA7" w:rsidRDefault="00BC2AA7" w:rsidP="000E7A13">
            <w:pPr>
              <w:spacing w:line="240" w:lineRule="auto"/>
              <w:contextualSpacing/>
              <w:jc w:val="center"/>
            </w:pPr>
          </w:p>
          <w:p w14:paraId="5D9A2DD7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  <w:r>
              <w:t>IV- Desarrollo de las reuniones de negociación</w:t>
            </w: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EDD889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lugar donde se realiza la reunión es apropiado (limpio, iluminado, mesa apropiada, agua, servicios básicos).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CEE460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031BFBB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6395325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DB9F62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25E568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52DE7E27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438E2A3A" w14:textId="77777777" w:rsidTr="000E7A13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0E50C703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EF796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fijan apropiadamente las normas de desarrollo de la reunión (hora, uso de la palabra, forma de contacto, toma de notas).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D126BC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06BD333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2363A0BA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019B2D2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EE056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2A52BFA0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778667A4" w14:textId="77777777" w:rsidTr="000E7A13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3FF6C963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98BE6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usa una expresión corporal apropiada (uso de una postura de escucha activa).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CD03F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1B1D8AC6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57618D6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47A2FC3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871E0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50982313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6EC2C60B" w14:textId="77777777" w:rsidTr="000E7A13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7A42F350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7D4443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usa un lenguaje verbal apropiado (voz calmada, no uso de lenguaje apropiado, correcta modulación).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1B0B673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53543A36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6149FAB0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E23204E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49B3F87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62E10D2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7A6AE732" w14:textId="77777777" w:rsidTr="000E7A13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41348045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6299CAD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respeta y fomenta una apropiada secuencia comunicacional (no interrupciones y explicación clara de ideas)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6C68DF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3B000C8D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0BEE5963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E7EE7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9B48B0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2E472533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318D62D5" w14:textId="77777777" w:rsidTr="000E7A13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14:paraId="723468EA" w14:textId="77777777" w:rsidR="00BC2AA7" w:rsidRPr="00C62804" w:rsidRDefault="00BC2AA7" w:rsidP="000E7A13">
            <w:pPr>
              <w:spacing w:line="240" w:lineRule="auto"/>
              <w:contextualSpacing/>
              <w:jc w:val="center"/>
            </w:pPr>
          </w:p>
        </w:tc>
        <w:tc>
          <w:tcPr>
            <w:tcW w:w="310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FA9CDAB" w14:textId="77777777" w:rsidR="00BC2AA7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centra la conversación en la satisfacción de intereses (actitud proactiva y no personalización del conflicto).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044124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1E7E22FC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6810D451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8AE1F29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AEE4BC5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14:paraId="22DDC9A4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BC2AA7" w:rsidRPr="00C62804" w14:paraId="57704A32" w14:textId="77777777" w:rsidTr="009E2FE6">
        <w:trPr>
          <w:trHeight w:val="482"/>
        </w:trPr>
        <w:tc>
          <w:tcPr>
            <w:tcW w:w="7865" w:type="dxa"/>
            <w:gridSpan w:val="7"/>
            <w:shd w:val="clear" w:color="auto" w:fill="FFFFFF" w:themeFill="background1"/>
          </w:tcPr>
          <w:p w14:paraId="6376AFE8" w14:textId="3F7CAB6B" w:rsidR="00BC2AA7" w:rsidRPr="00C62804" w:rsidRDefault="00BC2AA7" w:rsidP="00BC2AA7">
            <w:pPr>
              <w:spacing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s-CL"/>
              </w:rPr>
              <w:t>NOTA FINAL (Promedio total de las dimensiones)</w:t>
            </w:r>
          </w:p>
        </w:tc>
        <w:tc>
          <w:tcPr>
            <w:tcW w:w="1036" w:type="dxa"/>
            <w:shd w:val="clear" w:color="auto" w:fill="FFFFFF" w:themeFill="background1"/>
          </w:tcPr>
          <w:p w14:paraId="5B474008" w14:textId="77777777" w:rsidR="00BC2AA7" w:rsidRPr="00C62804" w:rsidRDefault="00BC2AA7" w:rsidP="000E7A13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bookmarkEnd w:id="2"/>
    </w:tbl>
    <w:p w14:paraId="6E30A22A" w14:textId="77777777" w:rsidR="00E522C5" w:rsidRPr="00C46235" w:rsidRDefault="00E522C5" w:rsidP="00C46235">
      <w:pPr>
        <w:jc w:val="both"/>
        <w:rPr>
          <w:color w:val="000000"/>
          <w:sz w:val="20"/>
          <w:szCs w:val="20"/>
          <w:lang w:val="es-CL" w:eastAsia="es-ES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14:paraId="7C6F5AE0" w14:textId="77777777" w:rsidTr="0014281E">
        <w:trPr>
          <w:trHeight w:val="2820"/>
        </w:trPr>
        <w:tc>
          <w:tcPr>
            <w:tcW w:w="9432" w:type="dxa"/>
          </w:tcPr>
          <w:p w14:paraId="5ACA0B16" w14:textId="77777777"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lastRenderedPageBreak/>
              <w:t>Observaciones:</w:t>
            </w:r>
          </w:p>
          <w:p w14:paraId="14181F24" w14:textId="49780B32" w:rsidR="00D07012" w:rsidRPr="00033353" w:rsidRDefault="00033353" w:rsidP="00033353">
            <w:pPr>
              <w:jc w:val="both"/>
            </w:pPr>
            <w:r>
              <w:t xml:space="preserve"> </w:t>
            </w:r>
          </w:p>
        </w:tc>
      </w:tr>
    </w:tbl>
    <w:p w14:paraId="56FE496C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74538C6C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443F036B" w14:textId="77777777" w:rsidR="00C46235" w:rsidRPr="00C46235" w:rsidRDefault="00C46235" w:rsidP="00141AA7">
      <w:pPr>
        <w:spacing w:line="240" w:lineRule="auto"/>
        <w:contextualSpacing/>
        <w:jc w:val="both"/>
        <w:rPr>
          <w:rFonts w:ascii="Cambria" w:hAnsi="Cambria"/>
        </w:rPr>
      </w:pPr>
    </w:p>
    <w:p w14:paraId="40730733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17E7F583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8C26F18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162CB0A8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4B81D4B4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4EC9D5A8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01666D3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6673697E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74A2F37E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2A64181E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CFE0DBD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1961F982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EADAEA4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4811AF2E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697A5D3D" w14:textId="77777777" w:rsidR="00395D8D" w:rsidRPr="009808C3" w:rsidRDefault="00395D8D" w:rsidP="009808C3">
      <w:pPr>
        <w:spacing w:line="240" w:lineRule="auto"/>
        <w:contextualSpacing/>
        <w:jc w:val="both"/>
        <w:rPr>
          <w:rFonts w:ascii="Cambria" w:hAnsi="Cambria"/>
          <w:b/>
          <w:lang w:val="es-CL"/>
        </w:rPr>
      </w:pPr>
    </w:p>
    <w:sectPr w:rsidR="00395D8D" w:rsidRPr="009808C3" w:rsidSect="005D0378">
      <w:headerReference w:type="default" r:id="rId8"/>
      <w:footerReference w:type="default" r:id="rId9"/>
      <w:pgSz w:w="12245" w:h="18706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C5F9" w14:textId="77777777" w:rsidR="00193A50" w:rsidRDefault="00193A50">
      <w:pPr>
        <w:spacing w:after="0" w:line="240" w:lineRule="auto"/>
      </w:pPr>
      <w:r>
        <w:separator/>
      </w:r>
    </w:p>
  </w:endnote>
  <w:endnote w:type="continuationSeparator" w:id="0">
    <w:p w14:paraId="1683EE5F" w14:textId="77777777" w:rsidR="00193A50" w:rsidRDefault="0019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7DB8" w14:textId="77777777" w:rsidR="005D0378" w:rsidRDefault="00D07012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BE289" wp14:editId="6FDE65FC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4A9A38" w14:textId="77777777" w:rsidR="00D07012" w:rsidRDefault="00D07012" w:rsidP="00D070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F824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:rsidR="00D07012" w:rsidRDefault="00D07012" w:rsidP="00D07012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2BDD" w14:textId="77777777" w:rsidR="00193A50" w:rsidRDefault="00193A50">
      <w:pPr>
        <w:spacing w:after="0" w:line="240" w:lineRule="auto"/>
      </w:pPr>
      <w:r>
        <w:separator/>
      </w:r>
    </w:p>
  </w:footnote>
  <w:footnote w:type="continuationSeparator" w:id="0">
    <w:p w14:paraId="51E09561" w14:textId="77777777" w:rsidR="00193A50" w:rsidRDefault="00193A50">
      <w:pPr>
        <w:spacing w:after="0" w:line="240" w:lineRule="auto"/>
      </w:pPr>
      <w:r>
        <w:continuationSeparator/>
      </w:r>
    </w:p>
  </w:footnote>
  <w:footnote w:id="1">
    <w:p w14:paraId="41FB68A6" w14:textId="77777777" w:rsidR="00280FDC" w:rsidRPr="00280FDC" w:rsidRDefault="00280FD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78B0" w14:textId="77777777"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0DB154" wp14:editId="0558957F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9D1A0" w14:textId="77777777" w:rsidR="009729C0" w:rsidRPr="009729C0" w:rsidRDefault="009729C0" w:rsidP="009729C0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9729C0">
      <w:rPr>
        <w:sz w:val="18"/>
        <w:szCs w:val="18"/>
        <w:lang w:val="es-CL"/>
      </w:rPr>
      <w:t>Curso Obligatorio de Clínica I</w:t>
    </w:r>
  </w:p>
  <w:p w14:paraId="262BD13A" w14:textId="77777777"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>Profesora Asistente Daniela Ejsmentewicz Cáceres</w:t>
    </w:r>
  </w:p>
  <w:p w14:paraId="7A065956" w14:textId="77777777"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 xml:space="preserve"> 2020</w:t>
    </w:r>
  </w:p>
  <w:p w14:paraId="609E2C14" w14:textId="77777777" w:rsidR="005D0378" w:rsidRDefault="005D0378" w:rsidP="009729C0">
    <w:pPr>
      <w:pStyle w:val="Encabezado"/>
      <w:ind w:firstLine="284"/>
      <w:jc w:val="right"/>
    </w:pPr>
  </w:p>
  <w:p w14:paraId="2F0DF493" w14:textId="77777777" w:rsidR="005D0378" w:rsidRDefault="005D0378" w:rsidP="009729C0">
    <w:pPr>
      <w:pStyle w:val="Encabezado"/>
    </w:pPr>
  </w:p>
  <w:p w14:paraId="456C882A" w14:textId="77777777" w:rsidR="005D0378" w:rsidRDefault="005D0378" w:rsidP="005D0378">
    <w:pPr>
      <w:pStyle w:val="Encabezado"/>
      <w:rPr>
        <w:sz w:val="16"/>
        <w:szCs w:val="16"/>
      </w:rPr>
    </w:pPr>
  </w:p>
  <w:p w14:paraId="6FB08826" w14:textId="77777777" w:rsidR="009729C0" w:rsidRPr="001705CC" w:rsidRDefault="009729C0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141A8"/>
    <w:multiLevelType w:val="hybridMultilevel"/>
    <w:tmpl w:val="77C8CFFA"/>
    <w:lvl w:ilvl="0" w:tplc="E7D8D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025AF0"/>
    <w:rsid w:val="00033353"/>
    <w:rsid w:val="00035911"/>
    <w:rsid w:val="000B715B"/>
    <w:rsid w:val="000C6B60"/>
    <w:rsid w:val="00141AA7"/>
    <w:rsid w:val="00146CC5"/>
    <w:rsid w:val="00193A50"/>
    <w:rsid w:val="001B2E31"/>
    <w:rsid w:val="001E2642"/>
    <w:rsid w:val="00262154"/>
    <w:rsid w:val="00280FDC"/>
    <w:rsid w:val="002A65B7"/>
    <w:rsid w:val="002F38B1"/>
    <w:rsid w:val="0039494A"/>
    <w:rsid w:val="00395D8D"/>
    <w:rsid w:val="003D6E28"/>
    <w:rsid w:val="003F017D"/>
    <w:rsid w:val="00416F10"/>
    <w:rsid w:val="0050723E"/>
    <w:rsid w:val="005D0378"/>
    <w:rsid w:val="006647CA"/>
    <w:rsid w:val="006C0087"/>
    <w:rsid w:val="007A0252"/>
    <w:rsid w:val="007D7294"/>
    <w:rsid w:val="008146BC"/>
    <w:rsid w:val="00930166"/>
    <w:rsid w:val="009450C3"/>
    <w:rsid w:val="0096442A"/>
    <w:rsid w:val="009729C0"/>
    <w:rsid w:val="009808C3"/>
    <w:rsid w:val="009F281B"/>
    <w:rsid w:val="00B25F17"/>
    <w:rsid w:val="00B33C63"/>
    <w:rsid w:val="00B72B33"/>
    <w:rsid w:val="00BC2AA7"/>
    <w:rsid w:val="00C46235"/>
    <w:rsid w:val="00CA2421"/>
    <w:rsid w:val="00D07012"/>
    <w:rsid w:val="00D9445A"/>
    <w:rsid w:val="00D96CE9"/>
    <w:rsid w:val="00DF4AA9"/>
    <w:rsid w:val="00E522C5"/>
    <w:rsid w:val="00EE5508"/>
    <w:rsid w:val="00F626C2"/>
    <w:rsid w:val="00FD168B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95782"/>
  <w14:defaultImageDpi w14:val="300"/>
  <w15:docId w15:val="{67682B01-4431-4174-9FA0-D1CDFB6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522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7A0252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9729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80FD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0FDC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80FDC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280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748F-58AA-40FE-9A2F-7F1D7936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 Cáceres</dc:creator>
  <cp:lastModifiedBy>Daniela Ines Ejsmentewicz Caceres (danielaec)</cp:lastModifiedBy>
  <cp:revision>2</cp:revision>
  <cp:lastPrinted>2020-04-14T18:37:00Z</cp:lastPrinted>
  <dcterms:created xsi:type="dcterms:W3CDTF">2021-09-03T12:58:00Z</dcterms:created>
  <dcterms:modified xsi:type="dcterms:W3CDTF">2021-09-03T12:58:00Z</dcterms:modified>
</cp:coreProperties>
</file>