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0" w:before="40" w:line="259" w:lineRule="auto"/>
        <w:rPr>
          <w:rFonts w:ascii="Garamond" w:cs="Garamond" w:eastAsia="Garamond" w:hAnsi="Garamond"/>
          <w:b w:val="1"/>
          <w:color w:val="2f5496"/>
          <w:sz w:val="24"/>
          <w:szCs w:val="24"/>
        </w:rPr>
      </w:pPr>
      <w:bookmarkStart w:colFirst="0" w:colLast="0" w:name="_3as4poj" w:id="0"/>
      <w:bookmarkEnd w:id="0"/>
      <w:r w:rsidDel="00000000" w:rsidR="00000000" w:rsidRPr="00000000">
        <w:rPr>
          <w:rFonts w:ascii="Garamond" w:cs="Garamond" w:eastAsia="Garamond" w:hAnsi="Garamond"/>
          <w:b w:val="1"/>
          <w:color w:val="2f5496"/>
          <w:sz w:val="24"/>
          <w:szCs w:val="24"/>
          <w:rtl w:val="0"/>
        </w:rPr>
        <w:t xml:space="preserve">Rúbrica para la evaluación de desempeño en un ejercicio de redacción forense</w:t>
      </w:r>
    </w:p>
    <w:p w:rsidR="00000000" w:rsidDel="00000000" w:rsidP="00000000" w:rsidRDefault="00000000" w:rsidRPr="00000000" w14:paraId="00000002">
      <w:pPr>
        <w:spacing w:before="280" w:line="240" w:lineRule="auto"/>
        <w:jc w:val="both"/>
        <w:rPr>
          <w:rFonts w:ascii="Garamond" w:cs="Garamond" w:eastAsia="Garamond" w:hAnsi="Garamond"/>
          <w:b w:val="1"/>
          <w:sz w:val="20"/>
          <w:szCs w:val="20"/>
        </w:rPr>
      </w:pP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rtl w:val="0"/>
        </w:rPr>
        <w:t xml:space="preserve">Niveles de Evaluación</w:t>
      </w: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3">
      <w:pPr>
        <w:spacing w:after="160" w:line="240" w:lineRule="auto"/>
        <w:jc w:val="both"/>
        <w:rPr>
          <w:rFonts w:ascii="Garamond" w:cs="Garamond" w:eastAsia="Garamond" w:hAnsi="Garamond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gridCol w:w="4572"/>
        <w:tblGridChange w:id="0">
          <w:tblGrid>
            <w:gridCol w:w="936"/>
            <w:gridCol w:w="1358"/>
            <w:gridCol w:w="1962"/>
            <w:gridCol w:w="4572"/>
          </w:tblGrid>
        </w:tblGridChange>
      </w:tblGrid>
      <w:tr>
        <w:tc>
          <w:tcPr>
            <w:shd w:fill="f2f2f2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Código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Significado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Rango de notas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Contenido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Malo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Deficiente 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 al 1.9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 al 2.9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 al 3.9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estudiante no realiza las acciones esperadas y/o las realiza de mala manera, de tal forma que no cumple estándares mínimos de desempeño profesional.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: el estudiante no puede ser certificado por las manifiestas debilidades evidenciadas en al menos uno de los componentes del desempeño.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Suficiente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 al 4.9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estudiante realiza las acciones mínimas aceptables y/o su ejecución es mediocre pudiendo certificar que se ajusta al desempeño profesional, pero de manera mínima. Se le hacen importantes correcciones a su desempeño.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global: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el estudiante puede ser certificado, si bien reconociendo que presenta algunas debilidades que no comprometen de manera definitiva su actuación.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Bueno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5 al 5.9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estudiante realiza las acciones necesarias para un bien desempeño profesional ajustándose a un buen estándar de calidad. Se le hacen correcciones menores.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: el estudiante puede ser certificado, reconociendo que su actuación se ajusta apropiadamente a las buenas prácticas profesionales en nivel inicial.</w:t>
            </w:r>
          </w:p>
        </w:tc>
      </w:tr>
      <w:tr>
        <w:trPr>
          <w:trHeight w:val="70" w:hRule="atLeast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Sobresaliente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 al 6.5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6.6 al 7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desempeño del estudiante excede las expectativas y cumple, con buena calidad, las acciones identificadas en la rúbrica. No se le hacen observaciones. 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: el estudiante puede ser certificado, reconociendo que su actuación se ajusta a las buenas prácticas profesionales excediendo lo esperable de un estudiante en su nivel de formación</w:t>
            </w:r>
          </w:p>
        </w:tc>
      </w:tr>
    </w:tbl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Garamond" w:cs="Garamond" w:eastAsia="Garamond" w:hAnsi="Garamon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Garamond" w:cs="Garamond" w:eastAsia="Garamond" w:hAnsi="Garamond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="240" w:lineRule="auto"/>
        <w:jc w:val="both"/>
        <w:rPr>
          <w:rFonts w:ascii="Garamond" w:cs="Garamond" w:eastAsia="Garamond" w:hAnsi="Garamond"/>
          <w:b w:val="1"/>
          <w:sz w:val="20"/>
          <w:szCs w:val="20"/>
        </w:rPr>
      </w:pP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rtl w:val="0"/>
        </w:rPr>
        <w:t xml:space="preserve">Acciones esperadas:</w:t>
      </w:r>
    </w:p>
    <w:tbl>
      <w:tblPr>
        <w:tblStyle w:val="Table2"/>
        <w:tblW w:w="8827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3"/>
        <w:gridCol w:w="4200"/>
        <w:gridCol w:w="326"/>
        <w:gridCol w:w="348"/>
        <w:gridCol w:w="338"/>
        <w:gridCol w:w="353"/>
        <w:gridCol w:w="640"/>
        <w:gridCol w:w="1000"/>
        <w:tblGridChange w:id="0">
          <w:tblGrid>
            <w:gridCol w:w="1623"/>
            <w:gridCol w:w="4200"/>
            <w:gridCol w:w="326"/>
            <w:gridCol w:w="348"/>
            <w:gridCol w:w="338"/>
            <w:gridCol w:w="353"/>
            <w:gridCol w:w="640"/>
            <w:gridCol w:w="1000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Dimensión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Criterios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I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A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B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Nota por ítem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Nota dimensión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5" w:hRule="atLeast"/>
        </w:trPr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3E">
            <w:pPr>
              <w:spacing w:after="200"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Trabajo preparatorio de redacción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3F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e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labora un plan de redacción apropiado que distingue el tema principal, argumentos y elementos de los argumentos de acuerdo a la “Teoría del caso”.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evalúa apropiadamente los elementos probatorios dentro del plan de redacción.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En caso de utilizar un modelo, la (el) estudiante se hace un apropiado trabajo de ajuste al caso particular.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Aspectos formales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cumple con los requisitos formales de redacción (justificación de márgenes, redacción sin errores de ortografía ni sintaxis)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cumple con los requisitos legales de redacción de escritos de formato normado (ej: identificación destinatarios, suma si procede, fecha, individualización de compareciente, etc.)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redacta el texto en lenguaje forense, de acuerdo con la acción deducida o la gestión realizada.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Argumentación Jurídica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 realiza  una r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elación pertinente de los hechos.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fundamente los hechos narrados con un apropiado sustento probatorio.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 desarrolla argumentos jurídicos de forma apropiada a los hechos del caso.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 relaciona lógicamente los argumentos jurídicos entre sí.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8D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emplea efectivamente de las fuentes pertinentes del derecho, normativas, doctrinales y jurisprudenciales aplicables al caso.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95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Peticiones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 realiza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 peticiones son claras y precisas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realiza peticiones son consistentes con los hechos, las pruebas y la argumentación jurídica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5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(el) estudiante realiza peticiones integrales y abarcan todos los aspectos del problema.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AD">
            <w:pPr>
              <w:widowControl w:val="0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gridSpan w:val="7"/>
          </w:tcPr>
          <w:p w:rsidR="00000000" w:rsidDel="00000000" w:rsidP="00000000" w:rsidRDefault="00000000" w:rsidRPr="00000000" w14:paraId="000000AE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NOTA FINAL (Promedio de las dimensiones)</w:t>
            </w:r>
          </w:p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pStyle w:val="Heading2"/>
        <w:spacing w:after="0" w:before="40" w:line="259" w:lineRule="auto"/>
        <w:rPr>
          <w:rFonts w:ascii="Garamond" w:cs="Garamond" w:eastAsia="Garamond" w:hAnsi="Garamond"/>
          <w:color w:val="2f549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Garamond" w:cs="Garamond" w:eastAsia="Garamond" w:hAnsi="Garamond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B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Nivel de evaluación según el artículo 42 del reglamento de la carrera. Disponible en: </w:t>
      </w:r>
      <w:hyperlink r:id="rId1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http://derecho.uchile.cl/estudiantes/secretaria-de-estudios/reglamento-de-estudios-4.html</w:t>
        </w:r>
      </w:hyperlink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derecho.uchile.cl/estudiantes/secretaria-de-estudios/reglamento-de-estudios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