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spacing w:after="0" w:before="40" w:line="259" w:lineRule="auto"/>
        <w:rPr>
          <w:rFonts w:ascii="Garamond" w:cs="Garamond" w:eastAsia="Garamond" w:hAnsi="Garamond"/>
          <w:b w:val="1"/>
          <w:color w:val="2f5496"/>
          <w:sz w:val="24"/>
          <w:szCs w:val="24"/>
        </w:rPr>
      </w:pPr>
      <w:bookmarkStart w:colFirst="0" w:colLast="0" w:name="_147n2zr" w:id="0"/>
      <w:bookmarkEnd w:id="0"/>
      <w:r w:rsidDel="00000000" w:rsidR="00000000" w:rsidRPr="00000000">
        <w:rPr>
          <w:rFonts w:ascii="Garamond" w:cs="Garamond" w:eastAsia="Garamond" w:hAnsi="Garamond"/>
          <w:b w:val="1"/>
          <w:color w:val="2f5496"/>
          <w:sz w:val="24"/>
          <w:szCs w:val="24"/>
          <w:rtl w:val="0"/>
        </w:rPr>
        <w:t xml:space="preserve">Rúbrica de evaluación de desempeño en una negociación:</w:t>
      </w:r>
    </w:p>
    <w:p w:rsidR="00000000" w:rsidDel="00000000" w:rsidP="00000000" w:rsidRDefault="00000000" w:rsidRPr="00000000" w14:paraId="00000002">
      <w:pPr>
        <w:spacing w:line="240" w:lineRule="auto"/>
        <w:jc w:val="both"/>
        <w:rPr>
          <w:rFonts w:ascii="Garamond" w:cs="Garamond" w:eastAsia="Garamond" w:hAnsi="Garamond"/>
          <w:b w:val="1"/>
          <w:sz w:val="20"/>
          <w:szCs w:val="20"/>
        </w:rPr>
      </w:pPr>
      <w:r w:rsidDel="00000000" w:rsidR="00000000" w:rsidRPr="00000000">
        <w:rPr>
          <w:rFonts w:ascii="Garamond" w:cs="Garamond" w:eastAsia="Garamond" w:hAnsi="Garamond"/>
          <w:b w:val="1"/>
          <w:sz w:val="20"/>
          <w:szCs w:val="20"/>
          <w:rtl w:val="0"/>
        </w:rPr>
        <w:t xml:space="preserve">Niveles de evaluación</w:t>
      </w:r>
      <w:r w:rsidDel="00000000" w:rsidR="00000000" w:rsidRPr="00000000">
        <w:rPr>
          <w:rFonts w:ascii="Garamond" w:cs="Garamond" w:eastAsia="Garamond" w:hAnsi="Garamond"/>
          <w:b w:val="1"/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rFonts w:ascii="Garamond" w:cs="Garamond" w:eastAsia="Garamond" w:hAnsi="Garamond"/>
          <w:b w:val="1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03">
      <w:pPr>
        <w:spacing w:after="200" w:line="240" w:lineRule="auto"/>
        <w:jc w:val="both"/>
        <w:rPr>
          <w:rFonts w:ascii="Garamond" w:cs="Garamond" w:eastAsia="Garamond" w:hAnsi="Garamond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6"/>
        <w:gridCol w:w="1358"/>
        <w:gridCol w:w="1962"/>
        <w:gridCol w:w="4572"/>
        <w:tblGridChange w:id="0">
          <w:tblGrid>
            <w:gridCol w:w="936"/>
            <w:gridCol w:w="1358"/>
            <w:gridCol w:w="1962"/>
            <w:gridCol w:w="4572"/>
          </w:tblGrid>
        </w:tblGridChange>
      </w:tblGrid>
      <w:tr>
        <w:tc>
          <w:tcPr>
            <w:shd w:fill="f2f2f2" w:val="clear"/>
          </w:tcPr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Código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Significado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Rango de notas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Contenido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Insuficiente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Deficiente </w:t>
            </w:r>
          </w:p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Malo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3 al 3.9</w:t>
            </w:r>
          </w:p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2 al 2.9</w:t>
            </w:r>
          </w:p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1 al 1.9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El estudiante no realiza las acciones esperadas y/o las realiza de mala manera, de tal forma que no cumple estándares mínimos de desempeño profesional.</w:t>
            </w:r>
          </w:p>
          <w:p w:rsidR="00000000" w:rsidDel="00000000" w:rsidP="00000000" w:rsidRDefault="00000000" w:rsidRPr="00000000" w14:paraId="00000010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Desempeño global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: el estudiante no puede ser certificado por las manifiestas debilidades evidenciadas en al menos uno de los componentes del desempeño.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Suficiente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4 al 4.9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El estudiante realiza las acciones mínimas aceptables y/o su ejecución es mediocre pudiendo certificar que se ajusta al desempeño profesional, pero de manera mínima. Se le hacen importantes correcciones a su desempeño. </w:t>
            </w:r>
          </w:p>
          <w:p w:rsidR="00000000" w:rsidDel="00000000" w:rsidP="00000000" w:rsidRDefault="00000000" w:rsidRPr="00000000" w14:paraId="00000016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Desempeño global: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el estudiante puede ser certificado, si bien reconociendo que presenta algunas debilidades que no comprometen de manera definitiva su actuación.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Bueno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5 al 5.9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El estudiante realiza las acciones necesarias para un bien desempeño profesional ajustándose a un buen estándar de calidad. Se le hacen correcciones menores.</w:t>
            </w:r>
          </w:p>
          <w:p w:rsidR="00000000" w:rsidDel="00000000" w:rsidP="00000000" w:rsidRDefault="00000000" w:rsidRPr="00000000" w14:paraId="0000001C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Desempeño global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: el estudiante puede ser certificado, reconociendo que su actuación se ajusta apropiadamente a las buenas prácticas profesionales en nivel inicial.</w:t>
            </w:r>
          </w:p>
        </w:tc>
      </w:tr>
      <w:tr>
        <w:trPr>
          <w:trHeight w:val="70" w:hRule="atLeast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Sobresaliente</w:t>
            </w:r>
          </w:p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Muy bueno</w:t>
            </w:r>
          </w:p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6.6 al 7</w:t>
            </w:r>
          </w:p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6 al 6.5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El desempeño del estudiante excede las expectativas y cumple, con buena calidad, las acciones identificadas en la rúbrica. No se le hacen observaciones. 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rtl w:val="0"/>
              </w:rPr>
              <w:t xml:space="preserve">Desempeño global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: el estudiante puede ser certificado, reconociendo que su actuación se ajusta a las buenas prácticas profesionales excediendo lo esperable de un estudiante en su nivel de formación</w:t>
            </w:r>
          </w:p>
        </w:tc>
      </w:tr>
    </w:tbl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00" w:line="240" w:lineRule="auto"/>
        <w:jc w:val="both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Acciones evaluadas:</w:t>
      </w:r>
    </w:p>
    <w:tbl>
      <w:tblPr>
        <w:tblStyle w:val="Table2"/>
        <w:tblW w:w="889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38"/>
        <w:gridCol w:w="3180"/>
        <w:gridCol w:w="540"/>
        <w:gridCol w:w="555"/>
        <w:gridCol w:w="510"/>
        <w:gridCol w:w="480"/>
        <w:gridCol w:w="851"/>
        <w:gridCol w:w="1036"/>
        <w:tblGridChange w:id="0">
          <w:tblGrid>
            <w:gridCol w:w="1738"/>
            <w:gridCol w:w="3180"/>
            <w:gridCol w:w="540"/>
            <w:gridCol w:w="555"/>
            <w:gridCol w:w="510"/>
            <w:gridCol w:w="480"/>
            <w:gridCol w:w="851"/>
            <w:gridCol w:w="1036"/>
          </w:tblGrid>
        </w:tblGridChange>
      </w:tblGrid>
      <w:tr>
        <w:trPr>
          <w:trHeight w:val="300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spacing w:after="200" w:line="240" w:lineRule="auto"/>
              <w:jc w:val="center"/>
              <w:rPr>
                <w:rFonts w:ascii="Garamond" w:cs="Garamond" w:eastAsia="Garamond" w:hAnsi="Garamond"/>
                <w:b w:val="1"/>
                <w:sz w:val="20"/>
                <w:szCs w:val="20"/>
              </w:rPr>
            </w:pPr>
            <w:bookmarkStart w:colFirst="0" w:colLast="0" w:name="_3o7alnk" w:id="1"/>
            <w:bookmarkEnd w:id="1"/>
            <w:r w:rsidDel="00000000" w:rsidR="00000000" w:rsidRPr="00000000">
              <w:rPr>
                <w:rFonts w:ascii="Garamond" w:cs="Garamond" w:eastAsia="Garamond" w:hAnsi="Garamond"/>
                <w:b w:val="1"/>
                <w:sz w:val="20"/>
                <w:szCs w:val="20"/>
                <w:rtl w:val="0"/>
              </w:rPr>
              <w:t xml:space="preserve">Dimensión</w:t>
            </w:r>
          </w:p>
        </w:tc>
        <w:tc>
          <w:tcPr>
            <w:tcBorders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spacing w:after="200" w:line="240" w:lineRule="auto"/>
              <w:jc w:val="center"/>
              <w:rPr>
                <w:rFonts w:ascii="Garamond" w:cs="Garamond" w:eastAsia="Garamond" w:hAnsi="Garamond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0"/>
                <w:szCs w:val="20"/>
                <w:rtl w:val="0"/>
              </w:rPr>
              <w:t xml:space="preserve">Criterios</w:t>
            </w:r>
          </w:p>
        </w:tc>
        <w:tc>
          <w:tcPr>
            <w:tcBorders>
              <w:lef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spacing w:after="200" w:line="240" w:lineRule="auto"/>
              <w:jc w:val="both"/>
              <w:rPr>
                <w:rFonts w:ascii="Garamond" w:cs="Garamond" w:eastAsia="Garamond" w:hAnsi="Garamond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spacing w:after="200" w:line="240" w:lineRule="auto"/>
              <w:jc w:val="both"/>
              <w:rPr>
                <w:rFonts w:ascii="Garamond" w:cs="Garamond" w:eastAsia="Garamond" w:hAnsi="Garamond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0"/>
                <w:szCs w:val="20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31">
            <w:pPr>
              <w:spacing w:after="200" w:line="240" w:lineRule="auto"/>
              <w:jc w:val="both"/>
              <w:rPr>
                <w:rFonts w:ascii="Garamond" w:cs="Garamond" w:eastAsia="Garamond" w:hAnsi="Garamond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0"/>
                <w:szCs w:val="20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34">
            <w:pPr>
              <w:spacing w:after="200" w:line="240" w:lineRule="auto"/>
              <w:jc w:val="both"/>
              <w:rPr>
                <w:rFonts w:ascii="Garamond" w:cs="Garamond" w:eastAsia="Garamond" w:hAnsi="Garamond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after="200" w:line="240" w:lineRule="auto"/>
              <w:jc w:val="both"/>
              <w:rPr>
                <w:rFonts w:ascii="Garamond" w:cs="Garamond" w:eastAsia="Garamond" w:hAnsi="Garamond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0"/>
                <w:szCs w:val="20"/>
                <w:rtl w:val="0"/>
              </w:rPr>
              <w:t xml:space="preserve">Nota Ítem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spacing w:after="200" w:line="240" w:lineRule="auto"/>
              <w:jc w:val="both"/>
              <w:rPr>
                <w:rFonts w:ascii="Garamond" w:cs="Garamond" w:eastAsia="Garamond" w:hAnsi="Garamond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0"/>
                <w:szCs w:val="20"/>
                <w:rtl w:val="0"/>
              </w:rPr>
              <w:t xml:space="preserve">Prom.</w:t>
            </w:r>
          </w:p>
        </w:tc>
      </w:tr>
      <w:tr>
        <w:trPr>
          <w:trHeight w:val="529.9999999999999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b6dde8" w:val="clear"/>
            <w:vAlign w:val="center"/>
          </w:tcPr>
          <w:p w:rsidR="00000000" w:rsidDel="00000000" w:rsidP="00000000" w:rsidRDefault="00000000" w:rsidRPr="00000000" w14:paraId="00000037">
            <w:pPr>
              <w:spacing w:after="200" w:line="240" w:lineRule="auto"/>
              <w:jc w:val="center"/>
              <w:rPr>
                <w:rFonts w:ascii="Garamond" w:cs="Garamond" w:eastAsia="Garamond" w:hAnsi="Garamond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0"/>
                <w:szCs w:val="20"/>
                <w:rtl w:val="0"/>
              </w:rPr>
              <w:t xml:space="preserve">I- Identificación de las características del conflicto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12" w:val="single"/>
            </w:tcBorders>
            <w:shd w:fill="b6dde8" w:val="clear"/>
          </w:tcPr>
          <w:p w:rsidR="00000000" w:rsidDel="00000000" w:rsidP="00000000" w:rsidRDefault="00000000" w:rsidRPr="00000000" w14:paraId="00000038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0"/>
                <w:szCs w:val="20"/>
                <w:rtl w:val="0"/>
              </w:rPr>
              <w:t xml:space="preserve">El (la) estudiante identifica claramente las partes en conflicto.</w:t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right w:color="000000" w:space="0" w:sz="4" w:val="single"/>
            </w:tcBorders>
            <w:shd w:fill="b6dde8" w:val="clear"/>
          </w:tcPr>
          <w:p w:rsidR="00000000" w:rsidDel="00000000" w:rsidP="00000000" w:rsidRDefault="00000000" w:rsidRPr="00000000" w14:paraId="00000039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b6dde8" w:val="clear"/>
          </w:tcPr>
          <w:p w:rsidR="00000000" w:rsidDel="00000000" w:rsidP="00000000" w:rsidRDefault="00000000" w:rsidRPr="00000000" w14:paraId="0000003A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b6dde8" w:val="clear"/>
          </w:tcPr>
          <w:p w:rsidR="00000000" w:rsidDel="00000000" w:rsidP="00000000" w:rsidRDefault="00000000" w:rsidRPr="00000000" w14:paraId="0000003B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12" w:val="single"/>
            </w:tcBorders>
            <w:shd w:fill="b6dde8" w:val="clear"/>
          </w:tcPr>
          <w:p w:rsidR="00000000" w:rsidDel="00000000" w:rsidP="00000000" w:rsidRDefault="00000000" w:rsidRPr="00000000" w14:paraId="0000003C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right w:color="000000" w:space="0" w:sz="4" w:val="single"/>
            </w:tcBorders>
            <w:shd w:fill="b6dde8" w:val="clear"/>
          </w:tcPr>
          <w:p w:rsidR="00000000" w:rsidDel="00000000" w:rsidP="00000000" w:rsidRDefault="00000000" w:rsidRPr="00000000" w14:paraId="0000003D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b6dde8" w:val="clear"/>
          </w:tcPr>
          <w:p w:rsidR="00000000" w:rsidDel="00000000" w:rsidP="00000000" w:rsidRDefault="00000000" w:rsidRPr="00000000" w14:paraId="0000003E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b6dde8" w:val="clear"/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12" w:val="single"/>
            </w:tcBorders>
            <w:shd w:fill="b6dde8" w:val="clear"/>
          </w:tcPr>
          <w:p w:rsidR="00000000" w:rsidDel="00000000" w:rsidP="00000000" w:rsidRDefault="00000000" w:rsidRPr="00000000" w14:paraId="00000040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0"/>
                <w:szCs w:val="20"/>
                <w:rtl w:val="0"/>
              </w:rPr>
              <w:t xml:space="preserve">El (la) estudiante identifica claramente el conflicto (pretensiones aparentemente contrapuestas).</w:t>
            </w:r>
          </w:p>
        </w:tc>
        <w:tc>
          <w:tcPr>
            <w:tcBorders>
              <w:left w:color="000000" w:space="0" w:sz="12" w:val="single"/>
              <w:right w:color="000000" w:space="0" w:sz="4" w:val="single"/>
            </w:tcBorders>
            <w:shd w:fill="b6dde8" w:val="clear"/>
          </w:tcPr>
          <w:p w:rsidR="00000000" w:rsidDel="00000000" w:rsidP="00000000" w:rsidRDefault="00000000" w:rsidRPr="00000000" w14:paraId="00000041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6dde8" w:val="clear"/>
          </w:tcPr>
          <w:p w:rsidR="00000000" w:rsidDel="00000000" w:rsidP="00000000" w:rsidRDefault="00000000" w:rsidRPr="00000000" w14:paraId="00000042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6dde8" w:val="clear"/>
          </w:tcPr>
          <w:p w:rsidR="00000000" w:rsidDel="00000000" w:rsidP="00000000" w:rsidRDefault="00000000" w:rsidRPr="00000000" w14:paraId="00000043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b6dde8" w:val="clear"/>
          </w:tcPr>
          <w:p w:rsidR="00000000" w:rsidDel="00000000" w:rsidP="00000000" w:rsidRDefault="00000000" w:rsidRPr="00000000" w14:paraId="00000044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4" w:val="single"/>
            </w:tcBorders>
            <w:shd w:fill="b6dde8" w:val="clear"/>
          </w:tcPr>
          <w:p w:rsidR="00000000" w:rsidDel="00000000" w:rsidP="00000000" w:rsidRDefault="00000000" w:rsidRPr="00000000" w14:paraId="00000045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b6dde8" w:val="clear"/>
          </w:tcPr>
          <w:p w:rsidR="00000000" w:rsidDel="00000000" w:rsidP="00000000" w:rsidRDefault="00000000" w:rsidRPr="00000000" w14:paraId="00000046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9.9999999999999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b6dde8" w:val="clear"/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b6dde8" w:val="clear"/>
          </w:tcPr>
          <w:p w:rsidR="00000000" w:rsidDel="00000000" w:rsidP="00000000" w:rsidRDefault="00000000" w:rsidRPr="00000000" w14:paraId="00000048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0"/>
                <w:szCs w:val="20"/>
                <w:rtl w:val="0"/>
              </w:rPr>
              <w:t xml:space="preserve">El (la) estudiante distingue entre posición e interés.</w:t>
            </w:r>
          </w:p>
        </w:tc>
        <w:tc>
          <w:tcPr>
            <w:tcBorders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b6dde8" w:val="clear"/>
          </w:tcPr>
          <w:p w:rsidR="00000000" w:rsidDel="00000000" w:rsidP="00000000" w:rsidRDefault="00000000" w:rsidRPr="00000000" w14:paraId="00000049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6dde8" w:val="clear"/>
          </w:tcPr>
          <w:p w:rsidR="00000000" w:rsidDel="00000000" w:rsidP="00000000" w:rsidRDefault="00000000" w:rsidRPr="00000000" w14:paraId="0000004A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6dde8" w:val="clear"/>
          </w:tcPr>
          <w:p w:rsidR="00000000" w:rsidDel="00000000" w:rsidP="00000000" w:rsidRDefault="00000000" w:rsidRPr="00000000" w14:paraId="0000004B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b6dde8" w:val="clear"/>
          </w:tcPr>
          <w:p w:rsidR="00000000" w:rsidDel="00000000" w:rsidP="00000000" w:rsidRDefault="00000000" w:rsidRPr="00000000" w14:paraId="0000004C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b6dde8" w:val="clear"/>
          </w:tcPr>
          <w:p w:rsidR="00000000" w:rsidDel="00000000" w:rsidP="00000000" w:rsidRDefault="00000000" w:rsidRPr="00000000" w14:paraId="0000004D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b6dde8" w:val="clear"/>
          </w:tcPr>
          <w:p w:rsidR="00000000" w:rsidDel="00000000" w:rsidP="00000000" w:rsidRDefault="00000000" w:rsidRPr="00000000" w14:paraId="0000004E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b6dde8" w:val="clear"/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b6dde8" w:val="clear"/>
          </w:tcPr>
          <w:p w:rsidR="00000000" w:rsidDel="00000000" w:rsidP="00000000" w:rsidRDefault="00000000" w:rsidRPr="00000000" w14:paraId="00000050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0"/>
                <w:szCs w:val="20"/>
                <w:rtl w:val="0"/>
              </w:rPr>
              <w:t xml:space="preserve">El (la) estudiante identifica la posición de las partes respecto al conflicto.</w:t>
            </w:r>
          </w:p>
        </w:tc>
        <w:tc>
          <w:tcPr>
            <w:tcBorders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b6dde8" w:val="clear"/>
          </w:tcPr>
          <w:p w:rsidR="00000000" w:rsidDel="00000000" w:rsidP="00000000" w:rsidRDefault="00000000" w:rsidRPr="00000000" w14:paraId="00000051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6dde8" w:val="clear"/>
          </w:tcPr>
          <w:p w:rsidR="00000000" w:rsidDel="00000000" w:rsidP="00000000" w:rsidRDefault="00000000" w:rsidRPr="00000000" w14:paraId="00000052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6dde8" w:val="clear"/>
          </w:tcPr>
          <w:p w:rsidR="00000000" w:rsidDel="00000000" w:rsidP="00000000" w:rsidRDefault="00000000" w:rsidRPr="00000000" w14:paraId="00000053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b6dde8" w:val="clear"/>
          </w:tcPr>
          <w:p w:rsidR="00000000" w:rsidDel="00000000" w:rsidP="00000000" w:rsidRDefault="00000000" w:rsidRPr="00000000" w14:paraId="00000054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b6dde8" w:val="clear"/>
          </w:tcPr>
          <w:p w:rsidR="00000000" w:rsidDel="00000000" w:rsidP="00000000" w:rsidRDefault="00000000" w:rsidRPr="00000000" w14:paraId="00000055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b6dde8" w:val="clear"/>
          </w:tcPr>
          <w:p w:rsidR="00000000" w:rsidDel="00000000" w:rsidP="00000000" w:rsidRDefault="00000000" w:rsidRPr="00000000" w14:paraId="00000056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b6dde8" w:val="clear"/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b6dde8" w:val="clear"/>
          </w:tcPr>
          <w:p w:rsidR="00000000" w:rsidDel="00000000" w:rsidP="00000000" w:rsidRDefault="00000000" w:rsidRPr="00000000" w14:paraId="00000058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0"/>
                <w:szCs w:val="20"/>
                <w:rtl w:val="0"/>
              </w:rPr>
              <w:t xml:space="preserve">El (la) estudiante identifica el interés de las partes respecto al conflicto</w:t>
            </w:r>
          </w:p>
        </w:tc>
        <w:tc>
          <w:tcPr>
            <w:tcBorders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b6dde8" w:val="clear"/>
          </w:tcPr>
          <w:p w:rsidR="00000000" w:rsidDel="00000000" w:rsidP="00000000" w:rsidRDefault="00000000" w:rsidRPr="00000000" w14:paraId="00000059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6dde8" w:val="clear"/>
          </w:tcPr>
          <w:p w:rsidR="00000000" w:rsidDel="00000000" w:rsidP="00000000" w:rsidRDefault="00000000" w:rsidRPr="00000000" w14:paraId="0000005A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6dde8" w:val="clear"/>
          </w:tcPr>
          <w:p w:rsidR="00000000" w:rsidDel="00000000" w:rsidP="00000000" w:rsidRDefault="00000000" w:rsidRPr="00000000" w14:paraId="0000005B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b6dde8" w:val="clear"/>
          </w:tcPr>
          <w:p w:rsidR="00000000" w:rsidDel="00000000" w:rsidP="00000000" w:rsidRDefault="00000000" w:rsidRPr="00000000" w14:paraId="0000005C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bottom w:color="000000" w:space="0" w:sz="4" w:val="single"/>
              <w:right w:color="000000" w:space="0" w:sz="4" w:val="single"/>
            </w:tcBorders>
            <w:shd w:fill="b6dde8" w:val="clear"/>
          </w:tcPr>
          <w:p w:rsidR="00000000" w:rsidDel="00000000" w:rsidP="00000000" w:rsidRDefault="00000000" w:rsidRPr="00000000" w14:paraId="0000005D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b6dde8" w:val="clear"/>
          </w:tcPr>
          <w:p w:rsidR="00000000" w:rsidDel="00000000" w:rsidP="00000000" w:rsidRDefault="00000000" w:rsidRPr="00000000" w14:paraId="0000005E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26" w:hRule="atLeast"/>
        </w:trPr>
        <w:tc>
          <w:tcPr>
            <w:vMerge w:val="restart"/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spacing w:line="240" w:lineRule="auto"/>
              <w:jc w:val="center"/>
              <w:rPr>
                <w:rFonts w:ascii="Garamond" w:cs="Garamond" w:eastAsia="Garamond" w:hAnsi="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after="200" w:line="240" w:lineRule="auto"/>
              <w:jc w:val="center"/>
              <w:rPr>
                <w:rFonts w:ascii="Garamond" w:cs="Garamond" w:eastAsia="Garamond" w:hAnsi="Garamond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0"/>
                <w:szCs w:val="20"/>
                <w:rtl w:val="0"/>
              </w:rPr>
              <w:t xml:space="preserve">II- Construcción de alternativas</w:t>
            </w:r>
          </w:p>
        </w:tc>
        <w:tc>
          <w:tcPr>
            <w:tcBorders>
              <w:top w:color="000000" w:space="0" w:sz="4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0"/>
                <w:szCs w:val="20"/>
                <w:rtl w:val="0"/>
              </w:rPr>
              <w:t xml:space="preserve">El (la) estudiante construye diferentes alternativas de solución que consideran los intereses de todas las partes involucradas en el conflicto. </w:t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4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</w:tcBorders>
          </w:tcPr>
          <w:p w:rsidR="00000000" w:rsidDel="00000000" w:rsidP="00000000" w:rsidRDefault="00000000" w:rsidRPr="00000000" w14:paraId="00000066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4" w:hRule="atLeast"/>
        </w:trPr>
        <w:tc>
          <w:tcPr>
            <w:vMerge w:val="continue"/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0"/>
                <w:szCs w:val="20"/>
                <w:rtl w:val="0"/>
              </w:rPr>
              <w:t xml:space="preserve">El (la) estudiante identifica el MAAN de cada una de las partes.</w:t>
            </w:r>
          </w:p>
        </w:tc>
        <w:tc>
          <w:tcPr>
            <w:tcBorders>
              <w:lef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6D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</w:tcPr>
          <w:p w:rsidR="00000000" w:rsidDel="00000000" w:rsidP="00000000" w:rsidRDefault="00000000" w:rsidRPr="00000000" w14:paraId="0000006E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52" w:hRule="atLeast"/>
        </w:trPr>
        <w:tc>
          <w:tcPr>
            <w:vMerge w:val="continue"/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0"/>
                <w:szCs w:val="20"/>
                <w:rtl w:val="0"/>
              </w:rPr>
              <w:t xml:space="preserve">El (la) estudiante identifica los “dealbreaker” para cada parte.</w:t>
            </w:r>
          </w:p>
        </w:tc>
        <w:tc>
          <w:tcPr>
            <w:tcBorders>
              <w:lef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</w:tcPr>
          <w:p w:rsidR="00000000" w:rsidDel="00000000" w:rsidP="00000000" w:rsidRDefault="00000000" w:rsidRPr="00000000" w14:paraId="00000076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52" w:hRule="atLeast"/>
        </w:trPr>
        <w:tc>
          <w:tcPr>
            <w:vMerge w:val="continue"/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0"/>
                <w:szCs w:val="20"/>
                <w:rtl w:val="0"/>
              </w:rPr>
              <w:t xml:space="preserve">El (la) estudiante conoce los procedimientos indispensables para materializar las alternativas en caso de acuerdo.</w:t>
            </w:r>
          </w:p>
        </w:tc>
        <w:tc>
          <w:tcPr>
            <w:tcBorders>
              <w:lef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7A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C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</w:tcPr>
          <w:p w:rsidR="00000000" w:rsidDel="00000000" w:rsidP="00000000" w:rsidRDefault="00000000" w:rsidRPr="00000000" w14:paraId="0000007E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5" w:hRule="atLeast"/>
        </w:trPr>
        <w:tc>
          <w:tcPr>
            <w:vMerge w:val="restart"/>
            <w:tcBorders>
              <w:top w:color="000000" w:space="0" w:sz="4" w:val="single"/>
            </w:tcBorders>
            <w:shd w:fill="b6dde8" w:val="clear"/>
          </w:tcPr>
          <w:p w:rsidR="00000000" w:rsidDel="00000000" w:rsidP="00000000" w:rsidRDefault="00000000" w:rsidRPr="00000000" w14:paraId="00000080">
            <w:pPr>
              <w:spacing w:line="276" w:lineRule="auto"/>
              <w:jc w:val="center"/>
              <w:rPr>
                <w:rFonts w:ascii="Garamond" w:cs="Garamond" w:eastAsia="Garamond" w:hAnsi="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line="276" w:lineRule="auto"/>
              <w:jc w:val="center"/>
              <w:rPr>
                <w:rFonts w:ascii="Garamond" w:cs="Garamond" w:eastAsia="Garamond" w:hAnsi="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spacing w:line="276" w:lineRule="auto"/>
              <w:jc w:val="center"/>
              <w:rPr>
                <w:rFonts w:ascii="Garamond" w:cs="Garamond" w:eastAsia="Garamond" w:hAnsi="Garamond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0"/>
                <w:szCs w:val="20"/>
                <w:rtl w:val="0"/>
              </w:rPr>
              <w:t xml:space="preserve">III-Análisis crítico de las alternativas</w:t>
            </w:r>
          </w:p>
          <w:p w:rsidR="00000000" w:rsidDel="00000000" w:rsidP="00000000" w:rsidRDefault="00000000" w:rsidRPr="00000000" w14:paraId="00000083">
            <w:pPr>
              <w:spacing w:after="200" w:line="276" w:lineRule="auto"/>
              <w:jc w:val="center"/>
              <w:rPr>
                <w:rFonts w:ascii="Garamond" w:cs="Garamond" w:eastAsia="Garamond" w:hAnsi="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b6dde8" w:val="clear"/>
          </w:tcPr>
          <w:p w:rsidR="00000000" w:rsidDel="00000000" w:rsidP="00000000" w:rsidRDefault="00000000" w:rsidRPr="00000000" w14:paraId="00000084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0"/>
                <w:szCs w:val="20"/>
                <w:rtl w:val="0"/>
              </w:rPr>
              <w:t xml:space="preserve">El (la) estudiante analiza críticamente las alternativas según criterios de eficiencia, eficacia, viabilidad de implementación y relación posterior de las partes.</w:t>
            </w:r>
          </w:p>
        </w:tc>
        <w:tc>
          <w:tcPr>
            <w:tcBorders>
              <w:left w:color="000000" w:space="0" w:sz="12" w:val="single"/>
            </w:tcBorders>
            <w:shd w:fill="b6dde8" w:val="clear"/>
          </w:tcPr>
          <w:p w:rsidR="00000000" w:rsidDel="00000000" w:rsidP="00000000" w:rsidRDefault="00000000" w:rsidRPr="00000000" w14:paraId="00000085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6dde8" w:val="clear"/>
          </w:tcPr>
          <w:p w:rsidR="00000000" w:rsidDel="00000000" w:rsidP="00000000" w:rsidRDefault="00000000" w:rsidRPr="00000000" w14:paraId="00000086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6dde8" w:val="clear"/>
          </w:tcPr>
          <w:p w:rsidR="00000000" w:rsidDel="00000000" w:rsidP="00000000" w:rsidRDefault="00000000" w:rsidRPr="00000000" w14:paraId="00000087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b6dde8" w:val="clear"/>
          </w:tcPr>
          <w:p w:rsidR="00000000" w:rsidDel="00000000" w:rsidP="00000000" w:rsidRDefault="00000000" w:rsidRPr="00000000" w14:paraId="00000088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b6dde8" w:val="clear"/>
          </w:tcPr>
          <w:p w:rsidR="00000000" w:rsidDel="00000000" w:rsidP="00000000" w:rsidRDefault="00000000" w:rsidRPr="00000000" w14:paraId="00000089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b6dde8" w:val="clear"/>
          </w:tcPr>
          <w:p w:rsidR="00000000" w:rsidDel="00000000" w:rsidP="00000000" w:rsidRDefault="00000000" w:rsidRPr="00000000" w14:paraId="0000008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2" w:hRule="atLeast"/>
        </w:trPr>
        <w:tc>
          <w:tcPr>
            <w:vMerge w:val="continue"/>
            <w:tcBorders>
              <w:top w:color="000000" w:space="0" w:sz="4" w:val="single"/>
            </w:tcBorders>
            <w:shd w:fill="b6dde8" w:val="clear"/>
          </w:tcPr>
          <w:p w:rsidR="00000000" w:rsidDel="00000000" w:rsidP="00000000" w:rsidRDefault="00000000" w:rsidRPr="00000000" w14:paraId="00000091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b6dde8" w:val="clear"/>
          </w:tcPr>
          <w:p w:rsidR="00000000" w:rsidDel="00000000" w:rsidP="00000000" w:rsidRDefault="00000000" w:rsidRPr="00000000" w14:paraId="00000092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0"/>
                <w:szCs w:val="20"/>
                <w:rtl w:val="0"/>
              </w:rPr>
              <w:t xml:space="preserve">El (la) estudiante identifica una alternativa óptima de solución de conflicto y justifica convenientemente su decisión.</w:t>
            </w:r>
          </w:p>
        </w:tc>
        <w:tc>
          <w:tcPr>
            <w:tcBorders>
              <w:left w:color="000000" w:space="0" w:sz="12" w:val="single"/>
            </w:tcBorders>
            <w:shd w:fill="b6dde8" w:val="clear"/>
          </w:tcPr>
          <w:p w:rsidR="00000000" w:rsidDel="00000000" w:rsidP="00000000" w:rsidRDefault="00000000" w:rsidRPr="00000000" w14:paraId="00000093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6dde8" w:val="clear"/>
          </w:tcPr>
          <w:p w:rsidR="00000000" w:rsidDel="00000000" w:rsidP="00000000" w:rsidRDefault="00000000" w:rsidRPr="00000000" w14:paraId="00000094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6dde8" w:val="clear"/>
          </w:tcPr>
          <w:p w:rsidR="00000000" w:rsidDel="00000000" w:rsidP="00000000" w:rsidRDefault="00000000" w:rsidRPr="00000000" w14:paraId="00000095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b6dde8" w:val="clear"/>
          </w:tcPr>
          <w:p w:rsidR="00000000" w:rsidDel="00000000" w:rsidP="00000000" w:rsidRDefault="00000000" w:rsidRPr="00000000" w14:paraId="00000096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b6dde8" w:val="clear"/>
          </w:tcPr>
          <w:p w:rsidR="00000000" w:rsidDel="00000000" w:rsidP="00000000" w:rsidRDefault="00000000" w:rsidRPr="00000000" w14:paraId="00000097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b6dde8" w:val="clear"/>
          </w:tcPr>
          <w:p w:rsidR="00000000" w:rsidDel="00000000" w:rsidP="00000000" w:rsidRDefault="00000000" w:rsidRPr="00000000" w14:paraId="00000098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2" w:hRule="atLeast"/>
        </w:trPr>
        <w:tc>
          <w:tcPr>
            <w:vMerge w:val="restart"/>
            <w:shd w:fill="ffffff" w:val="clear"/>
          </w:tcPr>
          <w:p w:rsidR="00000000" w:rsidDel="00000000" w:rsidP="00000000" w:rsidRDefault="00000000" w:rsidRPr="00000000" w14:paraId="00000099">
            <w:pPr>
              <w:spacing w:line="240" w:lineRule="auto"/>
              <w:jc w:val="center"/>
              <w:rPr>
                <w:rFonts w:ascii="Garamond" w:cs="Garamond" w:eastAsia="Garamond" w:hAnsi="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spacing w:line="240" w:lineRule="auto"/>
              <w:jc w:val="center"/>
              <w:rPr>
                <w:rFonts w:ascii="Garamond" w:cs="Garamond" w:eastAsia="Garamond" w:hAnsi="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spacing w:line="240" w:lineRule="auto"/>
              <w:jc w:val="center"/>
              <w:rPr>
                <w:rFonts w:ascii="Garamond" w:cs="Garamond" w:eastAsia="Garamond" w:hAnsi="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spacing w:line="240" w:lineRule="auto"/>
              <w:jc w:val="center"/>
              <w:rPr>
                <w:rFonts w:ascii="Garamond" w:cs="Garamond" w:eastAsia="Garamond" w:hAnsi="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spacing w:line="240" w:lineRule="auto"/>
              <w:jc w:val="center"/>
              <w:rPr>
                <w:rFonts w:ascii="Garamond" w:cs="Garamond" w:eastAsia="Garamond" w:hAnsi="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spacing w:line="240" w:lineRule="auto"/>
              <w:jc w:val="center"/>
              <w:rPr>
                <w:rFonts w:ascii="Garamond" w:cs="Garamond" w:eastAsia="Garamond" w:hAnsi="Garamond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spacing w:after="200" w:line="240" w:lineRule="auto"/>
              <w:jc w:val="center"/>
              <w:rPr>
                <w:rFonts w:ascii="Garamond" w:cs="Garamond" w:eastAsia="Garamond" w:hAnsi="Garamond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0"/>
                <w:szCs w:val="20"/>
                <w:rtl w:val="0"/>
              </w:rPr>
              <w:t xml:space="preserve">IV- Desarrollo de las reuniones de negociación</w:t>
            </w:r>
          </w:p>
        </w:tc>
        <w:tc>
          <w:tcPr>
            <w:tcBorders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A0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0"/>
                <w:szCs w:val="20"/>
                <w:rtl w:val="0"/>
              </w:rPr>
              <w:t xml:space="preserve">El (la) estudiante promueve que la reunión se realice en un lugar apropiado (limpio, iluminado, mesa apropiada, agua, servicios básicos).</w:t>
            </w:r>
          </w:p>
        </w:tc>
        <w:tc>
          <w:tcPr>
            <w:tcBorders>
              <w:lef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A1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2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3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A4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A5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6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2" w:hRule="atLeast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0A7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A8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0"/>
                <w:szCs w:val="20"/>
                <w:rtl w:val="0"/>
              </w:rPr>
              <w:t xml:space="preserve">El (la) estudiante fomenta la fijación de las normas de desarrollo de la reunión (hora, uso de la palabra, forma de contacto, toma de notas).</w:t>
            </w:r>
          </w:p>
        </w:tc>
        <w:tc>
          <w:tcPr>
            <w:tcBorders>
              <w:lef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A9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A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B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AC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AD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AE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2" w:hRule="atLeast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0AF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B0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0"/>
                <w:szCs w:val="20"/>
                <w:rtl w:val="0"/>
              </w:rPr>
              <w:t xml:space="preserve">El (la) estudiante una expresión corporal apropiada (uso de una postura de escucha activa).</w:t>
            </w:r>
          </w:p>
        </w:tc>
        <w:tc>
          <w:tcPr>
            <w:tcBorders>
              <w:lef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B1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B2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B3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B4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B5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B6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2" w:hRule="atLeast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0B7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B8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0"/>
                <w:szCs w:val="20"/>
                <w:rtl w:val="0"/>
              </w:rPr>
              <w:t xml:space="preserve">El (la) estudiante usa un lenguaje verbal apropiado (voz calmada, lenguaje formal, correcta modulación).</w:t>
            </w:r>
          </w:p>
        </w:tc>
        <w:tc>
          <w:tcPr>
            <w:tcBorders>
              <w:lef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B9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BA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BB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BC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BD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BE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2" w:hRule="atLeast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0BF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C0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0"/>
                <w:szCs w:val="20"/>
                <w:rtl w:val="0"/>
              </w:rPr>
              <w:t xml:space="preserve">El (la) estudiante fomenta una apropiada secuencia comunicacional.</w:t>
            </w:r>
          </w:p>
        </w:tc>
        <w:tc>
          <w:tcPr>
            <w:tcBorders>
              <w:lef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C1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C2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C3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C4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C5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C6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2" w:hRule="atLeast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0C7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C8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0"/>
                <w:szCs w:val="20"/>
                <w:rtl w:val="0"/>
              </w:rPr>
              <w:t xml:space="preserve">El (la) estudiante centra la conversación en la satisfacción de intereses, mantiene una actitud proactiva sin personalizar el conflicto.</w:t>
            </w:r>
          </w:p>
        </w:tc>
        <w:tc>
          <w:tcPr>
            <w:tcBorders>
              <w:lef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C9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CA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CB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CC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CD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CE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2" w:hRule="atLeast"/>
        </w:trPr>
        <w:tc>
          <w:tcPr>
            <w:gridSpan w:val="7"/>
            <w:shd w:fill="ffffff" w:val="clear"/>
          </w:tcPr>
          <w:p w:rsidR="00000000" w:rsidDel="00000000" w:rsidP="00000000" w:rsidRDefault="00000000" w:rsidRPr="00000000" w14:paraId="000000CF">
            <w:pPr>
              <w:spacing w:line="240" w:lineRule="auto"/>
              <w:jc w:val="center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18"/>
                <w:szCs w:val="18"/>
                <w:rtl w:val="0"/>
              </w:rPr>
              <w:t xml:space="preserve">NOTA FINAL (Promedio de las 4  dimensiones)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D6">
            <w:pPr>
              <w:spacing w:after="200"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7">
      <w:pPr>
        <w:spacing w:after="160" w:line="240" w:lineRule="auto"/>
        <w:jc w:val="both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pStyle w:val="Heading2"/>
        <w:spacing w:after="0" w:before="40" w:line="259" w:lineRule="auto"/>
        <w:rPr>
          <w:rFonts w:ascii="Garamond" w:cs="Garamond" w:eastAsia="Garamond" w:hAnsi="Garamond"/>
          <w:b w:val="1"/>
          <w:i w:val="1"/>
        </w:rPr>
      </w:pPr>
      <w:bookmarkStart w:colFirst="0" w:colLast="0" w:name="_qtzhcr3xcdgw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spacing w:after="160" w:line="259" w:lineRule="auto"/>
        <w:jc w:val="both"/>
        <w:rPr>
          <w:rFonts w:ascii="Garamond" w:cs="Garamond" w:eastAsia="Garamond" w:hAnsi="Garamond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after="160" w:line="259" w:lineRule="auto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D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Nivel de evaluación según el artículo 42 del reglamento de la carrera. Disponible en: </w:t>
      </w:r>
      <w:hyperlink r:id="rId1">
        <w:r w:rsidDel="00000000" w:rsidR="00000000" w:rsidRPr="00000000">
          <w:rPr>
            <w:rFonts w:ascii="Calibri" w:cs="Calibri" w:eastAsia="Calibri" w:hAnsi="Calibri"/>
            <w:color w:val="0563c1"/>
            <w:sz w:val="20"/>
            <w:szCs w:val="20"/>
            <w:u w:val="single"/>
            <w:rtl w:val="0"/>
          </w:rPr>
          <w:t xml:space="preserve">http://derecho.uchile.cl/estudiantes/secretaria-de-estudios/reglamento-de-estudios-4.html</w:t>
        </w:r>
      </w:hyperlink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://derecho.uchile.cl/estudiantes/secretaria-de-estudios/reglamento-de-estudios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