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Foros de introducción al contenido del curso Clínica I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180" w:line="240" w:lineRule="auto"/>
        <w:ind w:left="720" w:hanging="360"/>
        <w:jc w:val="left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Explicación de la Actividad</w:t>
      </w:r>
    </w:p>
    <w:p w:rsidR="00000000" w:rsidDel="00000000" w:rsidP="00000000" w:rsidRDefault="00000000" w:rsidRPr="00000000" w14:paraId="00000003">
      <w:pPr>
        <w:spacing w:after="180" w:line="240" w:lineRule="auto"/>
        <w:ind w:left="0" w:firstLine="0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Con el objetivo de analizar y comentar la bibliografía obligatoria del curso en conexión con los contenidos del mismo, se realizarán 8 foros de introducción a las diversas temáticas del curso. Estos foros serán realizados en duplas y tendrán una duración de </w:t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20-25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minutos, en los tendrá lugar una introducción reflexiva de los contenidos transversales a ser tratados en la unidad por parte de los/as estudiantes responsables y la animación de una conversación grupal sobre dichos temas. Pese a que se entregan preguntas guía que buscan animar la revisión bibliográfica, los o las responsables de cada foro, pueden definir otras preguntas o generar metodologías diversas para introducir los temas y contenidos tratados en la bibliografía asociada. El uso de técnicas participativas, uso de herramientas digitales, de material de audio, imágenes o material audiovisual será especialmente valorado en la evaluación, tal como consta en la Rúbrica de Evaluación.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180" w:line="240" w:lineRule="auto"/>
        <w:ind w:left="720" w:hanging="360"/>
        <w:jc w:val="left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Rúbrica de Evaluación</w:t>
      </w:r>
    </w:p>
    <w:p w:rsidR="00000000" w:rsidDel="00000000" w:rsidP="00000000" w:rsidRDefault="00000000" w:rsidRPr="00000000" w14:paraId="00000005">
      <w:pPr>
        <w:spacing w:after="160" w:before="28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Niveles de Evaluación</w:t>
      </w:r>
      <w:r w:rsidDel="00000000" w:rsidR="00000000" w:rsidRPr="00000000">
        <w:rPr>
          <w:rFonts w:ascii="Garamond" w:cs="Garamond" w:eastAsia="Garamond" w:hAnsi="Garamond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:</w:t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6"/>
        <w:gridCol w:w="1358"/>
        <w:gridCol w:w="1962"/>
        <w:gridCol w:w="4572"/>
        <w:tblGridChange w:id="0">
          <w:tblGrid>
            <w:gridCol w:w="936"/>
            <w:gridCol w:w="1358"/>
            <w:gridCol w:w="1962"/>
            <w:gridCol w:w="457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bookmarkStart w:colFirst="0" w:colLast="0" w:name="_2jxsxqh" w:id="0"/>
            <w:bookmarkEnd w:id="0"/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Código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Significado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Rango de notas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Contenido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Malo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Deficiente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Insuficiente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 al 1.9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 al 2.9</w:t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 al 3.9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no realiza las acciones esperadas y/o las realiza de mala manera, de tal forma que no cumple estándares mínimos de desempeño profesional.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no puede ser certificado por las manifiestas debilidades evidenciadas en al menos uno de los componentes del desempeño.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Suficiente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 al 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realiza las acciones mínimas aceptables y/o su ejecución es mediocre pudiendo certificar que se ajusta al desempeño profesional, pero de manera mínima. Se le hacen importantes correcciones a su desempeño. 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global: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 el estudiante puede ser certificado, si bien reconociendo que presenta algunas debilidades que no comprometen de manera definitiva su actuación.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Bueno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5 al 5.9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estudiante realiza las acciones necesarias para un bien desempeño profesional ajustándose a un buen estándar de calidad. Se le hacen correcciones menores.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puede ser certificado, reconociendo que su actuación se ajusta apropiadamente a las buenas prácticas profesionales en nivel inicial.</w:t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Muy bueno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Sobresaliente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6 al 6.5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6.6 al 7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El desempeño del estudiante excede las expectativas y cumple, con buena calidad, las acciones identificadas en la rúbrica. No se le hacen observaciones. 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Desempeño global</w:t>
            </w: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: el estudiante puede ser certificado, reconociendo que su actuación se ajusta a las buenas prácticas profesionales excediendo lo esperable de un estudiante en su nivel de formación</w:t>
            </w:r>
          </w:p>
        </w:tc>
      </w:tr>
    </w:tbl>
    <w:p w:rsidR="00000000" w:rsidDel="00000000" w:rsidP="00000000" w:rsidRDefault="00000000" w:rsidRPr="00000000" w14:paraId="0000002E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="240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Acciones esperadas:</w:t>
      </w:r>
    </w:p>
    <w:tbl>
      <w:tblPr>
        <w:tblStyle w:val="Table2"/>
        <w:tblW w:w="8833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55"/>
        <w:gridCol w:w="3870"/>
        <w:gridCol w:w="327"/>
        <w:gridCol w:w="327"/>
        <w:gridCol w:w="327"/>
        <w:gridCol w:w="327"/>
        <w:gridCol w:w="947"/>
        <w:gridCol w:w="1253"/>
        <w:tblGridChange w:id="0">
          <w:tblGrid>
            <w:gridCol w:w="1455"/>
            <w:gridCol w:w="3870"/>
            <w:gridCol w:w="327"/>
            <w:gridCol w:w="327"/>
            <w:gridCol w:w="327"/>
            <w:gridCol w:w="327"/>
            <w:gridCol w:w="947"/>
            <w:gridCol w:w="1253"/>
          </w:tblGrid>
        </w:tblGridChange>
      </w:tblGrid>
      <w:tr>
        <w:trPr>
          <w:trHeight w:val="80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Dimensión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Criterios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Nota por ítem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Garamond" w:cs="Garamond" w:eastAsia="Garamond" w:hAnsi="Garamond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Promedio de la dimensión</w:t>
            </w:r>
          </w:p>
        </w:tc>
      </w:tr>
      <w:tr>
        <w:trPr>
          <w:trHeight w:val="516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Metodología utilizada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realiza el foro utilizando una metodología interactiva con la audiencia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es creativo en la presentación de los contenidos del foro, realizando una exposición de contenidos atractiva para la audiencia.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D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utiliza alguna herramienta digital en presentación o recurso (mentimetter, jamboard, formulario de google, material de audio, imágenes, recursos audiovisuales) durante su presentación.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3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6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5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utiliza una metodología que facilita la introducción de los contenidos de la clase.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5B">
            <w:pPr>
              <w:widowControl w:val="0"/>
              <w:spacing w:after="0" w:before="0" w:line="240" w:lineRule="auto"/>
              <w:ind w:left="0" w:firstLine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Coordinación con la dupla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desarrolla el foro coordinadamente con su dupla, dando cuenta de una división coherente y equitativa de los temas tratados en el foro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es respetuoso de lo expuesto por su dupla, no interrumpe ni obstaculiza la presentación de la misma.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conecta su exposición con la realizada por su dupla, ya sea haciendo alusión a lo tratado por ésta o anticipando lo que realizará la misma.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Desarrollo de ideas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realiza una reflexión que permite introducir el tema que será tratado en la clase realizando una selección apropiada de contenidos, preguntas reflexivas  y ejemplos.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cambia de ideas según un orden lógico realizando transiciones apropiadas y dando énfasis a los puntos clave de su exposición de manera coherente.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before="0" w:line="240" w:lineRule="auto"/>
              <w:ind w:left="0" w:firstLine="0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logra llevar a cabo una reflexión comunicándose eficientemente con la audiencia.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before="0" w:line="240" w:lineRule="auto"/>
              <w:ind w:left="0" w:firstLine="0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Garamond" w:cs="Garamond" w:eastAsia="Garamond" w:hAnsi="Garamond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2"/>
                <w:szCs w:val="22"/>
                <w:rtl w:val="0"/>
              </w:rPr>
              <w:t xml:space="preserve">Conexión con la audiencia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logra el involucramiento de su audiencia con su exposición.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i w:val="1"/>
                <w:sz w:val="22"/>
                <w:szCs w:val="22"/>
                <w:rtl w:val="0"/>
              </w:rPr>
              <w:t xml:space="preserve">La (el) estudiante invita a la audiencia a hacerle preguntas de manera apropiada, sin interrumpir su exposición.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before="0" w:line="240" w:lineRule="auto"/>
              <w:ind w:left="0" w:firstLine="0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4" w:hRule="atLeast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2"/>
                <w:szCs w:val="22"/>
                <w:rtl w:val="0"/>
              </w:rPr>
              <w:t xml:space="preserve">NOTA FINAL (Promedio total de las dimensiones)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spacing w:line="240" w:lineRule="auto"/>
              <w:jc w:val="both"/>
              <w:rPr>
                <w:rFonts w:ascii="Garamond" w:cs="Garamond" w:eastAsia="Garamond" w:hAnsi="Garamond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pStyle w:val="Heading1"/>
        <w:spacing w:after="0" w:before="240" w:line="259" w:lineRule="auto"/>
        <w:rPr>
          <w:rFonts w:ascii="Garamond" w:cs="Garamond" w:eastAsia="Garamond" w:hAnsi="Garamond"/>
          <w:b w:val="1"/>
          <w:sz w:val="22"/>
          <w:szCs w:val="22"/>
        </w:rPr>
      </w:pPr>
      <w:bookmarkStart w:colFirst="0" w:colLast="0" w:name="_33c0f5ha4yfc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spacing w:after="180" w:line="240" w:lineRule="auto"/>
        <w:ind w:left="720" w:hanging="360"/>
        <w:jc w:val="left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Foros</w:t>
      </w:r>
    </w:p>
    <w:p w:rsidR="00000000" w:rsidDel="00000000" w:rsidP="00000000" w:rsidRDefault="00000000" w:rsidRPr="00000000" w14:paraId="000000A6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1: La importancia del aprendizaje a través del método clínico.</w:t>
      </w:r>
    </w:p>
    <w:p w:rsidR="00000000" w:rsidDel="00000000" w:rsidP="00000000" w:rsidRDefault="00000000" w:rsidRPr="00000000" w14:paraId="000000A7">
      <w:pPr>
        <w:spacing w:after="180" w:line="240" w:lineRule="auto"/>
        <w:ind w:left="0" w:firstLine="0"/>
        <w:jc w:val="left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25.03.2021</w:t>
      </w:r>
    </w:p>
    <w:p w:rsidR="00000000" w:rsidDel="00000000" w:rsidP="00000000" w:rsidRDefault="00000000" w:rsidRPr="00000000" w14:paraId="000000A8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¿Se diferencia el método clínico de otras metodologías de enseñanza del derecho?</w:t>
      </w:r>
    </w:p>
    <w:p w:rsidR="00000000" w:rsidDel="00000000" w:rsidP="00000000" w:rsidRDefault="00000000" w:rsidRPr="00000000" w14:paraId="000000AA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¿impacta positivamente la utilización del método clínico en los aprendizajes esperados?</w:t>
      </w:r>
    </w:p>
    <w:p w:rsidR="00000000" w:rsidDel="00000000" w:rsidP="00000000" w:rsidRDefault="00000000" w:rsidRPr="00000000" w14:paraId="000000AB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¿Incorpora este método elementos que pueden contribuir al cambio social?</w:t>
      </w:r>
    </w:p>
    <w:p w:rsidR="00000000" w:rsidDel="00000000" w:rsidP="00000000" w:rsidRDefault="00000000" w:rsidRPr="00000000" w14:paraId="000000AC">
      <w:pPr>
        <w:spacing w:after="180" w:line="240" w:lineRule="auto"/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asociado.</w:t>
      </w:r>
    </w:p>
    <w:p w:rsidR="00000000" w:rsidDel="00000000" w:rsidP="00000000" w:rsidRDefault="00000000" w:rsidRPr="00000000" w14:paraId="000000AD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Obligatorio.</w:t>
      </w:r>
    </w:p>
    <w:p w:rsidR="00000000" w:rsidDel="00000000" w:rsidP="00000000" w:rsidRDefault="00000000" w:rsidRPr="00000000" w14:paraId="000000AE">
      <w:pPr>
        <w:spacing w:after="180" w:line="240" w:lineRule="auto"/>
        <w:ind w:left="0" w:firstLine="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La enseñanza clínica del derecho como herramienta para el cambio social" de Cofré, pp. 1-21;</w:t>
      </w:r>
    </w:p>
    <w:p w:rsidR="00000000" w:rsidDel="00000000" w:rsidP="00000000" w:rsidRDefault="00000000" w:rsidRPr="00000000" w14:paraId="000000AF">
      <w:pPr>
        <w:spacing w:line="240" w:lineRule="auto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"La educación legal como preparación para la jerarquía" de Kennedy pp. 117-147</w:t>
      </w:r>
    </w:p>
    <w:p w:rsidR="00000000" w:rsidDel="00000000" w:rsidP="00000000" w:rsidRDefault="00000000" w:rsidRPr="00000000" w14:paraId="000000B0">
      <w:pPr>
        <w:spacing w:after="180" w:line="240" w:lineRule="auto"/>
        <w:ind w:left="0" w:firstLine="0"/>
        <w:rPr>
          <w:rFonts w:ascii="Garamond" w:cs="Garamond" w:eastAsia="Garamond" w:hAnsi="Garamond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2</w:t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: Teoría del conflicto.</w:t>
      </w:r>
    </w:p>
    <w:p w:rsidR="00000000" w:rsidDel="00000000" w:rsidP="00000000" w:rsidRDefault="00000000" w:rsidRPr="00000000" w14:paraId="000000B2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30.03.2021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¿Cuál es la importancia de entender el conflicto para la profesión jurídica?</w:t>
      </w:r>
    </w:p>
    <w:p w:rsidR="00000000" w:rsidDel="00000000" w:rsidP="00000000" w:rsidRDefault="00000000" w:rsidRPr="00000000" w14:paraId="000000B5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elementos deben considerarse para comprender cabalmente un conflicto?</w:t>
      </w:r>
    </w:p>
    <w:p w:rsidR="00000000" w:rsidDel="00000000" w:rsidP="00000000" w:rsidRDefault="00000000" w:rsidRPr="00000000" w14:paraId="000000B6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asociado.</w:t>
      </w:r>
    </w:p>
    <w:p w:rsidR="00000000" w:rsidDel="00000000" w:rsidP="00000000" w:rsidRDefault="00000000" w:rsidRPr="00000000" w14:paraId="000000B7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Lecciones de aprendizaje clínico, 2020, Lección 1: Teoría del Conflicto en el aprendizaje clínico, de D. Ejsmentevicz, </w:t>
      </w:r>
    </w:p>
    <w:p w:rsidR="00000000" w:rsidDel="00000000" w:rsidP="00000000" w:rsidRDefault="00000000" w:rsidRPr="00000000" w14:paraId="000000B9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“Teoría del conflicto y mecanismos de solución”, Javier La Rosa y Gino Rivas. Fondo Editorial de la Pontificia Universidad Católica del Perú. 2018, pp. 36-4, 43- 46</w:t>
      </w:r>
    </w:p>
    <w:p w:rsidR="00000000" w:rsidDel="00000000" w:rsidP="00000000" w:rsidRDefault="00000000" w:rsidRPr="00000000" w14:paraId="000000BB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Como se hace un proceso, Carnelutti, F, 1998, pp. 3-10.</w:t>
      </w:r>
    </w:p>
    <w:p w:rsidR="00000000" w:rsidDel="00000000" w:rsidP="00000000" w:rsidRDefault="00000000" w:rsidRPr="00000000" w14:paraId="000000BD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3: Información relevante para la comprensión y gestión de un conflicto: rol de la profesión jurídica</w:t>
      </w:r>
    </w:p>
    <w:p w:rsidR="00000000" w:rsidDel="00000000" w:rsidP="00000000" w:rsidRDefault="00000000" w:rsidRPr="00000000" w14:paraId="000000BF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01.03.2021</w:t>
      </w:r>
    </w:p>
    <w:p w:rsidR="00000000" w:rsidDel="00000000" w:rsidP="00000000" w:rsidRDefault="00000000" w:rsidRPr="00000000" w14:paraId="000000C0">
      <w:pPr>
        <w:spacing w:after="180" w:line="240" w:lineRule="auto"/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</w:p>
    <w:p w:rsidR="00000000" w:rsidDel="00000000" w:rsidP="00000000" w:rsidRDefault="00000000" w:rsidRPr="00000000" w14:paraId="000000C1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conocimientos, competencias y habilidades se requieren para comprender y gestionar un conflicto desde la profesión jurídica?</w:t>
      </w:r>
    </w:p>
    <w:p w:rsidR="00000000" w:rsidDel="00000000" w:rsidP="00000000" w:rsidRDefault="00000000" w:rsidRPr="00000000" w14:paraId="000000C3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tipo de investigación preliminar debe desarrollarse para realizar el diagnóstico de un caso?</w:t>
      </w:r>
    </w:p>
    <w:p w:rsidR="00000000" w:rsidDel="00000000" w:rsidP="00000000" w:rsidRDefault="00000000" w:rsidRPr="00000000" w14:paraId="000000C4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asociado.</w:t>
      </w:r>
    </w:p>
    <w:p w:rsidR="00000000" w:rsidDel="00000000" w:rsidP="00000000" w:rsidRDefault="00000000" w:rsidRPr="00000000" w14:paraId="000000C5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Obligatorio.</w:t>
      </w:r>
    </w:p>
    <w:p w:rsidR="00000000" w:rsidDel="00000000" w:rsidP="00000000" w:rsidRDefault="00000000" w:rsidRPr="00000000" w14:paraId="000000C6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Lecciones de aprendizaje clínico, 2020, Lección 2: Búsqueda de información en el trabajo clínico, de D. Ejsmentewicz.</w:t>
      </w:r>
    </w:p>
    <w:p w:rsidR="00000000" w:rsidDel="00000000" w:rsidP="00000000" w:rsidRDefault="00000000" w:rsidRPr="00000000" w14:paraId="000000C7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La defensa en juicio. La defensa penal y oralidad”, Paul Bergman, 13-17.</w:t>
      </w:r>
    </w:p>
    <w:p w:rsidR="00000000" w:rsidDel="00000000" w:rsidP="00000000" w:rsidRDefault="00000000" w:rsidRPr="00000000" w14:paraId="000000C8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“Curso elemental de litigación oral”, Rodrigo Alcaíno Torres y Matías Cortés De La Cerda, p. 52 y 53.</w:t>
      </w:r>
    </w:p>
    <w:p w:rsidR="00000000" w:rsidDel="00000000" w:rsidP="00000000" w:rsidRDefault="00000000" w:rsidRPr="00000000" w14:paraId="000000CA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Complementario</w:t>
      </w:r>
    </w:p>
    <w:p w:rsidR="00000000" w:rsidDel="00000000" w:rsidP="00000000" w:rsidRDefault="00000000" w:rsidRPr="00000000" w14:paraId="000000CC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Listado de sitios útiles</w:t>
      </w:r>
    </w:p>
    <w:p w:rsidR="00000000" w:rsidDel="00000000" w:rsidP="00000000" w:rsidRDefault="00000000" w:rsidRPr="00000000" w14:paraId="000000CD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4: Estrategia judicial.</w:t>
      </w:r>
    </w:p>
    <w:p w:rsidR="00000000" w:rsidDel="00000000" w:rsidP="00000000" w:rsidRDefault="00000000" w:rsidRPr="00000000" w14:paraId="000000CE">
      <w:pPr>
        <w:spacing w:after="180"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 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13.04.2021</w:t>
      </w:r>
    </w:p>
    <w:p w:rsidR="00000000" w:rsidDel="00000000" w:rsidP="00000000" w:rsidRDefault="00000000" w:rsidRPr="00000000" w14:paraId="000000D0">
      <w:pPr>
        <w:spacing w:after="180" w:line="240" w:lineRule="auto"/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</w:p>
    <w:p w:rsidR="00000000" w:rsidDel="00000000" w:rsidP="00000000" w:rsidRDefault="00000000" w:rsidRPr="00000000" w14:paraId="000000D1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elementos se requiere considerar para la elaboración de una estrategia judicial?</w:t>
      </w:r>
    </w:p>
    <w:p w:rsidR="00000000" w:rsidDel="00000000" w:rsidP="00000000" w:rsidRDefault="00000000" w:rsidRPr="00000000" w14:paraId="000000D2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conocimientos son necesarios para decidir qué vía de intervención seguir?</w:t>
      </w:r>
    </w:p>
    <w:p w:rsidR="00000000" w:rsidDel="00000000" w:rsidP="00000000" w:rsidRDefault="00000000" w:rsidRPr="00000000" w14:paraId="000000D3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rol juega la construcción de una teoría del caso y que relación tiene con ésta la estrategia probatoria?</w:t>
      </w:r>
    </w:p>
    <w:p w:rsidR="00000000" w:rsidDel="00000000" w:rsidP="00000000" w:rsidRDefault="00000000" w:rsidRPr="00000000" w14:paraId="000000D4">
      <w:pPr>
        <w:spacing w:after="180" w:line="240" w:lineRule="auto"/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</w:t>
      </w:r>
    </w:p>
    <w:p w:rsidR="00000000" w:rsidDel="00000000" w:rsidP="00000000" w:rsidRDefault="00000000" w:rsidRPr="00000000" w14:paraId="000000D5">
      <w:pPr>
        <w:spacing w:after="180"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</w:t>
      </w:r>
    </w:p>
    <w:p w:rsidR="00000000" w:rsidDel="00000000" w:rsidP="00000000" w:rsidRDefault="00000000" w:rsidRPr="00000000" w14:paraId="000000D6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“Lecciones de aprendizaje clínico”, 2020, Lección 8: Diagnóstico Jurídico, de D. Ejsmentewicz</w:t>
      </w:r>
    </w:p>
    <w:p w:rsidR="00000000" w:rsidDel="00000000" w:rsidP="00000000" w:rsidRDefault="00000000" w:rsidRPr="00000000" w14:paraId="000000D7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“Curso Elemental de Litigación Oral”, Rodrigo Alcaíno Torres y Matías Cortés De La Cerda. Editorial Jurídica 2012 47-58</w:t>
      </w:r>
    </w:p>
    <w:p w:rsidR="00000000" w:rsidDel="00000000" w:rsidP="00000000" w:rsidRDefault="00000000" w:rsidRPr="00000000" w14:paraId="000000D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Complementario</w:t>
      </w:r>
    </w:p>
    <w:p w:rsidR="00000000" w:rsidDel="00000000" w:rsidP="00000000" w:rsidRDefault="00000000" w:rsidRPr="00000000" w14:paraId="000000DB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Litigación penal. Juicio oral y prueba de Andrés Baytelman y Mauricio Duce, 2004, pp.77-99. </w:t>
      </w:r>
    </w:p>
    <w:p w:rsidR="00000000" w:rsidDel="00000000" w:rsidP="00000000" w:rsidRDefault="00000000" w:rsidRPr="00000000" w14:paraId="000000DC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5: Enfoque de Derechos Humanos en la profesión jurídica.</w:t>
      </w:r>
    </w:p>
    <w:p w:rsidR="00000000" w:rsidDel="00000000" w:rsidP="00000000" w:rsidRDefault="00000000" w:rsidRPr="00000000" w14:paraId="000000E0">
      <w:pPr>
        <w:spacing w:line="240" w:lineRule="auto"/>
        <w:ind w:left="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line="240" w:lineRule="auto"/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20.04.2021</w:t>
      </w:r>
    </w:p>
    <w:p w:rsidR="00000000" w:rsidDel="00000000" w:rsidP="00000000" w:rsidRDefault="00000000" w:rsidRPr="00000000" w14:paraId="000000E2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</w:p>
    <w:p w:rsidR="00000000" w:rsidDel="00000000" w:rsidP="00000000" w:rsidRDefault="00000000" w:rsidRPr="00000000" w14:paraId="000000E4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principios guían el Enfoque de Derechos Humanos?</w:t>
      </w:r>
    </w:p>
    <w:p w:rsidR="00000000" w:rsidDel="00000000" w:rsidP="00000000" w:rsidRDefault="00000000" w:rsidRPr="00000000" w14:paraId="000000E5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¿Quiénes son los garantes de los derechos humanos de las personas?</w:t>
      </w:r>
    </w:p>
    <w:p w:rsidR="00000000" w:rsidDel="00000000" w:rsidP="00000000" w:rsidRDefault="00000000" w:rsidRPr="00000000" w14:paraId="000000E6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derechos humanos pueden ser ejercidos gracias a la actuación letrada?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</w:t>
      </w:r>
    </w:p>
    <w:p w:rsidR="00000000" w:rsidDel="00000000" w:rsidP="00000000" w:rsidRDefault="00000000" w:rsidRPr="00000000" w14:paraId="000000E8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</w:t>
      </w:r>
    </w:p>
    <w:p w:rsidR="00000000" w:rsidDel="00000000" w:rsidP="00000000" w:rsidRDefault="00000000" w:rsidRPr="00000000" w14:paraId="000000E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“Apuntes sobre el Enfoque de Derechos Humanos” de Francis Valverde 2004, 9 p.</w:t>
      </w:r>
    </w:p>
    <w:p w:rsidR="00000000" w:rsidDel="00000000" w:rsidP="00000000" w:rsidRDefault="00000000" w:rsidRPr="00000000" w14:paraId="000000EA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“La garantía de acceso a La justicia: aportes empíricos y conceptuales” de Haydée Birgin y Natalia Gherard pp. ix-xxix</w:t>
      </w:r>
    </w:p>
    <w:p w:rsidR="00000000" w:rsidDel="00000000" w:rsidP="00000000" w:rsidRDefault="00000000" w:rsidRPr="00000000" w14:paraId="000000EC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Complementario</w:t>
      </w:r>
    </w:p>
    <w:p w:rsidR="00000000" w:rsidDel="00000000" w:rsidP="00000000" w:rsidRDefault="00000000" w:rsidRPr="00000000" w14:paraId="000000EE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“Enfoque de Derechos Humanos en las políticas públicas” de Claudia Ximénez y Xavier Valente pp. 1-18.</w:t>
      </w:r>
    </w:p>
    <w:p w:rsidR="00000000" w:rsidDel="00000000" w:rsidP="00000000" w:rsidRDefault="00000000" w:rsidRPr="00000000" w14:paraId="000000EF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line="240" w:lineRule="auto"/>
        <w:ind w:left="72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6: Técnicas de Entrevista</w:t>
      </w:r>
    </w:p>
    <w:p w:rsidR="00000000" w:rsidDel="00000000" w:rsidP="00000000" w:rsidRDefault="00000000" w:rsidRPr="00000000" w14:paraId="000000F1">
      <w:pPr>
        <w:spacing w:line="240" w:lineRule="auto"/>
        <w:ind w:left="0" w:firstLine="0"/>
        <w:jc w:val="left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 29.04.2021</w:t>
      </w:r>
    </w:p>
    <w:p w:rsidR="00000000" w:rsidDel="00000000" w:rsidP="00000000" w:rsidRDefault="00000000" w:rsidRPr="00000000" w14:paraId="000000F3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</w:t>
      </w:r>
    </w:p>
    <w:p w:rsidR="00000000" w:rsidDel="00000000" w:rsidP="00000000" w:rsidRDefault="00000000" w:rsidRPr="00000000" w14:paraId="000000F5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¿Cuáles son los objetivos de una entrevista?</w:t>
      </w:r>
    </w:p>
    <w:p w:rsidR="00000000" w:rsidDel="00000000" w:rsidP="00000000" w:rsidRDefault="00000000" w:rsidRPr="00000000" w14:paraId="000000F6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elementos componen una entrevista?</w:t>
      </w:r>
    </w:p>
    <w:p w:rsidR="00000000" w:rsidDel="00000000" w:rsidP="00000000" w:rsidRDefault="00000000" w:rsidRPr="00000000" w14:paraId="000000F7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competencias, conocimientos y habilidades debe tener el profesional jurídico para realizar una entrevista útil?</w:t>
      </w:r>
    </w:p>
    <w:p w:rsidR="00000000" w:rsidDel="00000000" w:rsidP="00000000" w:rsidRDefault="00000000" w:rsidRPr="00000000" w14:paraId="000000F8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</w:t>
      </w:r>
    </w:p>
    <w:p w:rsidR="00000000" w:rsidDel="00000000" w:rsidP="00000000" w:rsidRDefault="00000000" w:rsidRPr="00000000" w14:paraId="000000F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</w:t>
      </w:r>
    </w:p>
    <w:p w:rsidR="00000000" w:rsidDel="00000000" w:rsidP="00000000" w:rsidRDefault="00000000" w:rsidRPr="00000000" w14:paraId="000000FA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“Lecciones de aprendizaje clínico”, 2020, Lección 5: Técnicas de Entrevista, de D. Ejsmentewicz.</w:t>
      </w:r>
    </w:p>
    <w:p w:rsidR="00000000" w:rsidDel="00000000" w:rsidP="00000000" w:rsidRDefault="00000000" w:rsidRPr="00000000" w14:paraId="000000FC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160" w:line="259" w:lineRule="auto"/>
        <w:jc w:val="both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“Separata: Técnica de la Entrevista” de Lorena Lorca Muñoz y María Nora González Jaraquemada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180" w:line="240" w:lineRule="auto"/>
        <w:ind w:left="72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180" w:line="240" w:lineRule="auto"/>
        <w:ind w:left="720" w:firstLine="0"/>
        <w:jc w:val="center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7. Principios elementales de la redacción forense.</w:t>
      </w:r>
    </w:p>
    <w:p w:rsidR="00000000" w:rsidDel="00000000" w:rsidP="00000000" w:rsidRDefault="00000000" w:rsidRPr="00000000" w14:paraId="00000100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 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14.05.2021 </w:t>
      </w:r>
    </w:p>
    <w:p w:rsidR="00000000" w:rsidDel="00000000" w:rsidP="00000000" w:rsidRDefault="00000000" w:rsidRPr="00000000" w14:paraId="00000102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guía:</w:t>
      </w:r>
    </w:p>
    <w:p w:rsidR="00000000" w:rsidDel="00000000" w:rsidP="00000000" w:rsidRDefault="00000000" w:rsidRPr="00000000" w14:paraId="00000104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pasos debo seguir para preparar la redacción de un escrito?</w:t>
      </w:r>
    </w:p>
    <w:p w:rsidR="00000000" w:rsidDel="00000000" w:rsidP="00000000" w:rsidRDefault="00000000" w:rsidRPr="00000000" w14:paraId="00000105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elementos debo tener en cuenta en la redacción de un escrito?</w:t>
      </w:r>
    </w:p>
    <w:p w:rsidR="00000000" w:rsidDel="00000000" w:rsidP="00000000" w:rsidRDefault="00000000" w:rsidRPr="00000000" w14:paraId="00000106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¿Cómo se relaciona el escrito con el resto del proceso?</w:t>
      </w:r>
    </w:p>
    <w:p w:rsidR="00000000" w:rsidDel="00000000" w:rsidP="00000000" w:rsidRDefault="00000000" w:rsidRPr="00000000" w14:paraId="00000107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</w:t>
      </w:r>
    </w:p>
    <w:p w:rsidR="00000000" w:rsidDel="00000000" w:rsidP="00000000" w:rsidRDefault="00000000" w:rsidRPr="00000000" w14:paraId="00000108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</w:t>
      </w:r>
    </w:p>
    <w:p w:rsidR="00000000" w:rsidDel="00000000" w:rsidP="00000000" w:rsidRDefault="00000000" w:rsidRPr="00000000" w14:paraId="00000109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“Lecciones de aprendizaje clínico”, 2020, Lección 6:Técnicas de Escrituración Forense, de D. Ejsmentewicz.</w:t>
      </w:r>
    </w:p>
    <w:p w:rsidR="00000000" w:rsidDel="00000000" w:rsidP="00000000" w:rsidRDefault="00000000" w:rsidRPr="00000000" w14:paraId="0000010A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“Separata: Escrituración Jurídica: estructura básica de un escrito” de Ernesto Núñez Parra y Jorge Muñoz Arratia.</w:t>
      </w:r>
    </w:p>
    <w:p w:rsidR="00000000" w:rsidDel="00000000" w:rsidP="00000000" w:rsidRDefault="00000000" w:rsidRPr="00000000" w14:paraId="0000010C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Curso breve de escrituración jurídica de la Universidad de los Andes de Colombia, </w:t>
      </w:r>
      <w:hyperlink r:id="rId7">
        <w:r w:rsidDel="00000000" w:rsidR="00000000" w:rsidRPr="00000000">
          <w:rPr>
            <w:rFonts w:ascii="Garamond" w:cs="Garamond" w:eastAsia="Garamond" w:hAnsi="Garamond"/>
            <w:color w:val="1155cc"/>
            <w:u w:val="single"/>
            <w:rtl w:val="0"/>
          </w:rPr>
          <w:t xml:space="preserve">https://www.sitios.scjn.gob.mx/cec/cursos/curso-breve-de-escritura-juridica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after="180" w:line="240" w:lineRule="auto"/>
        <w:ind w:left="144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Foro 8: resolución alternativa de conflictos.</w:t>
      </w:r>
    </w:p>
    <w:p w:rsidR="00000000" w:rsidDel="00000000" w:rsidP="00000000" w:rsidRDefault="00000000" w:rsidRPr="00000000" w14:paraId="00000111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Fecha: 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13.05.2021 </w:t>
      </w:r>
    </w:p>
    <w:p w:rsidR="00000000" w:rsidDel="00000000" w:rsidP="00000000" w:rsidRDefault="00000000" w:rsidRPr="00000000" w14:paraId="00000113">
      <w:pPr>
        <w:spacing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180" w:lin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Preguntas guía:</w:t>
      </w:r>
    </w:p>
    <w:p w:rsidR="00000000" w:rsidDel="00000000" w:rsidP="00000000" w:rsidRDefault="00000000" w:rsidRPr="00000000" w14:paraId="00000115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es la negociación basada en intereses?</w:t>
      </w:r>
    </w:p>
    <w:p w:rsidR="00000000" w:rsidDel="00000000" w:rsidP="00000000" w:rsidRDefault="00000000" w:rsidRPr="00000000" w14:paraId="00000116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¿Qué se requiere para preparar una negociación?</w:t>
      </w:r>
    </w:p>
    <w:p w:rsidR="00000000" w:rsidDel="00000000" w:rsidP="00000000" w:rsidRDefault="00000000" w:rsidRPr="00000000" w14:paraId="00000117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¿Siempre se cede en una negociación?</w:t>
      </w:r>
    </w:p>
    <w:p w:rsidR="00000000" w:rsidDel="00000000" w:rsidP="00000000" w:rsidRDefault="00000000" w:rsidRPr="00000000" w14:paraId="00000118">
      <w:pPr>
        <w:spacing w:after="180" w:lin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Material asociado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Obligatorio</w:t>
      </w:r>
    </w:p>
    <w:p w:rsidR="00000000" w:rsidDel="00000000" w:rsidP="00000000" w:rsidRDefault="00000000" w:rsidRPr="00000000" w14:paraId="0000011A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“Sí… ¡de acuerdo! Cómo negociar sin ceder” de Roger Fisher; William Ury y Bruce Patton. Ediciones Norma, 1993, 10-13,  21-23, 39-46, 47-65, 66-89, 113-122.</w:t>
      </w:r>
    </w:p>
    <w:p w:rsidR="00000000" w:rsidDel="00000000" w:rsidP="00000000" w:rsidRDefault="00000000" w:rsidRPr="00000000" w14:paraId="0000011B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Complementario</w:t>
      </w:r>
    </w:p>
    <w:p w:rsidR="00000000" w:rsidDel="00000000" w:rsidP="00000000" w:rsidRDefault="00000000" w:rsidRPr="00000000" w14:paraId="0000011D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Aprendamos de los más grandes negociadores del mundo de Alejandro Hernandez, https://www.youtube.com/watch?v=qTGJ7ckp83o</w:t>
      </w:r>
    </w:p>
    <w:p w:rsidR="00000000" w:rsidDel="00000000" w:rsidP="00000000" w:rsidRDefault="00000000" w:rsidRPr="00000000" w14:paraId="0000011E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40" w:lineRule="auto"/>
        <w:jc w:val="both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Garamond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2grqrue" w:id="2"/>
      <w:bookmarkEnd w:id="2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Nivel de evaluación según el artículo 42 del reglamento de la carrera. Disponible en: </w:t>
      </w:r>
      <w:hyperlink r:id="rId1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http://derecho.uchile.cl/estudiantes/secretaria-de-estudios/reglamento-de-estudios-4.html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0">
    <w:pPr>
      <w:rPr>
        <w:rFonts w:ascii="Garamond" w:cs="Garamond" w:eastAsia="Garamond" w:hAnsi="Garamond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sz w:val="20"/>
        <w:szCs w:val="20"/>
        <w:rtl w:val="0"/>
      </w:rPr>
      <w:t xml:space="preserve">Curso Clínica I</w:t>
    </w:r>
  </w:p>
  <w:p w:rsidR="00000000" w:rsidDel="00000000" w:rsidP="00000000" w:rsidRDefault="00000000" w:rsidRPr="00000000" w14:paraId="00000121">
    <w:pPr>
      <w:rPr>
        <w:rFonts w:ascii="Garamond" w:cs="Garamond" w:eastAsia="Garamond" w:hAnsi="Garamond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sz w:val="20"/>
        <w:szCs w:val="20"/>
        <w:rtl w:val="0"/>
      </w:rPr>
      <w:t xml:space="preserve">Profesora Cecilia Domínguez</w:t>
    </w:r>
  </w:p>
  <w:p w:rsidR="00000000" w:rsidDel="00000000" w:rsidP="00000000" w:rsidRDefault="00000000" w:rsidRPr="00000000" w14:paraId="00000122">
    <w:pPr>
      <w:rPr>
        <w:rFonts w:ascii="Garamond" w:cs="Garamond" w:eastAsia="Garamond" w:hAnsi="Garamond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sz w:val="20"/>
        <w:szCs w:val="20"/>
        <w:rtl w:val="0"/>
      </w:rPr>
      <w:t xml:space="preserve">Primer Semestre 2021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www.sitios.scjn.gob.mx/cec/cursos/curso-breve-de-escritura-juridica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Relationship Id="rId4" Type="http://schemas.openxmlformats.org/officeDocument/2006/relationships/font" Target="fonts/Garamond-regular.ttf"/><Relationship Id="rId5" Type="http://schemas.openxmlformats.org/officeDocument/2006/relationships/font" Target="fonts/Garamond-bold.ttf"/><Relationship Id="rId6" Type="http://schemas.openxmlformats.org/officeDocument/2006/relationships/font" Target="fonts/Garamond-italic.ttf"/><Relationship Id="rId7" Type="http://schemas.openxmlformats.org/officeDocument/2006/relationships/font" Target="fonts/Garamond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derecho.uchile.cl/estudiantes/secretaria-de-estudios/reglamento-de-estudios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