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6AEF9" w14:textId="77777777" w:rsidR="0007052C" w:rsidRDefault="001E4041">
      <w:pPr>
        <w:spacing w:line="240" w:lineRule="auto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Programa y Syllabus</w:t>
      </w:r>
    </w:p>
    <w:p w14:paraId="38C35B58" w14:textId="77777777" w:rsidR="0007052C" w:rsidRDefault="0007052C">
      <w:pPr>
        <w:spacing w:line="240" w:lineRule="auto"/>
        <w:jc w:val="center"/>
        <w:rPr>
          <w:rFonts w:ascii="Book Antiqua" w:eastAsia="Book Antiqua" w:hAnsi="Book Antiqua" w:cs="Book Antiqua"/>
          <w:b/>
        </w:rPr>
      </w:pPr>
    </w:p>
    <w:p w14:paraId="3994244F" w14:textId="3F8E23F9" w:rsidR="0007052C" w:rsidRDefault="00E55776" w:rsidP="001C6612">
      <w:pPr>
        <w:spacing w:line="240" w:lineRule="auto"/>
        <w:jc w:val="center"/>
        <w:rPr>
          <w:rFonts w:ascii="Book Antiqua" w:eastAsia="Book Antiqua" w:hAnsi="Book Antiqua" w:cs="Book Antiqua"/>
          <w:b/>
          <w:i/>
        </w:rPr>
      </w:pPr>
      <w:r>
        <w:rPr>
          <w:rFonts w:ascii="Book Antiqua" w:eastAsia="Book Antiqua" w:hAnsi="Book Antiqua" w:cs="Book Antiqua"/>
          <w:b/>
          <w:i/>
        </w:rPr>
        <w:t>Garantías en el proceso penal</w:t>
      </w:r>
    </w:p>
    <w:p w14:paraId="0341CB10" w14:textId="77777777" w:rsidR="0007052C" w:rsidRDefault="0007052C">
      <w:pPr>
        <w:spacing w:line="240" w:lineRule="auto"/>
        <w:jc w:val="center"/>
        <w:rPr>
          <w:rFonts w:ascii="Book Antiqua" w:eastAsia="Book Antiqua" w:hAnsi="Book Antiqua" w:cs="Book Antiqua"/>
          <w:b/>
        </w:rPr>
      </w:pPr>
    </w:p>
    <w:p w14:paraId="0E17C88F" w14:textId="77777777" w:rsidR="0007052C" w:rsidRDefault="0007052C">
      <w:pPr>
        <w:spacing w:line="240" w:lineRule="auto"/>
        <w:jc w:val="center"/>
        <w:rPr>
          <w:rFonts w:ascii="Book Antiqua" w:eastAsia="Book Antiqua" w:hAnsi="Book Antiqua" w:cs="Book Antiqua"/>
          <w:b/>
        </w:rPr>
      </w:pPr>
    </w:p>
    <w:p w14:paraId="4175BBB7" w14:textId="77777777" w:rsidR="0007052C" w:rsidRDefault="001E4041">
      <w:pPr>
        <w:spacing w:line="240" w:lineRule="auto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PROGRAMA </w:t>
      </w:r>
    </w:p>
    <w:p w14:paraId="5CAF3AF0" w14:textId="77777777" w:rsidR="0007052C" w:rsidRDefault="0007052C">
      <w:pPr>
        <w:spacing w:line="240" w:lineRule="auto"/>
        <w:jc w:val="center"/>
        <w:rPr>
          <w:rFonts w:ascii="Book Antiqua" w:eastAsia="Book Antiqua" w:hAnsi="Book Antiqua" w:cs="Book Antiqua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5490"/>
      </w:tblGrid>
      <w:tr w:rsidR="0007052C" w14:paraId="4932D569" w14:textId="77777777">
        <w:trPr>
          <w:trHeight w:val="330"/>
        </w:trPr>
        <w:tc>
          <w:tcPr>
            <w:tcW w:w="3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4F2C3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Profesor/a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a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cargo</w:t>
            </w:r>
          </w:p>
        </w:tc>
        <w:tc>
          <w:tcPr>
            <w:tcW w:w="54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FA0F" w14:textId="5AFA6CA1" w:rsidR="0007052C" w:rsidRDefault="0027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Jonatan Valenzuela Saldías</w:t>
            </w:r>
          </w:p>
        </w:tc>
      </w:tr>
      <w:tr w:rsidR="0007052C" w14:paraId="4E5B845D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ED51" w14:textId="77777777" w:rsidR="0007052C" w:rsidRDefault="001E4041">
            <w:pPr>
              <w:widowControl w:val="0"/>
              <w:spacing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Naturaleza</w:t>
            </w:r>
          </w:p>
          <w:p w14:paraId="1C6A23E7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(obligatorio, optativo o electivo)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28D7" w14:textId="13292D1B" w:rsidR="0007052C" w:rsidRDefault="00E55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Electivo</w:t>
            </w:r>
          </w:p>
        </w:tc>
      </w:tr>
      <w:tr w:rsidR="0007052C" w14:paraId="72D812ED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CFD5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Requisitos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F560" w14:textId="7AF1359A" w:rsidR="0007052C" w:rsidRDefault="00E55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Derecho Procesal V</w:t>
            </w:r>
          </w:p>
        </w:tc>
      </w:tr>
      <w:tr w:rsidR="0007052C" w14:paraId="1EADFCB2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10FF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Número de Créditos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803FE" w14:textId="12A2500E" w:rsidR="0007052C" w:rsidRDefault="00E55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</w:tr>
      <w:tr w:rsidR="0007052C" w14:paraId="64C26D34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3EED7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I. Descripción del curso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6E18" w14:textId="365DB0F1" w:rsidR="0007052C" w:rsidRDefault="00E55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El curso busca </w:t>
            </w:r>
            <w:r w:rsidR="001C6612">
              <w:rPr>
                <w:rFonts w:ascii="Book Antiqua" w:eastAsia="Book Antiqua" w:hAnsi="Book Antiqua" w:cs="Book Antiqua"/>
              </w:rPr>
              <w:t>analizar en profundidad</w:t>
            </w:r>
            <w:r>
              <w:rPr>
                <w:rFonts w:ascii="Book Antiqua" w:eastAsia="Book Antiqua" w:hAnsi="Book Antiqua" w:cs="Book Antiqua"/>
              </w:rPr>
              <w:t xml:space="preserve"> las principales instituciones del proceso penal desde la perspectiva de la justificación </w:t>
            </w:r>
            <w:proofErr w:type="gramStart"/>
            <w:r>
              <w:rPr>
                <w:rFonts w:ascii="Book Antiqua" w:eastAsia="Book Antiqua" w:hAnsi="Book Antiqua" w:cs="Book Antiqua"/>
              </w:rPr>
              <w:t>del mismo</w:t>
            </w:r>
            <w:proofErr w:type="gramEnd"/>
            <w:r w:rsidR="001C6612">
              <w:rPr>
                <w:rFonts w:ascii="Book Antiqua" w:eastAsia="Book Antiqua" w:hAnsi="Book Antiqua" w:cs="Book Antiqua"/>
              </w:rPr>
              <w:t>,</w:t>
            </w:r>
            <w:r>
              <w:rPr>
                <w:rFonts w:ascii="Book Antiqua" w:eastAsia="Book Antiqua" w:hAnsi="Book Antiqua" w:cs="Book Antiqua"/>
              </w:rPr>
              <w:t xml:space="preserve"> en tanto productor de decisi</w:t>
            </w:r>
            <w:r w:rsidR="00815759">
              <w:rPr>
                <w:rFonts w:ascii="Book Antiqua" w:eastAsia="Book Antiqua" w:hAnsi="Book Antiqua" w:cs="Book Antiqua"/>
              </w:rPr>
              <w:t>ones racionales para la realización del derecho penal.</w:t>
            </w:r>
            <w:r w:rsidR="001C6612">
              <w:rPr>
                <w:rFonts w:ascii="Book Antiqua" w:eastAsia="Book Antiqua" w:hAnsi="Book Antiqua" w:cs="Book Antiqua"/>
              </w:rPr>
              <w:t xml:space="preserve"> Para ello se tiene en cuenta la noción de garantía como línea narrativa que permite describir los problemas concretos identificados en el curso y que se describen más adelante.</w:t>
            </w:r>
          </w:p>
        </w:tc>
      </w:tr>
      <w:tr w:rsidR="0007052C" w14:paraId="5E016AF7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3F9B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II. Objetivos Generales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DD5E" w14:textId="1960F139" w:rsidR="0007052C" w:rsidRDefault="00815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El objetivo general del curso es mejorar y profundizar la comprensión los y las estudiantes respecto de las principales instituciones del proceso </w:t>
            </w:r>
            <w:proofErr w:type="spellStart"/>
            <w:r>
              <w:rPr>
                <w:rFonts w:ascii="Book Antiqua" w:eastAsia="Book Antiqua" w:hAnsi="Book Antiqua" w:cs="Book Antiqua"/>
              </w:rPr>
              <w:t>penal</w:t>
            </w:r>
            <w:r w:rsidR="001C6612">
              <w:rPr>
                <w:rFonts w:ascii="Book Antiqua" w:eastAsia="Book Antiqua" w:hAnsi="Book Antiqua" w:cs="Book Antiqua"/>
              </w:rPr>
              <w:t>.kuy</w:t>
            </w:r>
            <w:proofErr w:type="spellEnd"/>
          </w:p>
        </w:tc>
      </w:tr>
      <w:tr w:rsidR="0007052C" w14:paraId="69A1CBB7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5D78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III. Objetivos específicos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69F5" w14:textId="77777777" w:rsidR="0007052C" w:rsidRDefault="00815759" w:rsidP="00815759">
            <w:pPr>
              <w:pStyle w:val="Prrafodelist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Revisar la idea de garantía como fundamento del proceso penal;</w:t>
            </w:r>
          </w:p>
          <w:p w14:paraId="46E58050" w14:textId="79CA46E0" w:rsidR="00815759" w:rsidRDefault="00815759" w:rsidP="00815759">
            <w:pPr>
              <w:pStyle w:val="Prrafodelist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Revisar la comprensión y justificación del proceso penal;</w:t>
            </w:r>
          </w:p>
          <w:p w14:paraId="600DF7EF" w14:textId="115DB4BD" w:rsidR="00815759" w:rsidRDefault="00815759" w:rsidP="00815759">
            <w:pPr>
              <w:pStyle w:val="Prrafodelist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Analizar la garantía del debido proceso penal;</w:t>
            </w:r>
          </w:p>
          <w:p w14:paraId="52EB6BA2" w14:textId="3925450C" w:rsidR="00815759" w:rsidRDefault="00815759" w:rsidP="00815759">
            <w:pPr>
              <w:pStyle w:val="Prrafodelist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Analizar la garantía del derecho a defensa del proceso penal;</w:t>
            </w:r>
          </w:p>
          <w:p w14:paraId="65D6B207" w14:textId="0C696F06" w:rsidR="00815759" w:rsidRDefault="00815759" w:rsidP="00815759">
            <w:pPr>
              <w:pStyle w:val="Prrafodelist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Analizar la garantía del derecho a la prueba del proceso penal;</w:t>
            </w:r>
          </w:p>
          <w:p w14:paraId="43D502D6" w14:textId="11E15EC6" w:rsidR="00815759" w:rsidRDefault="00815759" w:rsidP="00815759">
            <w:pPr>
              <w:pStyle w:val="Prrafodelist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Analizar la garantía del derecho al recurso en el proceso penal.</w:t>
            </w:r>
          </w:p>
          <w:p w14:paraId="531BB955" w14:textId="3C5A931B" w:rsidR="00815759" w:rsidRPr="00815759" w:rsidRDefault="00815759" w:rsidP="00815759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</w:p>
        </w:tc>
      </w:tr>
      <w:tr w:rsidR="0007052C" w14:paraId="5625F645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2383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IV.  Contenidos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68C53" w14:textId="1334F601" w:rsidR="0007052C" w:rsidRDefault="00815759" w:rsidP="00815759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 w:rsidRPr="00815759">
              <w:rPr>
                <w:rFonts w:ascii="Book Antiqua" w:eastAsia="Book Antiqua" w:hAnsi="Book Antiqua" w:cs="Book Antiqua"/>
                <w:iCs/>
              </w:rPr>
              <w:t>Capítulo I:</w:t>
            </w:r>
            <w:r>
              <w:rPr>
                <w:rFonts w:ascii="Book Antiqua" w:eastAsia="Book Antiqua" w:hAnsi="Book Antiqua" w:cs="Book Antiqua"/>
                <w:iCs/>
              </w:rPr>
              <w:t xml:space="preserve"> El proceso penal como rito</w:t>
            </w:r>
            <w:r w:rsidR="001C6612">
              <w:rPr>
                <w:rFonts w:ascii="Book Antiqua" w:eastAsia="Book Antiqua" w:hAnsi="Book Antiqua" w:cs="Book Antiqua"/>
                <w:iCs/>
              </w:rPr>
              <w:t xml:space="preserve"> </w:t>
            </w:r>
            <w:r>
              <w:rPr>
                <w:rFonts w:ascii="Book Antiqua" w:eastAsia="Book Antiqua" w:hAnsi="Book Antiqua" w:cs="Book Antiqua"/>
                <w:iCs/>
              </w:rPr>
              <w:t>contra la incertidumbre</w:t>
            </w:r>
          </w:p>
          <w:p w14:paraId="4504DF67" w14:textId="77777777" w:rsidR="00815759" w:rsidRDefault="00815759" w:rsidP="00815759">
            <w:pPr>
              <w:pStyle w:val="Prrafodelist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El mal compartido del delito como escenario para el desarrollo del proceso penal;</w:t>
            </w:r>
          </w:p>
          <w:p w14:paraId="31114734" w14:textId="77777777" w:rsidR="00815759" w:rsidRDefault="00815759" w:rsidP="00815759">
            <w:pPr>
              <w:pStyle w:val="Prrafodelist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 xml:space="preserve">La idea de </w:t>
            </w:r>
            <w:r>
              <w:rPr>
                <w:rFonts w:ascii="Book Antiqua" w:eastAsia="Book Antiqua" w:hAnsi="Book Antiqua" w:cs="Book Antiqua"/>
                <w:i/>
              </w:rPr>
              <w:t>crimina mala in se</w:t>
            </w:r>
            <w:r>
              <w:rPr>
                <w:rFonts w:ascii="Book Antiqua" w:eastAsia="Book Antiqua" w:hAnsi="Book Antiqua" w:cs="Book Antiqua"/>
                <w:iCs/>
              </w:rPr>
              <w:t xml:space="preserve"> en el proceso penal</w:t>
            </w:r>
          </w:p>
          <w:p w14:paraId="2A91FEF3" w14:textId="77777777" w:rsidR="00815759" w:rsidRDefault="00815759" w:rsidP="00815759">
            <w:pPr>
              <w:pStyle w:val="Prrafodelist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El merecimiento empírico;</w:t>
            </w:r>
          </w:p>
          <w:p w14:paraId="345E56A1" w14:textId="77777777" w:rsidR="00815759" w:rsidRDefault="00815759" w:rsidP="00815759">
            <w:pPr>
              <w:pStyle w:val="Prrafodelist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El garantismo como teoría general;</w:t>
            </w:r>
          </w:p>
          <w:p w14:paraId="542C6279" w14:textId="77777777" w:rsidR="00815759" w:rsidRDefault="00815759" w:rsidP="00815759">
            <w:pPr>
              <w:pStyle w:val="Prrafodelist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El garantismo como teoría particular del proceso penal;</w:t>
            </w:r>
          </w:p>
          <w:p w14:paraId="4FA5A6D9" w14:textId="123222E6" w:rsidR="00815759" w:rsidRDefault="00815759" w:rsidP="00815759">
            <w:pPr>
              <w:pStyle w:val="Prrafodelist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lastRenderedPageBreak/>
              <w:t>El ma</w:t>
            </w:r>
            <w:r w:rsidR="001C6612">
              <w:rPr>
                <w:rFonts w:ascii="Book Antiqua" w:eastAsia="Book Antiqua" w:hAnsi="Book Antiqua" w:cs="Book Antiqua"/>
                <w:iCs/>
              </w:rPr>
              <w:t>l</w:t>
            </w:r>
            <w:r>
              <w:rPr>
                <w:rFonts w:ascii="Book Antiqua" w:eastAsia="Book Antiqua" w:hAnsi="Book Antiqua" w:cs="Book Antiqua"/>
                <w:iCs/>
              </w:rPr>
              <w:t xml:space="preserve"> empíricamente merecido como fundamento moral del proceso penal.</w:t>
            </w:r>
          </w:p>
          <w:p w14:paraId="3DC89823" w14:textId="0B3810D2" w:rsidR="00815759" w:rsidRDefault="00815759" w:rsidP="00815759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Capítulo II: El debido</w:t>
            </w:r>
            <w:r w:rsidR="001C6612">
              <w:rPr>
                <w:rFonts w:ascii="Book Antiqua" w:eastAsia="Book Antiqua" w:hAnsi="Book Antiqua" w:cs="Book Antiqua"/>
                <w:iCs/>
              </w:rPr>
              <w:t xml:space="preserve"> proceso</w:t>
            </w:r>
            <w:r>
              <w:rPr>
                <w:rFonts w:ascii="Book Antiqua" w:eastAsia="Book Antiqua" w:hAnsi="Book Antiqua" w:cs="Book Antiqua"/>
                <w:iCs/>
              </w:rPr>
              <w:t xml:space="preserve"> en materia penal</w:t>
            </w:r>
          </w:p>
          <w:p w14:paraId="48760A81" w14:textId="72B49128" w:rsidR="00815759" w:rsidRDefault="00815759" w:rsidP="00815759">
            <w:pPr>
              <w:pStyle w:val="Prrafodelista"/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La legalidad: delitos y actuaciones.</w:t>
            </w:r>
          </w:p>
          <w:p w14:paraId="1431B268" w14:textId="00EA8A05" w:rsidR="00815759" w:rsidRDefault="00815759" w:rsidP="00815759">
            <w:pPr>
              <w:pStyle w:val="Prrafodelista"/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El tiempo: discusiones sobre prescripción y el olvido;</w:t>
            </w:r>
          </w:p>
          <w:p w14:paraId="69DA3CE4" w14:textId="56F25F2F" w:rsidR="001C6612" w:rsidRPr="001C6612" w:rsidRDefault="00815759" w:rsidP="001C6612">
            <w:pPr>
              <w:pStyle w:val="Prrafodelista"/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 w:rsidRPr="001C6612">
              <w:rPr>
                <w:rFonts w:ascii="Book Antiqua" w:eastAsia="Book Antiqua" w:hAnsi="Book Antiqua" w:cs="Book Antiqua"/>
                <w:iCs/>
              </w:rPr>
              <w:t>La igualdad de partes: precisiones sobre la idea de “sistema acusatorio” en materia penal</w:t>
            </w:r>
          </w:p>
          <w:p w14:paraId="43194103" w14:textId="55F36ED8" w:rsidR="00B264A1" w:rsidRDefault="00B264A1" w:rsidP="00B264A1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Capítulo III: la defensa</w:t>
            </w:r>
          </w:p>
          <w:p w14:paraId="76F04A1A" w14:textId="3289EEBE" w:rsidR="00B264A1" w:rsidRDefault="00B264A1" w:rsidP="00B264A1">
            <w:pPr>
              <w:pStyle w:val="Prrafodelista"/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La defensa como actividad;</w:t>
            </w:r>
          </w:p>
          <w:p w14:paraId="7098C065" w14:textId="0E1DD116" w:rsidR="00B264A1" w:rsidRDefault="00B264A1" w:rsidP="00B264A1">
            <w:pPr>
              <w:pStyle w:val="Prrafodelista"/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Herramientas defensivas en el proceso penal;</w:t>
            </w:r>
          </w:p>
          <w:p w14:paraId="28EAF9A8" w14:textId="01696DDE" w:rsidR="00B264A1" w:rsidRDefault="00B264A1" w:rsidP="00B264A1">
            <w:pPr>
              <w:pStyle w:val="Prrafodelista"/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Cargas defensivas en el proceso penal;</w:t>
            </w:r>
          </w:p>
          <w:p w14:paraId="44A8A1AF" w14:textId="72F2AE71" w:rsidR="00B264A1" w:rsidRDefault="00B264A1" w:rsidP="00B264A1">
            <w:pPr>
              <w:pStyle w:val="Prrafodelista"/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Los recursos como defensas;</w:t>
            </w:r>
          </w:p>
          <w:p w14:paraId="631B1464" w14:textId="77777777" w:rsidR="00B264A1" w:rsidRPr="00B264A1" w:rsidRDefault="00B264A1" w:rsidP="00B264A1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</w:p>
          <w:p w14:paraId="28BA5E96" w14:textId="1EB4E07C" w:rsidR="00815759" w:rsidRDefault="00B264A1" w:rsidP="00815759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Capítulo IV: la prueba</w:t>
            </w:r>
          </w:p>
          <w:p w14:paraId="1C14A6A7" w14:textId="670EF444" w:rsidR="00B264A1" w:rsidRDefault="00B264A1" w:rsidP="00B264A1">
            <w:pPr>
              <w:pStyle w:val="Prrafodelista"/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El derecho a la prueba: el caso de la cautela penal;</w:t>
            </w:r>
          </w:p>
          <w:p w14:paraId="4F0622AB" w14:textId="58DF8F22" w:rsidR="00B264A1" w:rsidRDefault="00B264A1" w:rsidP="00B264A1">
            <w:pPr>
              <w:pStyle w:val="Prrafodelista"/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La sana crítica y su pretendida autonomía;</w:t>
            </w:r>
          </w:p>
          <w:p w14:paraId="1382E87E" w14:textId="6361350E" w:rsidR="00B264A1" w:rsidRDefault="00B264A1" w:rsidP="00B264A1">
            <w:pPr>
              <w:pStyle w:val="Prrafodelista"/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La duda razonable;</w:t>
            </w:r>
          </w:p>
          <w:p w14:paraId="233D3B6B" w14:textId="5E3666DE" w:rsidR="00B264A1" w:rsidRDefault="00B264A1" w:rsidP="00B264A1">
            <w:pPr>
              <w:pStyle w:val="Prrafodelista"/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Estándares de prueba diferenciados para el proceso penal.</w:t>
            </w:r>
          </w:p>
          <w:p w14:paraId="7E2E0A14" w14:textId="7ABA97DF" w:rsidR="00B264A1" w:rsidRPr="00B264A1" w:rsidRDefault="00B264A1" w:rsidP="00B264A1">
            <w:pPr>
              <w:pStyle w:val="Prrafodelista"/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</w:p>
          <w:p w14:paraId="4F8C5858" w14:textId="761BEF5B" w:rsidR="00B264A1" w:rsidRPr="00815759" w:rsidRDefault="00B264A1" w:rsidP="00815759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</w:p>
        </w:tc>
      </w:tr>
      <w:tr w:rsidR="0007052C" w14:paraId="6C09BD6A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587CA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lastRenderedPageBreak/>
              <w:t>V. Régimen de asistencia</w:t>
            </w:r>
            <w:r>
              <w:rPr>
                <w:rFonts w:ascii="Book Antiqua" w:eastAsia="Book Antiqua" w:hAnsi="Book Antiqua" w:cs="Book Antiqua"/>
                <w:b/>
                <w:vertAlign w:val="superscript"/>
              </w:rPr>
              <w:footnoteReference w:id="1"/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7183E" w14:textId="3EF631B8" w:rsidR="0007052C" w:rsidRDefault="00815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La asistencia es libre. Se recomiendo, obviamente, la asistencia a clases para comprender de manera cabal el contenido del curso.</w:t>
            </w:r>
          </w:p>
        </w:tc>
      </w:tr>
      <w:tr w:rsidR="0007052C" w14:paraId="5113AD8B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482DE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VI. Evaluaciones y ponderación de </w:t>
            </w:r>
            <w:proofErr w:type="gramStart"/>
            <w:r>
              <w:rPr>
                <w:rFonts w:ascii="Book Antiqua" w:eastAsia="Book Antiqua" w:hAnsi="Book Antiqua" w:cs="Book Antiqua"/>
                <w:b/>
              </w:rPr>
              <w:t>las mismas</w:t>
            </w:r>
            <w:proofErr w:type="gramEnd"/>
            <w:r>
              <w:rPr>
                <w:rFonts w:ascii="Book Antiqua" w:eastAsia="Book Antiqua" w:hAnsi="Book Antiqua" w:cs="Book Antiqua"/>
                <w:b/>
                <w:vertAlign w:val="superscript"/>
              </w:rPr>
              <w:footnoteReference w:id="2"/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6620" w14:textId="7BD01C58" w:rsidR="0007052C" w:rsidRDefault="00815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El curso tendrá </w:t>
            </w:r>
            <w:r w:rsidR="001C6612">
              <w:rPr>
                <w:rFonts w:ascii="Book Antiqua" w:eastAsia="Book Antiqua" w:hAnsi="Book Antiqua" w:cs="Book Antiqua"/>
              </w:rPr>
              <w:t>una</w:t>
            </w:r>
            <w:r>
              <w:rPr>
                <w:rFonts w:ascii="Book Antiqua" w:eastAsia="Book Antiqua" w:hAnsi="Book Antiqua" w:cs="Book Antiqua"/>
              </w:rPr>
              <w:t xml:space="preserve"> evaluaci</w:t>
            </w:r>
            <w:r w:rsidR="001C6612">
              <w:rPr>
                <w:rFonts w:ascii="Book Antiqua" w:eastAsia="Book Antiqua" w:hAnsi="Book Antiqua" w:cs="Book Antiqua"/>
              </w:rPr>
              <w:t>ó</w:t>
            </w:r>
            <w:r>
              <w:rPr>
                <w:rFonts w:ascii="Book Antiqua" w:eastAsia="Book Antiqua" w:hAnsi="Book Antiqua" w:cs="Book Antiqua"/>
              </w:rPr>
              <w:t>n parcial en fecha a determinar. Además</w:t>
            </w:r>
            <w:r w:rsidR="00B264A1">
              <w:rPr>
                <w:rFonts w:ascii="Book Antiqua" w:eastAsia="Book Antiqua" w:hAnsi="Book Antiqua" w:cs="Book Antiqua"/>
              </w:rPr>
              <w:t>,</w:t>
            </w:r>
            <w:r>
              <w:rPr>
                <w:rFonts w:ascii="Book Antiqua" w:eastAsia="Book Antiqua" w:hAnsi="Book Antiqua" w:cs="Book Antiqua"/>
              </w:rPr>
              <w:t xml:space="preserve"> habrá un examen final en fecha </w:t>
            </w:r>
            <w:r w:rsidR="001C6612">
              <w:rPr>
                <w:rFonts w:ascii="Book Antiqua" w:eastAsia="Book Antiqua" w:hAnsi="Book Antiqua" w:cs="Book Antiqua"/>
              </w:rPr>
              <w:t xml:space="preserve">que debe ser también </w:t>
            </w:r>
            <w:r>
              <w:rPr>
                <w:rFonts w:ascii="Book Antiqua" w:eastAsia="Book Antiqua" w:hAnsi="Book Antiqua" w:cs="Book Antiqua"/>
              </w:rPr>
              <w:t>definida por la dirección de escuela.</w:t>
            </w:r>
          </w:p>
        </w:tc>
      </w:tr>
      <w:tr w:rsidR="0007052C" w14:paraId="4A4CF50E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981E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 VII. Metodología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A2F2" w14:textId="57B33BD5" w:rsidR="0007052C" w:rsidRDefault="0027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Clases magistrales en línea a través de </w:t>
            </w:r>
            <w:proofErr w:type="gramStart"/>
            <w:r>
              <w:rPr>
                <w:rFonts w:ascii="Book Antiqua" w:eastAsia="Book Antiqua" w:hAnsi="Book Antiqua" w:cs="Book Antiqua"/>
              </w:rPr>
              <w:t>zoom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. Su utilizará un canal de </w:t>
            </w:r>
            <w:proofErr w:type="spellStart"/>
            <w:r>
              <w:rPr>
                <w:rFonts w:ascii="Book Antiqua" w:eastAsia="Book Antiqua" w:hAnsi="Book Antiqua" w:cs="Book Antiqua"/>
              </w:rPr>
              <w:t>Youtube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para la exposición de vídeos preparados para el curso. Se sugieren lecturas durante el semestre.</w:t>
            </w:r>
          </w:p>
        </w:tc>
      </w:tr>
      <w:tr w:rsidR="0007052C" w14:paraId="2D861C15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1FD72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VIII. Bibliografía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AC59" w14:textId="79DC4DDC" w:rsidR="0007052C" w:rsidRDefault="001E4041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Bibliografía obligatoria:</w:t>
            </w:r>
          </w:p>
          <w:p w14:paraId="13A3E570" w14:textId="43A47DA0" w:rsidR="001C6612" w:rsidRDefault="007E430B" w:rsidP="001C6612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- </w:t>
            </w:r>
            <w:r w:rsidRPr="007E430B">
              <w:rPr>
                <w:rFonts w:ascii="Book Antiqua" w:eastAsia="Book Antiqua" w:hAnsi="Book Antiqua" w:cs="Book Antiqua"/>
              </w:rPr>
              <w:t xml:space="preserve">ACCATINO, </w:t>
            </w:r>
            <w:proofErr w:type="gramStart"/>
            <w:r w:rsidRPr="007E430B">
              <w:rPr>
                <w:rFonts w:ascii="Book Antiqua" w:eastAsia="Book Antiqua" w:hAnsi="Book Antiqua" w:cs="Book Antiqua"/>
              </w:rPr>
              <w:t>Daniela,  ‘</w:t>
            </w:r>
            <w:proofErr w:type="gramEnd"/>
            <w:r w:rsidRPr="007E430B">
              <w:rPr>
                <w:rFonts w:ascii="Book Antiqua" w:eastAsia="Book Antiqua" w:hAnsi="Book Antiqua" w:cs="Book Antiqua"/>
              </w:rPr>
              <w:t>Certezas, dudas y propuestas en torno al estándar de la prueba penal’, en Revista de Derecho de la Pontificia Universidad Católica de Valparaíso, núm. XXXVII, 2011, pp. 483 – 511</w:t>
            </w:r>
          </w:p>
          <w:p w14:paraId="7DCAB723" w14:textId="487E9C0F" w:rsidR="007E430B" w:rsidRDefault="007E430B" w:rsidP="007E430B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- CARBONELL, Flavia y VALENZUELA, Jonatan “</w:t>
            </w:r>
            <w:r w:rsidRPr="007E430B">
              <w:rPr>
                <w:rFonts w:ascii="Book Antiqua" w:eastAsia="Book Antiqua" w:hAnsi="Book Antiqua" w:cs="Book Antiqua"/>
              </w:rPr>
              <w:t>“La prueba de la inocencia y las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 w:rsidRPr="007E430B">
              <w:rPr>
                <w:rFonts w:ascii="Book Antiqua" w:eastAsia="Book Antiqua" w:hAnsi="Book Antiqua" w:cs="Book Antiqua"/>
              </w:rPr>
              <w:t xml:space="preserve">defensas probatorias: el </w:t>
            </w:r>
            <w:r w:rsidRPr="007E430B">
              <w:rPr>
                <w:rFonts w:ascii="Book Antiqua" w:eastAsia="Book Antiqua" w:hAnsi="Book Antiqua" w:cs="Book Antiqua"/>
              </w:rPr>
              <w:lastRenderedPageBreak/>
              <w:t>caso de la revisión”,</w:t>
            </w:r>
            <w:r>
              <w:rPr>
                <w:rFonts w:ascii="Book Antiqua" w:eastAsia="Book Antiqua" w:hAnsi="Book Antiqua" w:cs="Book Antiqua"/>
              </w:rPr>
              <w:t xml:space="preserve"> de </w:t>
            </w:r>
            <w:r w:rsidR="007866C2">
              <w:rPr>
                <w:rFonts w:ascii="Book Antiqua" w:eastAsia="Book Antiqua" w:hAnsi="Book Antiqua" w:cs="Book Antiqua"/>
              </w:rPr>
              <w:t>próxima</w:t>
            </w:r>
            <w:r>
              <w:rPr>
                <w:rFonts w:ascii="Book Antiqua" w:eastAsia="Book Antiqua" w:hAnsi="Book Antiqua" w:cs="Book Antiqua"/>
              </w:rPr>
              <w:t xml:space="preserve"> publicación.</w:t>
            </w:r>
          </w:p>
          <w:p w14:paraId="3D012072" w14:textId="77777777" w:rsidR="00127462" w:rsidRDefault="00127462" w:rsidP="00127462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</w:rPr>
              <w:t xml:space="preserve">- </w:t>
            </w:r>
            <w:r>
              <w:rPr>
                <w:rFonts w:ascii="Book Antiqua" w:eastAsia="Book Antiqua" w:hAnsi="Book Antiqua" w:cs="Book Antiqua"/>
                <w:iCs/>
              </w:rPr>
              <w:t>CARBONELL, Flavia,” Elementos</w:t>
            </w:r>
            <w:r w:rsidRPr="007E430B">
              <w:rPr>
                <w:rFonts w:ascii="Book Antiqua" w:eastAsia="Book Antiqua" w:hAnsi="Book Antiqua" w:cs="Book Antiqua"/>
                <w:iCs/>
              </w:rPr>
              <w:t xml:space="preserve"> para un modelo de decisión judicial correcta</w:t>
            </w:r>
            <w:r>
              <w:rPr>
                <w:rFonts w:ascii="Book Antiqua" w:eastAsia="Book Antiqua" w:hAnsi="Book Antiqua" w:cs="Book Antiqua"/>
                <w:iCs/>
              </w:rPr>
              <w:t>”, 2017;</w:t>
            </w:r>
          </w:p>
          <w:p w14:paraId="5899E449" w14:textId="45873545" w:rsidR="007E430B" w:rsidRPr="007E430B" w:rsidRDefault="007E430B" w:rsidP="007E430B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- </w:t>
            </w:r>
            <w:r w:rsidRPr="007E430B">
              <w:rPr>
                <w:rFonts w:ascii="Book Antiqua" w:eastAsia="Book Antiqua" w:hAnsi="Book Antiqua" w:cs="Book Antiqua"/>
              </w:rPr>
              <w:t>LAUDAN, Larry. (2005</w:t>
            </w:r>
            <w:proofErr w:type="gramStart"/>
            <w:r w:rsidRPr="007E430B">
              <w:rPr>
                <w:rFonts w:ascii="Book Antiqua" w:eastAsia="Book Antiqua" w:hAnsi="Book Antiqua" w:cs="Book Antiqua"/>
              </w:rPr>
              <w:t>)”Por</w:t>
            </w:r>
            <w:proofErr w:type="gramEnd"/>
            <w:r w:rsidRPr="007E430B">
              <w:rPr>
                <w:rFonts w:ascii="Book Antiqua" w:eastAsia="Book Antiqua" w:hAnsi="Book Antiqua" w:cs="Book Antiqua"/>
              </w:rPr>
              <w:t xml:space="preserve"> qué un estándar de prueba subjetivo y ambiguo no es un estándar”, en DOXA, 28, 95-113</w:t>
            </w:r>
            <w:r>
              <w:rPr>
                <w:rFonts w:ascii="Book Antiqua" w:eastAsia="Book Antiqua" w:hAnsi="Book Antiqua" w:cs="Book Antiqua"/>
              </w:rPr>
              <w:t>.</w:t>
            </w:r>
          </w:p>
          <w:p w14:paraId="7FED0C85" w14:textId="1A5ACD54" w:rsidR="007E430B" w:rsidRPr="007E430B" w:rsidRDefault="007E430B" w:rsidP="007E430B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lang w:val="en-US"/>
              </w:rPr>
            </w:pPr>
            <w:r w:rsidRPr="007866C2">
              <w:rPr>
                <w:rFonts w:ascii="Book Antiqua" w:eastAsia="Book Antiqua" w:hAnsi="Book Antiqua" w:cs="Book Antiqua"/>
                <w:lang w:val="en-US"/>
              </w:rPr>
              <w:t xml:space="preserve">- LAUDAN, Larry. </w:t>
            </w:r>
            <w:r w:rsidRPr="007E430B">
              <w:rPr>
                <w:rFonts w:ascii="Book Antiqua" w:eastAsia="Book Antiqua" w:hAnsi="Book Antiqua" w:cs="Book Antiqua"/>
                <w:lang w:val="en-US"/>
              </w:rPr>
              <w:t>(2006) Truth, Error, and Criminal Law, Cambridge University Press.</w:t>
            </w:r>
          </w:p>
          <w:p w14:paraId="4406359D" w14:textId="275D811B" w:rsidR="007E430B" w:rsidRPr="007E430B" w:rsidRDefault="007E430B" w:rsidP="007E430B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lang w:val="en-US"/>
              </w:rPr>
            </w:pPr>
            <w:r>
              <w:rPr>
                <w:rFonts w:ascii="Book Antiqua" w:eastAsia="Book Antiqua" w:hAnsi="Book Antiqua" w:cs="Book Antiqua"/>
                <w:lang w:val="en-US"/>
              </w:rPr>
              <w:t xml:space="preserve">- </w:t>
            </w:r>
            <w:r w:rsidRPr="007E430B">
              <w:rPr>
                <w:rFonts w:ascii="Book Antiqua" w:eastAsia="Book Antiqua" w:hAnsi="Book Antiqua" w:cs="Book Antiqua"/>
                <w:lang w:val="en-US"/>
              </w:rPr>
              <w:t xml:space="preserve">LAUDAN, Larry, ‘The presumption of innocence: Material </w:t>
            </w:r>
            <w:proofErr w:type="spellStart"/>
            <w:proofErr w:type="gramStart"/>
            <w:r w:rsidRPr="007E430B">
              <w:rPr>
                <w:rFonts w:ascii="Book Antiqua" w:eastAsia="Book Antiqua" w:hAnsi="Book Antiqua" w:cs="Book Antiqua"/>
                <w:lang w:val="en-US"/>
              </w:rPr>
              <w:t>orProbatory</w:t>
            </w:r>
            <w:proofErr w:type="spellEnd"/>
            <w:r w:rsidRPr="007E430B">
              <w:rPr>
                <w:rFonts w:ascii="Book Antiqua" w:eastAsia="Book Antiqua" w:hAnsi="Book Antiqua" w:cs="Book Antiqua"/>
                <w:lang w:val="en-US"/>
              </w:rPr>
              <w:t>?,</w:t>
            </w:r>
            <w:proofErr w:type="spellStart"/>
            <w:proofErr w:type="gramEnd"/>
            <w:r w:rsidRPr="007E430B">
              <w:rPr>
                <w:rFonts w:ascii="Book Antiqua" w:eastAsia="Book Antiqua" w:hAnsi="Book Antiqua" w:cs="Book Antiqua"/>
                <w:lang w:val="en-US"/>
              </w:rPr>
              <w:t>en</w:t>
            </w:r>
            <w:proofErr w:type="spellEnd"/>
            <w:r w:rsidRPr="007E430B">
              <w:rPr>
                <w:rFonts w:ascii="Book Antiqua" w:eastAsia="Book Antiqua" w:hAnsi="Book Antiqua" w:cs="Book Antiqua"/>
                <w:lang w:val="en-US"/>
              </w:rPr>
              <w:t xml:space="preserve"> Legal Theory, </w:t>
            </w:r>
            <w:proofErr w:type="spellStart"/>
            <w:r w:rsidRPr="007E430B">
              <w:rPr>
                <w:rFonts w:ascii="Book Antiqua" w:eastAsia="Book Antiqua" w:hAnsi="Book Antiqua" w:cs="Book Antiqua"/>
                <w:lang w:val="en-US"/>
              </w:rPr>
              <w:t>núm</w:t>
            </w:r>
            <w:proofErr w:type="spellEnd"/>
            <w:r w:rsidRPr="007E430B">
              <w:rPr>
                <w:rFonts w:ascii="Book Antiqua" w:eastAsia="Book Antiqua" w:hAnsi="Book Antiqua" w:cs="Book Antiqua"/>
                <w:lang w:val="en-US"/>
              </w:rPr>
              <w:t xml:space="preserve"> 11, 2005, pp. 333 - 361.</w:t>
            </w:r>
          </w:p>
          <w:p w14:paraId="3D43A612" w14:textId="25424D91" w:rsidR="007E430B" w:rsidRPr="007E430B" w:rsidRDefault="007E430B" w:rsidP="007E430B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- </w:t>
            </w:r>
            <w:r w:rsidRPr="007E430B">
              <w:rPr>
                <w:rFonts w:ascii="Book Antiqua" w:eastAsia="Book Antiqua" w:hAnsi="Book Antiqua" w:cs="Book Antiqua"/>
              </w:rPr>
              <w:t>LETELIER, R</w:t>
            </w:r>
            <w:r>
              <w:rPr>
                <w:rFonts w:ascii="Book Antiqua" w:eastAsia="Book Antiqua" w:hAnsi="Book Antiqua" w:cs="Book Antiqua"/>
              </w:rPr>
              <w:t>aúl</w:t>
            </w:r>
            <w:proofErr w:type="gramStart"/>
            <w:r>
              <w:rPr>
                <w:rFonts w:ascii="Book Antiqua" w:eastAsia="Book Antiqua" w:hAnsi="Book Antiqua" w:cs="Book Antiqua"/>
              </w:rPr>
              <w:t xml:space="preserve">, </w:t>
            </w:r>
            <w:r w:rsidRPr="007E430B">
              <w:rPr>
                <w:rFonts w:ascii="Book Antiqua" w:eastAsia="Book Antiqua" w:hAnsi="Book Antiqua" w:cs="Book Antiqua"/>
              </w:rPr>
              <w:t>,</w:t>
            </w:r>
            <w:proofErr w:type="gramEnd"/>
            <w:r w:rsidRPr="007E430B">
              <w:rPr>
                <w:rFonts w:ascii="Book Antiqua" w:eastAsia="Book Antiqua" w:hAnsi="Book Antiqua" w:cs="Book Antiqua"/>
              </w:rPr>
              <w:t xml:space="preserve"> 2017, “Garantías penales y sanciones administrativas” en Política criminal, Vol. 12, núm. 24, pp. 622 – 689. [http://www.politicacriminal.cl/Vol_12/n_24/Vol12N24A1.pdf</w:t>
            </w:r>
          </w:p>
          <w:p w14:paraId="1E8BD7EE" w14:textId="6F137E57" w:rsidR="001C6612" w:rsidRDefault="007E430B" w:rsidP="007E430B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- </w:t>
            </w:r>
            <w:r w:rsidRPr="007E430B">
              <w:rPr>
                <w:rFonts w:ascii="Book Antiqua" w:eastAsia="Book Antiqua" w:hAnsi="Book Antiqua" w:cs="Book Antiqua"/>
              </w:rPr>
              <w:t>MAÑALICH, JUAN PABLO, “La pena como retribución”, en Revista de Estudios Públicos, núm. 108, pp.127 – 131, 2007.</w:t>
            </w:r>
          </w:p>
          <w:p w14:paraId="59E2CD7C" w14:textId="3AA8BB69" w:rsidR="007E430B" w:rsidRDefault="007E430B" w:rsidP="007E430B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- VALENZUELA, JONATAN, (2017) “Hechos, pena y proceso”, Santiago: Rubicón.</w:t>
            </w:r>
          </w:p>
          <w:p w14:paraId="762A8E59" w14:textId="77777777" w:rsidR="007E430B" w:rsidRPr="007E430B" w:rsidRDefault="007E430B" w:rsidP="007E430B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</w:rPr>
            </w:pPr>
          </w:p>
          <w:p w14:paraId="42DAF0FB" w14:textId="77777777" w:rsidR="0007052C" w:rsidRDefault="001E4041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Bibliografía secundaria o complementaria:</w:t>
            </w:r>
          </w:p>
          <w:p w14:paraId="1D3E865E" w14:textId="77777777" w:rsidR="007866C2" w:rsidRDefault="007866C2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</w:p>
          <w:p w14:paraId="35CE8EDD" w14:textId="4A1CE894" w:rsidR="007866C2" w:rsidRDefault="007866C2">
            <w:pPr>
              <w:widowControl w:val="0"/>
              <w:spacing w:line="240" w:lineRule="auto"/>
              <w:jc w:val="both"/>
              <w:rPr>
                <w:rFonts w:ascii="Book Antiqua" w:hAnsi="Book Antiqua"/>
                <w:sz w:val="24"/>
                <w:szCs w:val="24"/>
                <w:lang w:val="es-ES_tradnl"/>
              </w:rPr>
            </w:pPr>
            <w:r w:rsidRPr="00372A6A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ROBINSON, </w:t>
            </w:r>
            <w:r>
              <w:rPr>
                <w:rFonts w:ascii="Book Antiqua" w:hAnsi="Book Antiqua"/>
                <w:sz w:val="24"/>
                <w:szCs w:val="24"/>
                <w:lang w:val="es-ES_tradnl"/>
              </w:rPr>
              <w:t>Paul,</w:t>
            </w:r>
            <w:r w:rsidRPr="00372A6A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  <w:lang w:val="es-ES_tradnl"/>
              </w:rPr>
              <w:t>“</w:t>
            </w:r>
            <w:r w:rsidRPr="00372A6A">
              <w:rPr>
                <w:rFonts w:ascii="Book Antiqua" w:hAnsi="Book Antiqua"/>
                <w:sz w:val="24"/>
                <w:szCs w:val="24"/>
                <w:lang w:val="es-ES_tradnl"/>
              </w:rPr>
              <w:t>Principios Distributivos del Derecho Penal</w:t>
            </w:r>
            <w:r>
              <w:rPr>
                <w:rFonts w:ascii="Book Antiqua" w:hAnsi="Book Antiqua"/>
                <w:sz w:val="24"/>
                <w:szCs w:val="24"/>
                <w:lang w:val="es-ES_tradnl"/>
              </w:rPr>
              <w:t>”,</w:t>
            </w:r>
            <w:r w:rsidRPr="00372A6A">
              <w:rPr>
                <w:rFonts w:ascii="Book Antiqua" w:hAnsi="Book Antiqua"/>
                <w:sz w:val="24"/>
                <w:szCs w:val="24"/>
                <w:lang w:val="es-ES_tradnl"/>
              </w:rPr>
              <w:t xml:space="preserve"> Marcial Pons. Barcelona. 2012.</w:t>
            </w:r>
          </w:p>
          <w:p w14:paraId="521354D9" w14:textId="61C5A833" w:rsidR="007866C2" w:rsidRDefault="007866C2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  <w:r w:rsidRPr="007866C2">
              <w:rPr>
                <w:rFonts w:ascii="Book Antiqua" w:eastAsia="Book Antiqua" w:hAnsi="Book Antiqua" w:cs="Book Antiqua"/>
                <w:iCs/>
              </w:rPr>
              <w:t>HORVITZ, M</w:t>
            </w:r>
            <w:r>
              <w:rPr>
                <w:rFonts w:ascii="Book Antiqua" w:eastAsia="Book Antiqua" w:hAnsi="Book Antiqua" w:cs="Book Antiqua"/>
                <w:iCs/>
              </w:rPr>
              <w:t>aría Inés</w:t>
            </w:r>
            <w:r w:rsidRPr="007866C2">
              <w:rPr>
                <w:rFonts w:ascii="Book Antiqua" w:eastAsia="Book Antiqua" w:hAnsi="Book Antiqua" w:cs="Book Antiqua"/>
                <w:iCs/>
              </w:rPr>
              <w:t xml:space="preserve"> y LÓPEZ, J</w:t>
            </w:r>
            <w:r>
              <w:rPr>
                <w:rFonts w:ascii="Book Antiqua" w:eastAsia="Book Antiqua" w:hAnsi="Book Antiqua" w:cs="Book Antiqua"/>
                <w:iCs/>
              </w:rPr>
              <w:t>ulián,</w:t>
            </w:r>
            <w:r w:rsidRPr="007866C2">
              <w:rPr>
                <w:rFonts w:ascii="Book Antiqua" w:eastAsia="Book Antiqua" w:hAnsi="Book Antiqua" w:cs="Book Antiqua"/>
                <w:iCs/>
              </w:rPr>
              <w:t xml:space="preserve"> “Derecho Procesal Penal Chileno”, Editorial Jurídica de Chile, Santiago, Tomos I y II</w:t>
            </w:r>
            <w:r>
              <w:rPr>
                <w:rFonts w:ascii="Book Antiqua" w:eastAsia="Book Antiqua" w:hAnsi="Book Antiqua" w:cs="Book Antiqua"/>
                <w:iCs/>
              </w:rPr>
              <w:t>. 2002.</w:t>
            </w:r>
          </w:p>
          <w:p w14:paraId="2AFE0489" w14:textId="1CF9E426" w:rsidR="0007052C" w:rsidRPr="007E430B" w:rsidRDefault="0007052C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iCs/>
              </w:rPr>
            </w:pPr>
          </w:p>
          <w:p w14:paraId="6E00BE01" w14:textId="77777777" w:rsidR="0007052C" w:rsidRDefault="001E4041">
            <w:pPr>
              <w:widowControl w:val="0"/>
              <w:spacing w:line="240" w:lineRule="auto"/>
              <w:jc w:val="both"/>
              <w:rPr>
                <w:rFonts w:ascii="Book Antiqua" w:eastAsia="Book Antiqua" w:hAnsi="Book Antiqua" w:cs="Book Antiqua"/>
                <w:i/>
              </w:rPr>
            </w:pPr>
            <w:r>
              <w:rPr>
                <w:rFonts w:ascii="Book Antiqua" w:eastAsia="Book Antiqua" w:hAnsi="Book Antiqua" w:cs="Book Antiqua"/>
                <w:i/>
              </w:rPr>
              <w:t xml:space="preserve">Se sugiere y recomienda que las lecturas y materiales entregados se encuentren disponibles en forma on-line en las plataformas académicas oficiales, tales como, u-cursos. Revisar la calidad y resolución de los materiales obligatorios que se suben a u-cursos. </w:t>
            </w:r>
          </w:p>
        </w:tc>
      </w:tr>
    </w:tbl>
    <w:p w14:paraId="0CF024E1" w14:textId="77777777" w:rsidR="0007052C" w:rsidRDefault="0007052C"/>
    <w:p w14:paraId="73C377A5" w14:textId="77777777" w:rsidR="0007052C" w:rsidRDefault="001E4041">
      <w:pPr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SYLLABUS</w:t>
      </w:r>
    </w:p>
    <w:p w14:paraId="2CD1DFB7" w14:textId="77777777" w:rsidR="0007052C" w:rsidRDefault="0007052C">
      <w:pPr>
        <w:jc w:val="center"/>
        <w:rPr>
          <w:rFonts w:ascii="Book Antiqua" w:eastAsia="Book Antiqua" w:hAnsi="Book Antiqua" w:cs="Book Antiqua"/>
          <w:b/>
        </w:rPr>
      </w:pPr>
    </w:p>
    <w:tbl>
      <w:tblPr>
        <w:tblStyle w:val="a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07052C" w14:paraId="7C1B09A5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432E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Planificación de las actividades de enseñanza y aprendizaje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F9BA" w14:textId="7EAEA5CD" w:rsidR="00815759" w:rsidRDefault="00815759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Planificación:</w:t>
            </w:r>
          </w:p>
          <w:p w14:paraId="0D1BA40F" w14:textId="39C61AE5" w:rsidR="00815759" w:rsidRDefault="00815759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Clase 1: Presentación del curso</w:t>
            </w:r>
            <w:r w:rsidR="00B264A1">
              <w:rPr>
                <w:rFonts w:ascii="Book Antiqua" w:eastAsia="Book Antiqua" w:hAnsi="Book Antiqua" w:cs="Book Antiqua"/>
                <w:iCs/>
              </w:rPr>
              <w:t>. El proceso penal como rito contra la incertidumbre</w:t>
            </w:r>
          </w:p>
          <w:p w14:paraId="47728006" w14:textId="1A99BAC9" w:rsidR="00815759" w:rsidRDefault="00815759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 xml:space="preserve">Clase 2: </w:t>
            </w:r>
            <w:r w:rsidR="00B264A1">
              <w:rPr>
                <w:rFonts w:ascii="Book Antiqua" w:eastAsia="Book Antiqua" w:hAnsi="Book Antiqua" w:cs="Book Antiqua"/>
                <w:iCs/>
              </w:rPr>
              <w:t>El proceso penal frente a las garantías</w:t>
            </w:r>
            <w:r w:rsidR="00295C57">
              <w:rPr>
                <w:rFonts w:ascii="Book Antiqua" w:eastAsia="Book Antiqua" w:hAnsi="Book Antiqua" w:cs="Book Antiqua"/>
                <w:iCs/>
              </w:rPr>
              <w:t>: el mal compartido</w:t>
            </w:r>
            <w:r w:rsidR="007E430B">
              <w:rPr>
                <w:rFonts w:ascii="Book Antiqua" w:eastAsia="Book Antiqua" w:hAnsi="Book Antiqua" w:cs="Book Antiqua"/>
                <w:iCs/>
              </w:rPr>
              <w:t xml:space="preserve"> y los </w:t>
            </w:r>
            <w:r w:rsidR="007E430B">
              <w:rPr>
                <w:rFonts w:ascii="Book Antiqua" w:eastAsia="Book Antiqua" w:hAnsi="Book Antiqua" w:cs="Book Antiqua"/>
                <w:i/>
              </w:rPr>
              <w:t>crimina mala in se</w:t>
            </w:r>
            <w:r w:rsidR="00B264A1">
              <w:rPr>
                <w:rFonts w:ascii="Book Antiqua" w:eastAsia="Book Antiqua" w:hAnsi="Book Antiqua" w:cs="Book Antiqua"/>
                <w:iCs/>
              </w:rPr>
              <w:t>;</w:t>
            </w:r>
          </w:p>
          <w:p w14:paraId="4AF52525" w14:textId="0AAB8DDE" w:rsidR="00295C57" w:rsidRDefault="00B264A1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Clase 3: El proceso penal</w:t>
            </w:r>
            <w:r w:rsidR="00295C57">
              <w:rPr>
                <w:rFonts w:ascii="Book Antiqua" w:eastAsia="Book Antiqua" w:hAnsi="Book Antiqua" w:cs="Book Antiqua"/>
                <w:iCs/>
              </w:rPr>
              <w:t xml:space="preserve"> y el merecimiento </w:t>
            </w:r>
            <w:r w:rsidR="00295C57">
              <w:rPr>
                <w:rFonts w:ascii="Book Antiqua" w:eastAsia="Book Antiqua" w:hAnsi="Book Antiqua" w:cs="Book Antiqua"/>
                <w:iCs/>
              </w:rPr>
              <w:lastRenderedPageBreak/>
              <w:t>empírico.</w:t>
            </w:r>
          </w:p>
          <w:p w14:paraId="52B0D0FC" w14:textId="3515C353" w:rsidR="00295C57" w:rsidRDefault="00295C57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Clase 4: El debido proceso y la ley penal: el tiempo, el olvido y la justicia;</w:t>
            </w:r>
          </w:p>
          <w:p w14:paraId="68D74684" w14:textId="78129E3F" w:rsidR="00295C57" w:rsidRDefault="00295C57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Clase 5: El proceso penal acusatorio: problemas de la igualdad de armas.</w:t>
            </w:r>
          </w:p>
          <w:p w14:paraId="5A57C6E9" w14:textId="7476CCA1" w:rsidR="00295C57" w:rsidRDefault="00295C57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Clase 6: La defensa penal como acciones y razonamiento;</w:t>
            </w:r>
          </w:p>
          <w:p w14:paraId="77E2930D" w14:textId="7593413C" w:rsidR="00295C57" w:rsidRDefault="00295C57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Clase 7: Los recursos como defensas</w:t>
            </w:r>
          </w:p>
          <w:p w14:paraId="6AFEA961" w14:textId="1C6EB23B" w:rsidR="00295C57" w:rsidRDefault="00295C57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Clase 8: El derecho a la prueba en materia penal: racionalidad y justificación;</w:t>
            </w:r>
          </w:p>
          <w:p w14:paraId="25EB3A6F" w14:textId="534BED4F" w:rsidR="00295C57" w:rsidRDefault="00295C57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Clase 9: Principio general de inclusión: la anómala exclusión de pruebas en materia penal</w:t>
            </w:r>
          </w:p>
          <w:p w14:paraId="791FCBA2" w14:textId="193BDB88" w:rsidR="00295C57" w:rsidRDefault="00295C57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 xml:space="preserve">Clase 10: La valoración de pruebas en materia penal: sana crítica y control de las inferencias </w:t>
            </w:r>
            <w:proofErr w:type="spellStart"/>
            <w:r>
              <w:rPr>
                <w:rFonts w:ascii="Book Antiqua" w:eastAsia="Book Antiqua" w:hAnsi="Book Antiqua" w:cs="Book Antiqua"/>
                <w:iCs/>
              </w:rPr>
              <w:t>pronbatorias</w:t>
            </w:r>
            <w:proofErr w:type="spellEnd"/>
          </w:p>
          <w:p w14:paraId="2E11C9CB" w14:textId="2CA55E53" w:rsidR="00295C57" w:rsidRDefault="00295C57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>Clase 11: Duda sobre la duda razonable</w:t>
            </w:r>
          </w:p>
          <w:p w14:paraId="6C858499" w14:textId="7B099DEE" w:rsidR="00B264A1" w:rsidRPr="00815759" w:rsidRDefault="00295C57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Cs/>
              </w:rPr>
            </w:pPr>
            <w:r>
              <w:rPr>
                <w:rFonts w:ascii="Book Antiqua" w:eastAsia="Book Antiqua" w:hAnsi="Book Antiqua" w:cs="Book Antiqua"/>
                <w:iCs/>
              </w:rPr>
              <w:t xml:space="preserve">Clase </w:t>
            </w:r>
            <w:proofErr w:type="gramStart"/>
            <w:r>
              <w:rPr>
                <w:rFonts w:ascii="Book Antiqua" w:eastAsia="Book Antiqua" w:hAnsi="Book Antiqua" w:cs="Book Antiqua"/>
                <w:iCs/>
              </w:rPr>
              <w:t>12</w:t>
            </w:r>
            <w:r w:rsidR="00B264A1">
              <w:rPr>
                <w:rFonts w:ascii="Book Antiqua" w:eastAsia="Book Antiqua" w:hAnsi="Book Antiqua" w:cs="Book Antiqua"/>
                <w:iCs/>
              </w:rPr>
              <w:t xml:space="preserve"> </w:t>
            </w:r>
            <w:r>
              <w:rPr>
                <w:rFonts w:ascii="Book Antiqua" w:eastAsia="Book Antiqua" w:hAnsi="Book Antiqua" w:cs="Book Antiqua"/>
                <w:iCs/>
              </w:rPr>
              <w:t>:</w:t>
            </w:r>
            <w:proofErr w:type="gramEnd"/>
            <w:r>
              <w:rPr>
                <w:rFonts w:ascii="Book Antiqua" w:eastAsia="Book Antiqua" w:hAnsi="Book Antiqua" w:cs="Book Antiqua"/>
                <w:iCs/>
              </w:rPr>
              <w:t xml:space="preserve"> Opacidad y variabilidad de estándares probatorios en materia penal.</w:t>
            </w:r>
          </w:p>
          <w:p w14:paraId="759DEB10" w14:textId="2A1C45CA" w:rsidR="0007052C" w:rsidRDefault="001E4041">
            <w:pPr>
              <w:widowControl w:val="0"/>
              <w:spacing w:before="240" w:after="240" w:line="240" w:lineRule="auto"/>
              <w:rPr>
                <w:rFonts w:ascii="Book Antiqua" w:eastAsia="Book Antiqua" w:hAnsi="Book Antiqua" w:cs="Book Antiqua"/>
                <w:i/>
              </w:rPr>
            </w:pPr>
            <w:r>
              <w:rPr>
                <w:rFonts w:ascii="Book Antiqua" w:eastAsia="Book Antiqua" w:hAnsi="Book Antiqua" w:cs="Book Antiqua"/>
                <w:i/>
              </w:rPr>
              <w:t>Se deben indicar las actividades que se realizarán en cada clase. Esto es, la secuencia temporal y articulada de las actividades de enseñanza y aprendizaje que permitan asegurar el logro de los Resultados de Aprendizaje.</w:t>
            </w:r>
          </w:p>
          <w:p w14:paraId="464FBD39" w14:textId="77777777" w:rsidR="0007052C" w:rsidRDefault="001E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i/>
              </w:rPr>
              <w:t>(Considere que el segundo semestre 2020 contempla 12 semanas de clases, además de dos recesos académicos entre el 22 y 26 de octubre y el 23 y 25 de noviembre, además de las vacaciones de fiestas patrias entre el 14 y el 18 de septiembre)</w:t>
            </w:r>
          </w:p>
        </w:tc>
      </w:tr>
    </w:tbl>
    <w:p w14:paraId="344E0C42" w14:textId="77777777" w:rsidR="0007052C" w:rsidRDefault="0007052C">
      <w:pPr>
        <w:jc w:val="center"/>
        <w:rPr>
          <w:rFonts w:ascii="Book Antiqua" w:eastAsia="Book Antiqua" w:hAnsi="Book Antiqua" w:cs="Book Antiqua"/>
          <w:b/>
        </w:rPr>
      </w:pPr>
    </w:p>
    <w:sectPr w:rsidR="0007052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D08FD" w14:textId="77777777" w:rsidR="007E775B" w:rsidRDefault="007E775B">
      <w:pPr>
        <w:spacing w:line="240" w:lineRule="auto"/>
      </w:pPr>
      <w:r>
        <w:separator/>
      </w:r>
    </w:p>
  </w:endnote>
  <w:endnote w:type="continuationSeparator" w:id="0">
    <w:p w14:paraId="5429ABF6" w14:textId="77777777" w:rsidR="007E775B" w:rsidRDefault="007E7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7165A" w14:textId="77777777" w:rsidR="007E775B" w:rsidRDefault="007E775B">
      <w:pPr>
        <w:spacing w:line="240" w:lineRule="auto"/>
      </w:pPr>
      <w:r>
        <w:separator/>
      </w:r>
    </w:p>
  </w:footnote>
  <w:footnote w:type="continuationSeparator" w:id="0">
    <w:p w14:paraId="38774716" w14:textId="77777777" w:rsidR="007E775B" w:rsidRDefault="007E775B">
      <w:pPr>
        <w:spacing w:line="240" w:lineRule="auto"/>
      </w:pPr>
      <w:r>
        <w:continuationSeparator/>
      </w:r>
    </w:p>
  </w:footnote>
  <w:footnote w:id="1">
    <w:p w14:paraId="106D9828" w14:textId="77777777" w:rsidR="00B264A1" w:rsidRDefault="00B264A1">
      <w:pPr>
        <w:spacing w:line="240" w:lineRule="auto"/>
        <w:jc w:val="both"/>
        <w:rPr>
          <w:rFonts w:ascii="Book Antiqua" w:eastAsia="Book Antiqua" w:hAnsi="Book Antiqua" w:cs="Book Antiqua"/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18"/>
          <w:szCs w:val="18"/>
        </w:rPr>
        <w:t xml:space="preserve">Conforme a las reglas establecidas en el artículo 32 del Reglamento y Plan de Estudios de los Estudios Conducentes al Grado de Licenciado en Ciencias Jurídicas y Sociales. Considerar régimen excepcional del semestre. </w:t>
      </w:r>
    </w:p>
  </w:footnote>
  <w:footnote w:id="2">
    <w:p w14:paraId="5772FC4A" w14:textId="77777777" w:rsidR="00B264A1" w:rsidRDefault="00B264A1">
      <w:pPr>
        <w:spacing w:line="240" w:lineRule="auto"/>
        <w:jc w:val="both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sz w:val="18"/>
          <w:szCs w:val="18"/>
        </w:rPr>
        <w:t>Conforme a las reglas establecidas en el artículo 37 y siguientes del Reglamento y Plan de Estudios de los Estudios Conducentes al Grado de Licenciado en Ciencias Jurídicas y Sociales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035B"/>
    <w:multiLevelType w:val="hybridMultilevel"/>
    <w:tmpl w:val="401C054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9676A"/>
    <w:multiLevelType w:val="hybridMultilevel"/>
    <w:tmpl w:val="365830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272F9"/>
    <w:multiLevelType w:val="hybridMultilevel"/>
    <w:tmpl w:val="B34C0910"/>
    <w:lvl w:ilvl="0" w:tplc="3B720C28">
      <w:start w:val="8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2493B"/>
    <w:multiLevelType w:val="hybridMultilevel"/>
    <w:tmpl w:val="727A1E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B0D45"/>
    <w:multiLevelType w:val="multilevel"/>
    <w:tmpl w:val="6C4C04E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7463EF"/>
    <w:multiLevelType w:val="hybridMultilevel"/>
    <w:tmpl w:val="8B4E9A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3008C"/>
    <w:multiLevelType w:val="hybridMultilevel"/>
    <w:tmpl w:val="FBC67B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2C"/>
    <w:rsid w:val="0007052C"/>
    <w:rsid w:val="00127462"/>
    <w:rsid w:val="001C6612"/>
    <w:rsid w:val="001E4041"/>
    <w:rsid w:val="00274392"/>
    <w:rsid w:val="00295C57"/>
    <w:rsid w:val="0049240D"/>
    <w:rsid w:val="00651F16"/>
    <w:rsid w:val="007866C2"/>
    <w:rsid w:val="007E430B"/>
    <w:rsid w:val="007E775B"/>
    <w:rsid w:val="00815759"/>
    <w:rsid w:val="00B264A1"/>
    <w:rsid w:val="00E55776"/>
    <w:rsid w:val="00F6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CF30"/>
  <w15:docId w15:val="{AEB46AF9-7D8A-4A4A-88B5-27CB7E12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57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77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157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439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392"/>
  </w:style>
  <w:style w:type="paragraph" w:styleId="Piedepgina">
    <w:name w:val="footer"/>
    <w:basedOn w:val="Normal"/>
    <w:link w:val="PiedepginaCar"/>
    <w:uiPriority w:val="99"/>
    <w:unhideWhenUsed/>
    <w:rsid w:val="0027439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jonatan valenzuela</cp:lastModifiedBy>
  <cp:revision>4</cp:revision>
  <dcterms:created xsi:type="dcterms:W3CDTF">2020-08-10T15:22:00Z</dcterms:created>
  <dcterms:modified xsi:type="dcterms:W3CDTF">2020-08-10T15:30:00Z</dcterms:modified>
</cp:coreProperties>
</file>