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A3" w:rsidRPr="00E0343D" w:rsidRDefault="004B2AA3">
      <w:pPr>
        <w:rPr>
          <w:rFonts w:ascii="Garamond" w:hAnsi="Garamond"/>
          <w:b/>
          <w:sz w:val="24"/>
          <w:szCs w:val="24"/>
        </w:rPr>
      </w:pPr>
      <w:r w:rsidRPr="00E0343D">
        <w:rPr>
          <w:rFonts w:ascii="Garamond" w:hAnsi="Garamond"/>
          <w:b/>
          <w:sz w:val="24"/>
          <w:szCs w:val="24"/>
        </w:rPr>
        <w:t>Seminario: Autoconciencia y autoconocimiento en Kant. Presentación y problemas</w:t>
      </w:r>
    </w:p>
    <w:p w:rsidR="004B2AA3" w:rsidRDefault="004B2AA3">
      <w:pPr>
        <w:rPr>
          <w:rFonts w:ascii="Garamond" w:hAnsi="Garamond"/>
          <w:sz w:val="24"/>
          <w:szCs w:val="24"/>
        </w:rPr>
      </w:pPr>
      <w:r w:rsidRPr="00E0343D">
        <w:rPr>
          <w:rFonts w:ascii="Garamond" w:hAnsi="Garamond"/>
          <w:sz w:val="24"/>
          <w:szCs w:val="24"/>
        </w:rPr>
        <w:t>Ayudante encargado: Javier Castillo Vallez (</w:t>
      </w:r>
      <w:hyperlink r:id="rId8" w:history="1">
        <w:r w:rsidRPr="00E0343D">
          <w:rPr>
            <w:rStyle w:val="Hipervnculo"/>
            <w:rFonts w:ascii="Garamond" w:hAnsi="Garamond"/>
            <w:sz w:val="24"/>
            <w:szCs w:val="24"/>
          </w:rPr>
          <w:t>Javier.e.castillo.v@gmail.com</w:t>
        </w:r>
      </w:hyperlink>
      <w:r w:rsidRPr="00E0343D">
        <w:rPr>
          <w:rFonts w:ascii="Garamond" w:hAnsi="Garamond"/>
          <w:sz w:val="24"/>
          <w:szCs w:val="24"/>
        </w:rPr>
        <w:t>)</w:t>
      </w:r>
    </w:p>
    <w:p w:rsidR="00F01268" w:rsidRDefault="00F01268">
      <w:pPr>
        <w:rPr>
          <w:rFonts w:ascii="Garamond" w:hAnsi="Garamond"/>
          <w:sz w:val="24"/>
          <w:szCs w:val="24"/>
        </w:rPr>
      </w:pPr>
      <w:r>
        <w:rPr>
          <w:rFonts w:ascii="Garamond" w:hAnsi="Garamond"/>
          <w:sz w:val="24"/>
          <w:szCs w:val="24"/>
        </w:rPr>
        <w:t>Horario: viernes 15:50 - 17:00</w:t>
      </w:r>
    </w:p>
    <w:p w:rsidR="004B2AA3" w:rsidRPr="00E0343D" w:rsidRDefault="004B2AA3">
      <w:pPr>
        <w:rPr>
          <w:rFonts w:ascii="Garamond" w:hAnsi="Garamond"/>
          <w:sz w:val="24"/>
          <w:szCs w:val="24"/>
        </w:rPr>
      </w:pPr>
    </w:p>
    <w:p w:rsidR="004B2AA3" w:rsidRPr="00E0343D" w:rsidRDefault="004B2AA3" w:rsidP="004B2AA3">
      <w:pPr>
        <w:pStyle w:val="Prrafodelista"/>
        <w:numPr>
          <w:ilvl w:val="0"/>
          <w:numId w:val="1"/>
        </w:numPr>
        <w:rPr>
          <w:rFonts w:ascii="Garamond" w:hAnsi="Garamond"/>
          <w:b/>
          <w:sz w:val="24"/>
          <w:szCs w:val="24"/>
        </w:rPr>
      </w:pPr>
      <w:r w:rsidRPr="00E0343D">
        <w:rPr>
          <w:rFonts w:ascii="Garamond" w:hAnsi="Garamond"/>
          <w:b/>
          <w:sz w:val="24"/>
          <w:szCs w:val="24"/>
        </w:rPr>
        <w:t xml:space="preserve">Presentación </w:t>
      </w:r>
    </w:p>
    <w:p w:rsidR="00535F47" w:rsidRPr="00E0343D" w:rsidRDefault="00535F47" w:rsidP="001679C5">
      <w:pPr>
        <w:jc w:val="both"/>
        <w:rPr>
          <w:rFonts w:ascii="Garamond" w:hAnsi="Garamond"/>
          <w:sz w:val="24"/>
          <w:szCs w:val="24"/>
        </w:rPr>
      </w:pPr>
      <w:r w:rsidRPr="00E0343D">
        <w:rPr>
          <w:rFonts w:ascii="Garamond" w:hAnsi="Garamond"/>
          <w:sz w:val="24"/>
          <w:szCs w:val="24"/>
        </w:rPr>
        <w:t>Desde los inicios de la filosofía</w:t>
      </w:r>
      <w:r w:rsidR="001679C5" w:rsidRPr="00E0343D">
        <w:rPr>
          <w:rFonts w:ascii="Garamond" w:hAnsi="Garamond"/>
          <w:sz w:val="24"/>
          <w:szCs w:val="24"/>
        </w:rPr>
        <w:t>,</w:t>
      </w:r>
      <w:r w:rsidRPr="00E0343D">
        <w:rPr>
          <w:rFonts w:ascii="Garamond" w:hAnsi="Garamond"/>
          <w:sz w:val="24"/>
          <w:szCs w:val="24"/>
        </w:rPr>
        <w:t xml:space="preserve"> el autoconocimiento ha sido un tema prioritari</w:t>
      </w:r>
      <w:r w:rsidR="00623FFB" w:rsidRPr="00E0343D">
        <w:rPr>
          <w:rFonts w:ascii="Garamond" w:hAnsi="Garamond"/>
          <w:sz w:val="24"/>
          <w:szCs w:val="24"/>
        </w:rPr>
        <w:t>o,</w:t>
      </w:r>
      <w:r w:rsidRPr="00E0343D">
        <w:rPr>
          <w:rFonts w:ascii="Garamond" w:hAnsi="Garamond"/>
          <w:sz w:val="24"/>
          <w:szCs w:val="24"/>
        </w:rPr>
        <w:t xml:space="preserve"> que ha motivado muchas de las investigaciones que hoy llamamos filosóficas. Por todos es conocida la historia de Sócrates, quién con el objetivo de saber </w:t>
      </w:r>
      <w:r w:rsidR="00623FFB" w:rsidRPr="00E0343D">
        <w:rPr>
          <w:rFonts w:ascii="Garamond" w:hAnsi="Garamond"/>
          <w:sz w:val="24"/>
          <w:szCs w:val="24"/>
        </w:rPr>
        <w:t>su destino, acudió</w:t>
      </w:r>
      <w:r w:rsidRPr="00E0343D">
        <w:rPr>
          <w:rFonts w:ascii="Garamond" w:hAnsi="Garamond"/>
          <w:sz w:val="24"/>
          <w:szCs w:val="24"/>
        </w:rPr>
        <w:t xml:space="preserve"> al Oráculo de Delfos. Ya en</w:t>
      </w:r>
      <w:r w:rsidR="00623FFB" w:rsidRPr="00E0343D">
        <w:rPr>
          <w:rFonts w:ascii="Garamond" w:hAnsi="Garamond"/>
          <w:sz w:val="24"/>
          <w:szCs w:val="24"/>
        </w:rPr>
        <w:t xml:space="preserve"> la</w:t>
      </w:r>
      <w:r w:rsidRPr="00E0343D">
        <w:rPr>
          <w:rFonts w:ascii="Garamond" w:hAnsi="Garamond"/>
          <w:sz w:val="24"/>
          <w:szCs w:val="24"/>
        </w:rPr>
        <w:t xml:space="preserve"> entrada estaba escrito un mensaje que guiaría la tarea socrática</w:t>
      </w:r>
      <w:r w:rsidR="001679C5" w:rsidRPr="00E0343D">
        <w:rPr>
          <w:rFonts w:ascii="Garamond" w:hAnsi="Garamond"/>
          <w:sz w:val="24"/>
          <w:szCs w:val="24"/>
        </w:rPr>
        <w:t>,</w:t>
      </w:r>
      <w:r w:rsidRPr="00E0343D">
        <w:rPr>
          <w:rFonts w:ascii="Garamond" w:hAnsi="Garamond"/>
          <w:sz w:val="24"/>
          <w:szCs w:val="24"/>
        </w:rPr>
        <w:t xml:space="preserve"> “conócete a ti mismo”</w:t>
      </w:r>
      <w:r w:rsidR="001679C5" w:rsidRPr="00E0343D">
        <w:rPr>
          <w:rFonts w:ascii="Garamond" w:hAnsi="Garamond"/>
          <w:sz w:val="24"/>
          <w:szCs w:val="24"/>
        </w:rPr>
        <w:t>, decía. El oráculo le dijo que él</w:t>
      </w:r>
      <w:r w:rsidR="004559BE" w:rsidRPr="00E0343D">
        <w:rPr>
          <w:rFonts w:ascii="Garamond" w:hAnsi="Garamond"/>
          <w:sz w:val="24"/>
          <w:szCs w:val="24"/>
        </w:rPr>
        <w:t xml:space="preserve"> era el hombre más sabio de G</w:t>
      </w:r>
      <w:r w:rsidRPr="00E0343D">
        <w:rPr>
          <w:rFonts w:ascii="Garamond" w:hAnsi="Garamond"/>
          <w:sz w:val="24"/>
          <w:szCs w:val="24"/>
        </w:rPr>
        <w:t xml:space="preserve">recia, pero </w:t>
      </w:r>
      <w:r w:rsidR="001679C5" w:rsidRPr="00E0343D">
        <w:rPr>
          <w:rFonts w:ascii="Garamond" w:hAnsi="Garamond"/>
          <w:sz w:val="24"/>
          <w:szCs w:val="24"/>
        </w:rPr>
        <w:t>que pronto</w:t>
      </w:r>
      <w:r w:rsidRPr="00E0343D">
        <w:rPr>
          <w:rFonts w:ascii="Garamond" w:hAnsi="Garamond"/>
          <w:sz w:val="24"/>
          <w:szCs w:val="24"/>
        </w:rPr>
        <w:t xml:space="preserve"> se daría cuenta, </w:t>
      </w:r>
      <w:r w:rsidR="001679C5" w:rsidRPr="00E0343D">
        <w:rPr>
          <w:rFonts w:ascii="Garamond" w:hAnsi="Garamond"/>
          <w:sz w:val="24"/>
          <w:szCs w:val="24"/>
        </w:rPr>
        <w:t xml:space="preserve">y </w:t>
      </w:r>
      <w:r w:rsidRPr="00E0343D">
        <w:rPr>
          <w:rFonts w:ascii="Garamond" w:hAnsi="Garamond"/>
          <w:sz w:val="24"/>
          <w:szCs w:val="24"/>
        </w:rPr>
        <w:t xml:space="preserve">no por saber muchas cosas, sino porque estaba consciente de que </w:t>
      </w:r>
      <w:r w:rsidRPr="00E0343D">
        <w:rPr>
          <w:rFonts w:ascii="Garamond" w:hAnsi="Garamond"/>
          <w:i/>
          <w:sz w:val="24"/>
          <w:szCs w:val="24"/>
        </w:rPr>
        <w:t xml:space="preserve">no </w:t>
      </w:r>
      <w:r w:rsidRPr="00E0343D">
        <w:rPr>
          <w:rFonts w:ascii="Garamond" w:hAnsi="Garamond"/>
          <w:sz w:val="24"/>
          <w:szCs w:val="24"/>
        </w:rPr>
        <w:t>las sabía</w:t>
      </w:r>
      <w:r w:rsidR="001679C5" w:rsidRPr="00E0343D">
        <w:rPr>
          <w:rFonts w:ascii="Garamond" w:hAnsi="Garamond"/>
          <w:sz w:val="24"/>
          <w:szCs w:val="24"/>
        </w:rPr>
        <w:t>; al contrario de los demás hombres</w:t>
      </w:r>
      <w:r w:rsidRPr="00E0343D">
        <w:rPr>
          <w:rFonts w:ascii="Garamond" w:hAnsi="Garamond"/>
          <w:sz w:val="24"/>
          <w:szCs w:val="24"/>
        </w:rPr>
        <w:t xml:space="preserve"> que aparentaban saber cuando en realidad no sabían nada.</w:t>
      </w:r>
    </w:p>
    <w:p w:rsidR="00535F47" w:rsidRPr="00E0343D" w:rsidRDefault="00535F47" w:rsidP="001679C5">
      <w:pPr>
        <w:jc w:val="both"/>
        <w:rPr>
          <w:rFonts w:ascii="Garamond" w:hAnsi="Garamond"/>
          <w:i/>
          <w:sz w:val="24"/>
          <w:szCs w:val="24"/>
        </w:rPr>
      </w:pPr>
      <w:r w:rsidRPr="00E0343D">
        <w:rPr>
          <w:rFonts w:ascii="Garamond" w:hAnsi="Garamond"/>
          <w:sz w:val="24"/>
          <w:szCs w:val="24"/>
        </w:rPr>
        <w:t>Esta importante tarea de autoconocimiento llegó también a ser la motivación principal de</w:t>
      </w:r>
      <w:r w:rsidR="00623FFB" w:rsidRPr="00E0343D">
        <w:rPr>
          <w:rFonts w:ascii="Garamond" w:hAnsi="Garamond"/>
          <w:sz w:val="24"/>
          <w:szCs w:val="24"/>
        </w:rPr>
        <w:t>l ejercicio filosófico</w:t>
      </w:r>
      <w:r w:rsidRPr="00E0343D">
        <w:rPr>
          <w:rFonts w:ascii="Garamond" w:hAnsi="Garamond"/>
          <w:sz w:val="24"/>
          <w:szCs w:val="24"/>
        </w:rPr>
        <w:t xml:space="preserve"> de pensadores más modernos. En este seminario nos concentraremos en uno de estos ejercicios, a saber, el de K</w:t>
      </w:r>
      <w:r w:rsidR="00623FFB" w:rsidRPr="00E0343D">
        <w:rPr>
          <w:rFonts w:ascii="Garamond" w:hAnsi="Garamond"/>
          <w:sz w:val="24"/>
          <w:szCs w:val="24"/>
        </w:rPr>
        <w:t>ant. Tal como el antiguo maestro</w:t>
      </w:r>
      <w:r w:rsidRPr="00E0343D">
        <w:rPr>
          <w:rFonts w:ascii="Garamond" w:hAnsi="Garamond"/>
          <w:sz w:val="24"/>
          <w:szCs w:val="24"/>
        </w:rPr>
        <w:t xml:space="preserve"> Sócra</w:t>
      </w:r>
      <w:r w:rsidR="00623FFB" w:rsidRPr="00E0343D">
        <w:rPr>
          <w:rFonts w:ascii="Garamond" w:hAnsi="Garamond"/>
          <w:sz w:val="24"/>
          <w:szCs w:val="24"/>
        </w:rPr>
        <w:t>tes, Kant, luego de presentar el</w:t>
      </w:r>
      <w:r w:rsidRPr="00E0343D">
        <w:rPr>
          <w:rFonts w:ascii="Garamond" w:hAnsi="Garamond"/>
          <w:sz w:val="24"/>
          <w:szCs w:val="24"/>
        </w:rPr>
        <w:t xml:space="preserve"> problema </w:t>
      </w:r>
      <w:r w:rsidR="00500B56" w:rsidRPr="00E0343D">
        <w:rPr>
          <w:rFonts w:ascii="Garamond" w:hAnsi="Garamond"/>
          <w:sz w:val="24"/>
          <w:szCs w:val="24"/>
        </w:rPr>
        <w:t>de</w:t>
      </w:r>
      <w:r w:rsidR="00623FFB" w:rsidRPr="00E0343D">
        <w:rPr>
          <w:rFonts w:ascii="Garamond" w:hAnsi="Garamond"/>
          <w:sz w:val="24"/>
          <w:szCs w:val="24"/>
        </w:rPr>
        <w:t>l</w:t>
      </w:r>
      <w:r w:rsidR="00500B56" w:rsidRPr="00E0343D">
        <w:rPr>
          <w:rFonts w:ascii="Garamond" w:hAnsi="Garamond"/>
          <w:sz w:val="24"/>
          <w:szCs w:val="24"/>
        </w:rPr>
        <w:t xml:space="preserve"> conocimiento metafísico</w:t>
      </w:r>
      <w:r w:rsidRPr="00E0343D">
        <w:rPr>
          <w:rFonts w:ascii="Garamond" w:hAnsi="Garamond"/>
          <w:sz w:val="24"/>
          <w:szCs w:val="24"/>
        </w:rPr>
        <w:t xml:space="preserve">, </w:t>
      </w:r>
      <w:r w:rsidR="004559BE" w:rsidRPr="00E0343D">
        <w:rPr>
          <w:rFonts w:ascii="Garamond" w:hAnsi="Garamond"/>
          <w:sz w:val="24"/>
          <w:szCs w:val="24"/>
        </w:rPr>
        <w:t xml:space="preserve">se </w:t>
      </w:r>
      <w:r w:rsidRPr="00E0343D">
        <w:rPr>
          <w:rFonts w:ascii="Garamond" w:hAnsi="Garamond"/>
          <w:sz w:val="24"/>
          <w:szCs w:val="24"/>
        </w:rPr>
        <w:t>propone</w:t>
      </w:r>
      <w:r w:rsidR="004559BE" w:rsidRPr="00E0343D">
        <w:rPr>
          <w:rFonts w:ascii="Garamond" w:hAnsi="Garamond"/>
          <w:sz w:val="24"/>
          <w:szCs w:val="24"/>
        </w:rPr>
        <w:t xml:space="preserve"> la más difícil de todas la</w:t>
      </w:r>
      <w:r w:rsidR="00623FFB" w:rsidRPr="00E0343D">
        <w:rPr>
          <w:rFonts w:ascii="Garamond" w:hAnsi="Garamond"/>
          <w:sz w:val="24"/>
          <w:szCs w:val="24"/>
        </w:rPr>
        <w:t>s</w:t>
      </w:r>
      <w:r w:rsidR="004559BE" w:rsidRPr="00E0343D">
        <w:rPr>
          <w:rFonts w:ascii="Garamond" w:hAnsi="Garamond"/>
          <w:sz w:val="24"/>
          <w:szCs w:val="24"/>
        </w:rPr>
        <w:t xml:space="preserve"> tareas, a saber, la del autocon</w:t>
      </w:r>
      <w:r w:rsidR="00047F03" w:rsidRPr="00E0343D">
        <w:rPr>
          <w:rFonts w:ascii="Garamond" w:hAnsi="Garamond"/>
          <w:sz w:val="24"/>
          <w:szCs w:val="24"/>
        </w:rPr>
        <w:t>o</w:t>
      </w:r>
      <w:r w:rsidR="004559BE" w:rsidRPr="00E0343D">
        <w:rPr>
          <w:rFonts w:ascii="Garamond" w:hAnsi="Garamond"/>
          <w:sz w:val="24"/>
          <w:szCs w:val="24"/>
        </w:rPr>
        <w:t>cimiento (</w:t>
      </w:r>
      <w:r w:rsidR="00623FFB" w:rsidRPr="00E0343D">
        <w:rPr>
          <w:rFonts w:ascii="Garamond" w:hAnsi="Garamond"/>
          <w:sz w:val="24"/>
          <w:szCs w:val="24"/>
        </w:rPr>
        <w:t xml:space="preserve">Cfr. </w:t>
      </w:r>
      <w:r w:rsidR="004559BE" w:rsidRPr="00E0343D">
        <w:rPr>
          <w:rFonts w:ascii="Garamond" w:hAnsi="Garamond"/>
          <w:sz w:val="24"/>
          <w:szCs w:val="24"/>
        </w:rPr>
        <w:t>A xi)</w:t>
      </w:r>
      <w:r w:rsidR="00500B56" w:rsidRPr="00E0343D">
        <w:rPr>
          <w:rFonts w:ascii="Garamond" w:hAnsi="Garamond"/>
          <w:sz w:val="24"/>
          <w:szCs w:val="24"/>
        </w:rPr>
        <w:t>,</w:t>
      </w:r>
      <w:r w:rsidRPr="00E0343D">
        <w:rPr>
          <w:rFonts w:ascii="Garamond" w:hAnsi="Garamond"/>
          <w:sz w:val="24"/>
          <w:szCs w:val="24"/>
        </w:rPr>
        <w:t xml:space="preserve"> </w:t>
      </w:r>
      <w:r w:rsidR="004559BE" w:rsidRPr="00E0343D">
        <w:rPr>
          <w:rFonts w:ascii="Garamond" w:hAnsi="Garamond"/>
          <w:sz w:val="24"/>
          <w:szCs w:val="24"/>
        </w:rPr>
        <w:t xml:space="preserve">con el objetivo de examinar qué efectivamente podemos conocer y qué no. En palabras del filósofo: “la determinación, tanto de las fuentes, como del alcance y los límites (del conocimiento humano)” (A xii). Lo interesante de esta propuesta es que, con la meta de responder a la pregunta ¿qué podemos conocer?, Kant propone examinar </w:t>
      </w:r>
      <w:r w:rsidR="00500B56" w:rsidRPr="00E0343D">
        <w:rPr>
          <w:rFonts w:ascii="Garamond" w:hAnsi="Garamond"/>
          <w:sz w:val="24"/>
          <w:szCs w:val="24"/>
        </w:rPr>
        <w:t>có</w:t>
      </w:r>
      <w:r w:rsidR="00DB437B" w:rsidRPr="00E0343D">
        <w:rPr>
          <w:rFonts w:ascii="Garamond" w:hAnsi="Garamond"/>
          <w:sz w:val="24"/>
          <w:szCs w:val="24"/>
        </w:rPr>
        <w:t xml:space="preserve">mo </w:t>
      </w:r>
      <w:r w:rsidR="00500B56" w:rsidRPr="00E0343D">
        <w:rPr>
          <w:rFonts w:ascii="Garamond" w:hAnsi="Garamond"/>
          <w:i/>
          <w:sz w:val="24"/>
          <w:szCs w:val="24"/>
        </w:rPr>
        <w:t>n</w:t>
      </w:r>
      <w:r w:rsidR="00DB437B" w:rsidRPr="00E0343D">
        <w:rPr>
          <w:rFonts w:ascii="Garamond" w:hAnsi="Garamond"/>
          <w:i/>
          <w:sz w:val="24"/>
          <w:szCs w:val="24"/>
        </w:rPr>
        <w:t xml:space="preserve">uestras </w:t>
      </w:r>
      <w:r w:rsidR="004559BE" w:rsidRPr="00E0343D">
        <w:rPr>
          <w:rFonts w:ascii="Garamond" w:hAnsi="Garamond"/>
          <w:sz w:val="24"/>
          <w:szCs w:val="24"/>
        </w:rPr>
        <w:t>facultades y co</w:t>
      </w:r>
      <w:r w:rsidR="00500B56" w:rsidRPr="00E0343D">
        <w:rPr>
          <w:rFonts w:ascii="Garamond" w:hAnsi="Garamond"/>
          <w:sz w:val="24"/>
          <w:szCs w:val="24"/>
        </w:rPr>
        <w:t>ndiciones a priori</w:t>
      </w:r>
      <w:r w:rsidR="00623FFB" w:rsidRPr="00E0343D">
        <w:rPr>
          <w:rFonts w:ascii="Garamond" w:hAnsi="Garamond"/>
          <w:sz w:val="24"/>
          <w:szCs w:val="24"/>
        </w:rPr>
        <w:t xml:space="preserve"> </w:t>
      </w:r>
      <w:r w:rsidR="00DB437B" w:rsidRPr="00E0343D">
        <w:rPr>
          <w:rFonts w:ascii="Garamond" w:hAnsi="Garamond"/>
          <w:sz w:val="24"/>
          <w:szCs w:val="24"/>
        </w:rPr>
        <w:t>hacen posible el conocimiento, es decir, para saber algo sobre las cosas del mundo, es</w:t>
      </w:r>
      <w:r w:rsidR="00623FFB" w:rsidRPr="00E0343D">
        <w:rPr>
          <w:rFonts w:ascii="Garamond" w:hAnsi="Garamond"/>
          <w:sz w:val="24"/>
          <w:szCs w:val="24"/>
        </w:rPr>
        <w:t xml:space="preserve"> necesari</w:t>
      </w:r>
      <w:r w:rsidR="00DB437B" w:rsidRPr="00E0343D">
        <w:rPr>
          <w:rFonts w:ascii="Garamond" w:hAnsi="Garamond"/>
          <w:sz w:val="24"/>
          <w:szCs w:val="24"/>
        </w:rPr>
        <w:t xml:space="preserve">o aclarar lo que </w:t>
      </w:r>
      <w:r w:rsidR="00DB437B" w:rsidRPr="00E0343D">
        <w:rPr>
          <w:rFonts w:ascii="Garamond" w:hAnsi="Garamond"/>
          <w:i/>
          <w:sz w:val="24"/>
          <w:szCs w:val="24"/>
        </w:rPr>
        <w:t xml:space="preserve">en nosotros </w:t>
      </w:r>
      <w:r w:rsidR="00DB437B" w:rsidRPr="00E0343D">
        <w:rPr>
          <w:rFonts w:ascii="Garamond" w:hAnsi="Garamond"/>
          <w:sz w:val="24"/>
          <w:szCs w:val="24"/>
        </w:rPr>
        <w:t>hace posible ese conocimiento; an</w:t>
      </w:r>
      <w:r w:rsidR="00623FFB" w:rsidRPr="00E0343D">
        <w:rPr>
          <w:rFonts w:ascii="Garamond" w:hAnsi="Garamond"/>
          <w:sz w:val="24"/>
          <w:szCs w:val="24"/>
        </w:rPr>
        <w:t>tes del conocimiento en general</w:t>
      </w:r>
      <w:r w:rsidR="00DB437B" w:rsidRPr="00E0343D">
        <w:rPr>
          <w:rFonts w:ascii="Garamond" w:hAnsi="Garamond"/>
          <w:sz w:val="24"/>
          <w:szCs w:val="24"/>
        </w:rPr>
        <w:t xml:space="preserve"> es necesario el autoconocimiento</w:t>
      </w:r>
      <w:r w:rsidR="00DB437B" w:rsidRPr="00E0343D">
        <w:rPr>
          <w:rFonts w:ascii="Garamond" w:hAnsi="Garamond"/>
          <w:i/>
          <w:sz w:val="24"/>
          <w:szCs w:val="24"/>
        </w:rPr>
        <w:t>.</w:t>
      </w:r>
    </w:p>
    <w:p w:rsidR="00DB437B" w:rsidRPr="00E0343D" w:rsidRDefault="00DB437B" w:rsidP="001679C5">
      <w:pPr>
        <w:jc w:val="both"/>
        <w:rPr>
          <w:rFonts w:ascii="Garamond" w:hAnsi="Garamond"/>
          <w:sz w:val="24"/>
          <w:szCs w:val="24"/>
        </w:rPr>
      </w:pPr>
      <w:r w:rsidRPr="00E0343D">
        <w:rPr>
          <w:rFonts w:ascii="Garamond" w:hAnsi="Garamond"/>
          <w:sz w:val="24"/>
          <w:szCs w:val="24"/>
        </w:rPr>
        <w:t>En el examen de estas facultades subjetivas</w:t>
      </w:r>
      <w:r w:rsidR="00500B56" w:rsidRPr="00E0343D">
        <w:rPr>
          <w:rFonts w:ascii="Garamond" w:hAnsi="Garamond"/>
          <w:sz w:val="24"/>
          <w:szCs w:val="24"/>
        </w:rPr>
        <w:t>,</w:t>
      </w:r>
      <w:r w:rsidRPr="00E0343D">
        <w:rPr>
          <w:rFonts w:ascii="Garamond" w:hAnsi="Garamond"/>
          <w:sz w:val="24"/>
          <w:szCs w:val="24"/>
        </w:rPr>
        <w:t xml:space="preserve"> Kant presenta al m</w:t>
      </w:r>
      <w:r w:rsidR="00500B56" w:rsidRPr="00E0343D">
        <w:rPr>
          <w:rFonts w:ascii="Garamond" w:hAnsi="Garamond"/>
          <w:sz w:val="24"/>
          <w:szCs w:val="24"/>
        </w:rPr>
        <w:t>e</w:t>
      </w:r>
      <w:r w:rsidRPr="00E0343D">
        <w:rPr>
          <w:rFonts w:ascii="Garamond" w:hAnsi="Garamond"/>
          <w:sz w:val="24"/>
          <w:szCs w:val="24"/>
        </w:rPr>
        <w:t>nos</w:t>
      </w:r>
      <w:r w:rsidR="00500B56" w:rsidRPr="00E0343D">
        <w:rPr>
          <w:rFonts w:ascii="Garamond" w:hAnsi="Garamond"/>
          <w:sz w:val="24"/>
          <w:szCs w:val="24"/>
        </w:rPr>
        <w:t xml:space="preserve"> dos</w:t>
      </w:r>
      <w:r w:rsidRPr="00E0343D">
        <w:rPr>
          <w:rFonts w:ascii="Garamond" w:hAnsi="Garamond"/>
          <w:sz w:val="24"/>
          <w:szCs w:val="24"/>
        </w:rPr>
        <w:t>, una de las cuales va a ser de suma importancia para este seminario, a saber, el entendimiento. El entendimiento parece ser la facultad que, en general, realiza la actividad de síntesis del material disperso y múltiple del que nos provee el mundo. Lo interesante de esto, es que, en cierto se</w:t>
      </w:r>
      <w:r w:rsidR="006B745D" w:rsidRPr="00E0343D">
        <w:rPr>
          <w:rFonts w:ascii="Garamond" w:hAnsi="Garamond"/>
          <w:sz w:val="24"/>
          <w:szCs w:val="24"/>
        </w:rPr>
        <w:t xml:space="preserve">ntido, </w:t>
      </w:r>
      <w:r w:rsidR="006B745D" w:rsidRPr="00E0343D">
        <w:rPr>
          <w:rFonts w:ascii="Garamond" w:hAnsi="Garamond"/>
          <w:i/>
          <w:sz w:val="24"/>
          <w:szCs w:val="24"/>
        </w:rPr>
        <w:t>solo puedo tener conciencia de los objetos como siendo algo para mí</w:t>
      </w:r>
      <w:r w:rsidR="006B745D" w:rsidRPr="00E0343D">
        <w:rPr>
          <w:rFonts w:ascii="Garamond" w:hAnsi="Garamond"/>
          <w:sz w:val="24"/>
          <w:szCs w:val="24"/>
        </w:rPr>
        <w:t xml:space="preserve">, es decir, en algún sentido, sólo puedo tener conciencia de objetos cuando tengo </w:t>
      </w:r>
      <w:r w:rsidR="006B745D" w:rsidRPr="00E0343D">
        <w:rPr>
          <w:rFonts w:ascii="Garamond" w:hAnsi="Garamond"/>
          <w:i/>
          <w:sz w:val="24"/>
          <w:szCs w:val="24"/>
        </w:rPr>
        <w:t xml:space="preserve">“conciencia de mí mismo” </w:t>
      </w:r>
      <w:r w:rsidR="006B745D" w:rsidRPr="00E0343D">
        <w:rPr>
          <w:rFonts w:ascii="Garamond" w:hAnsi="Garamond"/>
          <w:sz w:val="24"/>
          <w:szCs w:val="24"/>
        </w:rPr>
        <w:t xml:space="preserve">bajo la extraña forma de unidad que Kant propone con el nombre de </w:t>
      </w:r>
      <w:r w:rsidR="006B745D" w:rsidRPr="00E0343D">
        <w:rPr>
          <w:rFonts w:ascii="Garamond" w:hAnsi="Garamond"/>
          <w:i/>
          <w:sz w:val="24"/>
          <w:szCs w:val="24"/>
        </w:rPr>
        <w:t xml:space="preserve">unidad sintético originaria de la apercepción. </w:t>
      </w:r>
      <w:r w:rsidR="006B745D" w:rsidRPr="00E0343D">
        <w:rPr>
          <w:rFonts w:ascii="Garamond" w:hAnsi="Garamond"/>
          <w:sz w:val="24"/>
          <w:szCs w:val="24"/>
        </w:rPr>
        <w:t>(Cfr. B 133)</w:t>
      </w:r>
    </w:p>
    <w:p w:rsidR="00CE71B6" w:rsidRDefault="006B745D" w:rsidP="001679C5">
      <w:pPr>
        <w:jc w:val="both"/>
        <w:rPr>
          <w:rFonts w:ascii="Garamond" w:hAnsi="Garamond"/>
          <w:sz w:val="24"/>
          <w:szCs w:val="24"/>
        </w:rPr>
      </w:pPr>
      <w:r w:rsidRPr="00E0343D">
        <w:rPr>
          <w:rFonts w:ascii="Garamond" w:hAnsi="Garamond"/>
          <w:sz w:val="24"/>
          <w:szCs w:val="24"/>
        </w:rPr>
        <w:t>Esta propuesta kantiana no estuvo exenta de cuestionamientos, los cuales originaron toda una nueva época en filosofía</w:t>
      </w:r>
      <w:r w:rsidR="004B2AA3" w:rsidRPr="00E0343D">
        <w:rPr>
          <w:rFonts w:ascii="Garamond" w:hAnsi="Garamond"/>
          <w:sz w:val="24"/>
          <w:szCs w:val="24"/>
        </w:rPr>
        <w:t>, a saber, el Idealismo Alemán</w:t>
      </w:r>
      <w:r w:rsidR="00CE71B6" w:rsidRPr="00E0343D">
        <w:rPr>
          <w:rFonts w:ascii="Garamond" w:hAnsi="Garamond"/>
          <w:sz w:val="24"/>
          <w:szCs w:val="24"/>
        </w:rPr>
        <w:t>. E</w:t>
      </w:r>
      <w:r w:rsidRPr="00E0343D">
        <w:rPr>
          <w:rFonts w:ascii="Garamond" w:hAnsi="Garamond"/>
          <w:sz w:val="24"/>
          <w:szCs w:val="24"/>
        </w:rPr>
        <w:t xml:space="preserve">l más conocido de todos es el de Fichte, el cual intenta responder la pregunta que guiará este seminario: “¿qué significa o en qué consiste ser consciente de nosotros mismos?” </w:t>
      </w:r>
      <w:r w:rsidR="001679C5" w:rsidRPr="00E0343D">
        <w:rPr>
          <w:rFonts w:ascii="Garamond" w:hAnsi="Garamond"/>
          <w:sz w:val="24"/>
          <w:szCs w:val="24"/>
        </w:rPr>
        <w:t xml:space="preserve">Puesto que parece ser </w:t>
      </w:r>
      <w:r w:rsidR="00500B56" w:rsidRPr="00E0343D">
        <w:rPr>
          <w:rFonts w:ascii="Garamond" w:hAnsi="Garamond"/>
          <w:sz w:val="24"/>
          <w:szCs w:val="24"/>
        </w:rPr>
        <w:t xml:space="preserve">que </w:t>
      </w:r>
      <w:r w:rsidR="001679C5" w:rsidRPr="00E0343D">
        <w:rPr>
          <w:rFonts w:ascii="Garamond" w:hAnsi="Garamond"/>
          <w:sz w:val="24"/>
          <w:szCs w:val="24"/>
        </w:rPr>
        <w:t>en el ejercicio de conocernos a nosotros mismos, nos damos cuenta que aquello que está a la base de todo ese cono</w:t>
      </w:r>
      <w:r w:rsidR="00500B56" w:rsidRPr="00E0343D">
        <w:rPr>
          <w:rFonts w:ascii="Garamond" w:hAnsi="Garamond"/>
          <w:sz w:val="24"/>
          <w:szCs w:val="24"/>
        </w:rPr>
        <w:t xml:space="preserve">cimiento es </w:t>
      </w:r>
      <w:r w:rsidR="004B2AA3" w:rsidRPr="00E0343D">
        <w:rPr>
          <w:rFonts w:ascii="Garamond" w:hAnsi="Garamond"/>
          <w:i/>
          <w:sz w:val="24"/>
          <w:szCs w:val="24"/>
        </w:rPr>
        <w:t>todo menos</w:t>
      </w:r>
      <w:r w:rsidR="001679C5" w:rsidRPr="00E0343D">
        <w:rPr>
          <w:rFonts w:ascii="Garamond" w:hAnsi="Garamond"/>
          <w:i/>
          <w:sz w:val="24"/>
          <w:szCs w:val="24"/>
        </w:rPr>
        <w:t xml:space="preserve"> nosotros</w:t>
      </w:r>
      <w:r w:rsidR="00500B56" w:rsidRPr="00E0343D">
        <w:rPr>
          <w:rFonts w:ascii="Garamond" w:hAnsi="Garamond"/>
          <w:i/>
          <w:sz w:val="24"/>
          <w:szCs w:val="24"/>
        </w:rPr>
        <w:t xml:space="preserve"> mismos</w:t>
      </w:r>
      <w:r w:rsidR="001679C5" w:rsidRPr="00E0343D">
        <w:rPr>
          <w:rFonts w:ascii="Garamond" w:hAnsi="Garamond"/>
          <w:sz w:val="24"/>
          <w:szCs w:val="24"/>
        </w:rPr>
        <w:t>, sino solo una actividad de síntesis de lo múltiple</w:t>
      </w:r>
      <w:r w:rsidR="00500B56" w:rsidRPr="00E0343D">
        <w:rPr>
          <w:rFonts w:ascii="Garamond" w:hAnsi="Garamond"/>
          <w:sz w:val="24"/>
          <w:szCs w:val="24"/>
        </w:rPr>
        <w:t xml:space="preserve"> que</w:t>
      </w:r>
      <w:r w:rsidR="00987ACD" w:rsidRPr="00E0343D">
        <w:rPr>
          <w:rFonts w:ascii="Garamond" w:hAnsi="Garamond"/>
          <w:sz w:val="24"/>
          <w:szCs w:val="24"/>
        </w:rPr>
        <w:t xml:space="preserve"> permite que</w:t>
      </w:r>
      <w:r w:rsidR="00500B56" w:rsidRPr="00E0343D">
        <w:rPr>
          <w:rFonts w:ascii="Garamond" w:hAnsi="Garamond"/>
          <w:sz w:val="24"/>
          <w:szCs w:val="24"/>
        </w:rPr>
        <w:t xml:space="preserve"> </w:t>
      </w:r>
      <w:r w:rsidR="00500B56" w:rsidRPr="00E0343D">
        <w:rPr>
          <w:rFonts w:ascii="Garamond" w:hAnsi="Garamond"/>
          <w:i/>
          <w:sz w:val="24"/>
          <w:szCs w:val="24"/>
        </w:rPr>
        <w:t xml:space="preserve">todos </w:t>
      </w:r>
      <w:r w:rsidR="00500B56" w:rsidRPr="00E0343D">
        <w:rPr>
          <w:rFonts w:ascii="Garamond" w:hAnsi="Garamond"/>
          <w:sz w:val="24"/>
          <w:szCs w:val="24"/>
        </w:rPr>
        <w:t>conozcamos</w:t>
      </w:r>
      <w:r w:rsidR="001679C5" w:rsidRPr="00E0343D">
        <w:rPr>
          <w:rFonts w:ascii="Garamond" w:hAnsi="Garamond"/>
          <w:sz w:val="24"/>
          <w:szCs w:val="24"/>
        </w:rPr>
        <w:t>.</w:t>
      </w:r>
      <w:r w:rsidR="00555F0B" w:rsidRPr="00E0343D">
        <w:rPr>
          <w:rFonts w:ascii="Garamond" w:hAnsi="Garamond"/>
          <w:sz w:val="24"/>
          <w:szCs w:val="24"/>
        </w:rPr>
        <w:t xml:space="preserve"> Además de</w:t>
      </w:r>
      <w:r w:rsidR="00F01268">
        <w:rPr>
          <w:rFonts w:ascii="Garamond" w:hAnsi="Garamond"/>
          <w:sz w:val="24"/>
          <w:szCs w:val="24"/>
        </w:rPr>
        <w:t xml:space="preserve"> que</w:t>
      </w:r>
      <w:r w:rsidR="00555F0B" w:rsidRPr="00E0343D">
        <w:rPr>
          <w:rFonts w:ascii="Garamond" w:hAnsi="Garamond"/>
          <w:sz w:val="24"/>
          <w:szCs w:val="24"/>
        </w:rPr>
        <w:t xml:space="preserve"> se identifica el problema de en qué medida nuestra </w:t>
      </w:r>
      <w:r w:rsidR="00D127D4">
        <w:rPr>
          <w:rFonts w:ascii="Garamond" w:hAnsi="Garamond"/>
          <w:sz w:val="24"/>
          <w:szCs w:val="24"/>
        </w:rPr>
        <w:t>auto</w:t>
      </w:r>
      <w:r w:rsidR="00555F0B" w:rsidRPr="00E0343D">
        <w:rPr>
          <w:rFonts w:ascii="Garamond" w:hAnsi="Garamond"/>
          <w:sz w:val="24"/>
          <w:szCs w:val="24"/>
        </w:rPr>
        <w:t xml:space="preserve">conciencia es la conciencia </w:t>
      </w:r>
      <w:r w:rsidR="00555F0B" w:rsidRPr="00E0343D">
        <w:rPr>
          <w:rFonts w:ascii="Garamond" w:hAnsi="Garamond"/>
          <w:i/>
          <w:sz w:val="24"/>
          <w:szCs w:val="24"/>
        </w:rPr>
        <w:t>de algo</w:t>
      </w:r>
      <w:r w:rsidR="00555F0B" w:rsidRPr="00E0343D">
        <w:rPr>
          <w:rFonts w:ascii="Garamond" w:hAnsi="Garamond"/>
          <w:sz w:val="24"/>
          <w:szCs w:val="24"/>
        </w:rPr>
        <w:t>.</w:t>
      </w:r>
    </w:p>
    <w:p w:rsidR="006004FB" w:rsidRPr="006004FB" w:rsidRDefault="006004FB" w:rsidP="001679C5">
      <w:pPr>
        <w:jc w:val="both"/>
        <w:rPr>
          <w:rFonts w:ascii="Garamond" w:hAnsi="Garamond"/>
          <w:sz w:val="24"/>
          <w:szCs w:val="24"/>
        </w:rPr>
      </w:pPr>
      <w:r>
        <w:rPr>
          <w:rFonts w:ascii="Garamond" w:hAnsi="Garamond"/>
          <w:sz w:val="24"/>
          <w:szCs w:val="24"/>
        </w:rPr>
        <w:lastRenderedPageBreak/>
        <w:t>Sin embargo, tal parece que la consideración fichteana del problema nos lleva pensar que el fenómeno de la autoconciencia tal como se ha planteado tendría más sentido en un contexto práctico (de la acción) que en uno teórico (de conocimiento de objetos). Esto puede ser encontrado en el mismo Kant a partir del examen del concepto de “conciencia moral” (</w:t>
      </w:r>
      <w:r>
        <w:rPr>
          <w:rFonts w:ascii="Garamond" w:hAnsi="Garamond"/>
          <w:i/>
          <w:sz w:val="24"/>
          <w:szCs w:val="24"/>
        </w:rPr>
        <w:t>Gewissen</w:t>
      </w:r>
      <w:r>
        <w:rPr>
          <w:rFonts w:ascii="Garamond" w:hAnsi="Garamond"/>
          <w:sz w:val="24"/>
          <w:szCs w:val="24"/>
        </w:rPr>
        <w:t>)</w:t>
      </w:r>
    </w:p>
    <w:p w:rsidR="006B745D" w:rsidRPr="00E0343D" w:rsidRDefault="00CE71B6" w:rsidP="001679C5">
      <w:pPr>
        <w:jc w:val="both"/>
        <w:rPr>
          <w:rFonts w:ascii="Garamond" w:hAnsi="Garamond"/>
          <w:b/>
          <w:sz w:val="24"/>
          <w:szCs w:val="24"/>
        </w:rPr>
      </w:pPr>
      <w:r w:rsidRPr="00E0343D">
        <w:rPr>
          <w:rFonts w:ascii="Garamond" w:hAnsi="Garamond"/>
          <w:sz w:val="24"/>
          <w:szCs w:val="24"/>
        </w:rPr>
        <w:t xml:space="preserve">Por lo tanto, este seminario se propone dos cosas. La primera es exponer </w:t>
      </w:r>
      <w:r w:rsidR="006A7102">
        <w:rPr>
          <w:rFonts w:ascii="Garamond" w:hAnsi="Garamond"/>
          <w:sz w:val="24"/>
          <w:szCs w:val="24"/>
        </w:rPr>
        <w:t xml:space="preserve">en qué consiste la tarea de la </w:t>
      </w:r>
      <w:r w:rsidR="006A7102" w:rsidRPr="006A7102">
        <w:rPr>
          <w:rFonts w:ascii="Garamond" w:hAnsi="Garamond"/>
          <w:i/>
          <w:sz w:val="24"/>
          <w:szCs w:val="24"/>
        </w:rPr>
        <w:t>Crítica de la Razón P</w:t>
      </w:r>
      <w:r w:rsidRPr="006A7102">
        <w:rPr>
          <w:rFonts w:ascii="Garamond" w:hAnsi="Garamond"/>
          <w:i/>
          <w:sz w:val="24"/>
          <w:szCs w:val="24"/>
        </w:rPr>
        <w:t>ura</w:t>
      </w:r>
      <w:r w:rsidRPr="00E0343D">
        <w:rPr>
          <w:rFonts w:ascii="Garamond" w:hAnsi="Garamond"/>
          <w:sz w:val="24"/>
          <w:szCs w:val="24"/>
        </w:rPr>
        <w:t xml:space="preserve"> mediante la cual se realiza el ejercicio del autocon</w:t>
      </w:r>
      <w:r w:rsidR="00555F0B" w:rsidRPr="00E0343D">
        <w:rPr>
          <w:rFonts w:ascii="Garamond" w:hAnsi="Garamond"/>
          <w:sz w:val="24"/>
          <w:szCs w:val="24"/>
        </w:rPr>
        <w:t>o</w:t>
      </w:r>
      <w:r w:rsidRPr="00E0343D">
        <w:rPr>
          <w:rFonts w:ascii="Garamond" w:hAnsi="Garamond"/>
          <w:sz w:val="24"/>
          <w:szCs w:val="24"/>
        </w:rPr>
        <w:t>cimiento y cuy</w:t>
      </w:r>
      <w:r w:rsidR="001679C5" w:rsidRPr="00E0343D">
        <w:rPr>
          <w:rFonts w:ascii="Garamond" w:hAnsi="Garamond"/>
          <w:sz w:val="24"/>
          <w:szCs w:val="24"/>
        </w:rPr>
        <w:t>o momento más</w:t>
      </w:r>
      <w:r w:rsidR="00500B56" w:rsidRPr="00E0343D">
        <w:rPr>
          <w:rFonts w:ascii="Garamond" w:hAnsi="Garamond"/>
          <w:sz w:val="24"/>
          <w:szCs w:val="24"/>
        </w:rPr>
        <w:t xml:space="preserve"> alto</w:t>
      </w:r>
      <w:r w:rsidR="001679C5" w:rsidRPr="00E0343D">
        <w:rPr>
          <w:rFonts w:ascii="Garamond" w:hAnsi="Garamond"/>
          <w:sz w:val="24"/>
          <w:szCs w:val="24"/>
        </w:rPr>
        <w:t>, en cierto sentido, es</w:t>
      </w:r>
      <w:r w:rsidRPr="00E0343D">
        <w:rPr>
          <w:rFonts w:ascii="Garamond" w:hAnsi="Garamond"/>
          <w:sz w:val="24"/>
          <w:szCs w:val="24"/>
        </w:rPr>
        <w:t xml:space="preserve"> la autoco</w:t>
      </w:r>
      <w:r w:rsidR="004B2AA3" w:rsidRPr="00E0343D">
        <w:rPr>
          <w:rFonts w:ascii="Garamond" w:hAnsi="Garamond"/>
          <w:sz w:val="24"/>
          <w:szCs w:val="24"/>
        </w:rPr>
        <w:t>nciencia</w:t>
      </w:r>
      <w:r w:rsidRPr="00E0343D">
        <w:rPr>
          <w:rFonts w:ascii="Garamond" w:hAnsi="Garamond"/>
          <w:sz w:val="24"/>
          <w:szCs w:val="24"/>
        </w:rPr>
        <w:t xml:space="preserve">. Y la segunda es exponer al menos un problema que surge a partir de esta propuesta kantiana, a saber, ¿es posible tener conciencia de </w:t>
      </w:r>
      <w:r w:rsidRPr="006004FB">
        <w:rPr>
          <w:rFonts w:ascii="Garamond" w:hAnsi="Garamond"/>
          <w:i/>
          <w:sz w:val="24"/>
          <w:szCs w:val="24"/>
        </w:rPr>
        <w:t>nosotros mismos</w:t>
      </w:r>
      <w:r w:rsidRPr="00E0343D">
        <w:rPr>
          <w:rFonts w:ascii="Garamond" w:hAnsi="Garamond"/>
          <w:sz w:val="24"/>
          <w:szCs w:val="24"/>
        </w:rPr>
        <w:t>?</w:t>
      </w:r>
    </w:p>
    <w:p w:rsidR="004B2AA3" w:rsidRPr="00E0343D" w:rsidRDefault="004B2AA3" w:rsidP="0070077C">
      <w:pPr>
        <w:pStyle w:val="Prrafodelista"/>
        <w:numPr>
          <w:ilvl w:val="0"/>
          <w:numId w:val="1"/>
        </w:numPr>
        <w:jc w:val="both"/>
        <w:rPr>
          <w:rFonts w:ascii="Garamond" w:hAnsi="Garamond"/>
          <w:b/>
          <w:sz w:val="24"/>
          <w:szCs w:val="24"/>
        </w:rPr>
      </w:pPr>
      <w:r w:rsidRPr="00E0343D">
        <w:rPr>
          <w:rFonts w:ascii="Garamond" w:hAnsi="Garamond"/>
          <w:b/>
          <w:sz w:val="24"/>
          <w:szCs w:val="24"/>
        </w:rPr>
        <w:t>Objetivos generales</w:t>
      </w:r>
    </w:p>
    <w:p w:rsidR="00913EE2" w:rsidRPr="00E0343D" w:rsidRDefault="00AE65BF" w:rsidP="00AE65BF">
      <w:pPr>
        <w:jc w:val="both"/>
        <w:rPr>
          <w:rFonts w:ascii="Garamond" w:hAnsi="Garamond"/>
          <w:sz w:val="24"/>
          <w:szCs w:val="24"/>
        </w:rPr>
      </w:pPr>
      <w:r w:rsidRPr="00E0343D">
        <w:rPr>
          <w:rFonts w:ascii="Garamond" w:hAnsi="Garamond"/>
          <w:sz w:val="24"/>
          <w:szCs w:val="24"/>
        </w:rPr>
        <w:t xml:space="preserve">Se espera que los estudiantes </w:t>
      </w:r>
      <w:r w:rsidR="00913EE2" w:rsidRPr="00E0343D">
        <w:rPr>
          <w:rFonts w:ascii="Garamond" w:hAnsi="Garamond"/>
          <w:sz w:val="24"/>
          <w:szCs w:val="24"/>
        </w:rPr>
        <w:t>adquieran las co</w:t>
      </w:r>
      <w:r w:rsidR="00F01268">
        <w:rPr>
          <w:rFonts w:ascii="Garamond" w:hAnsi="Garamond"/>
          <w:sz w:val="24"/>
          <w:szCs w:val="24"/>
        </w:rPr>
        <w:t xml:space="preserve">mpetencias suficientes para </w:t>
      </w:r>
      <w:r w:rsidR="00913EE2" w:rsidRPr="00E0343D">
        <w:rPr>
          <w:rFonts w:ascii="Garamond" w:hAnsi="Garamond"/>
          <w:sz w:val="24"/>
          <w:szCs w:val="24"/>
        </w:rPr>
        <w:t>reconocer la propuesta kantiana según la cual es necesaria la tarea del aut</w:t>
      </w:r>
      <w:r w:rsidR="000B73CA" w:rsidRPr="00E0343D">
        <w:rPr>
          <w:rFonts w:ascii="Garamond" w:hAnsi="Garamond"/>
          <w:sz w:val="24"/>
          <w:szCs w:val="24"/>
        </w:rPr>
        <w:t>oconocim</w:t>
      </w:r>
      <w:r w:rsidR="00913EE2" w:rsidRPr="00E0343D">
        <w:rPr>
          <w:rFonts w:ascii="Garamond" w:hAnsi="Garamond"/>
          <w:sz w:val="24"/>
          <w:szCs w:val="24"/>
        </w:rPr>
        <w:t>i</w:t>
      </w:r>
      <w:r w:rsidR="000B73CA" w:rsidRPr="00E0343D">
        <w:rPr>
          <w:rFonts w:ascii="Garamond" w:hAnsi="Garamond"/>
          <w:sz w:val="24"/>
          <w:szCs w:val="24"/>
        </w:rPr>
        <w:t>e</w:t>
      </w:r>
      <w:r w:rsidR="00913EE2" w:rsidRPr="00E0343D">
        <w:rPr>
          <w:rFonts w:ascii="Garamond" w:hAnsi="Garamond"/>
          <w:sz w:val="24"/>
          <w:szCs w:val="24"/>
        </w:rPr>
        <w:t xml:space="preserve">nto, además de ser capaz de utilizar ciertos conceptos que son claves para la comprensión de dicha propuesta. </w:t>
      </w:r>
    </w:p>
    <w:p w:rsidR="00AE65BF" w:rsidRPr="00E0343D" w:rsidRDefault="00913EE2" w:rsidP="00AE65BF">
      <w:pPr>
        <w:jc w:val="both"/>
        <w:rPr>
          <w:rFonts w:ascii="Garamond" w:hAnsi="Garamond"/>
          <w:sz w:val="24"/>
          <w:szCs w:val="24"/>
        </w:rPr>
      </w:pPr>
      <w:r w:rsidRPr="00E0343D">
        <w:rPr>
          <w:rFonts w:ascii="Garamond" w:hAnsi="Garamond"/>
          <w:sz w:val="24"/>
          <w:szCs w:val="24"/>
        </w:rPr>
        <w:t>Es importante que los alumnos puedan dar cuenta en qué consiste el fenómeno de la autoconciencia en Kant y exponer cuáles son los problemas que surgen del mismo a partir de la propuesta de Fichte.</w:t>
      </w:r>
      <w:r w:rsidR="006A7102">
        <w:rPr>
          <w:rFonts w:ascii="Garamond" w:hAnsi="Garamond"/>
          <w:sz w:val="24"/>
          <w:szCs w:val="24"/>
        </w:rPr>
        <w:t xml:space="preserve"> Y, por último,</w:t>
      </w:r>
      <w:r w:rsidR="00F01268">
        <w:rPr>
          <w:rFonts w:ascii="Garamond" w:hAnsi="Garamond"/>
          <w:sz w:val="24"/>
          <w:szCs w:val="24"/>
        </w:rPr>
        <w:t xml:space="preserve"> que los problemas indicados nos llevan a una consideración del fenómeno de la “autoconciencia” esta vez desde una perspectiva distinta, a saber, “la conciencia moral” (</w:t>
      </w:r>
      <w:r w:rsidR="00F01268">
        <w:rPr>
          <w:rFonts w:ascii="Garamond" w:hAnsi="Garamond"/>
          <w:i/>
          <w:sz w:val="24"/>
          <w:szCs w:val="24"/>
        </w:rPr>
        <w:t>Gewissen</w:t>
      </w:r>
      <w:r w:rsidR="00F01268">
        <w:rPr>
          <w:rFonts w:ascii="Garamond" w:hAnsi="Garamond"/>
          <w:sz w:val="24"/>
          <w:szCs w:val="24"/>
        </w:rPr>
        <w:t>)</w:t>
      </w:r>
    </w:p>
    <w:p w:rsidR="00AE65BF" w:rsidRDefault="004B2AA3" w:rsidP="00F01268">
      <w:pPr>
        <w:pStyle w:val="Prrafodelista"/>
        <w:numPr>
          <w:ilvl w:val="0"/>
          <w:numId w:val="1"/>
        </w:numPr>
        <w:jc w:val="both"/>
        <w:rPr>
          <w:rFonts w:ascii="Garamond" w:hAnsi="Garamond"/>
          <w:b/>
          <w:sz w:val="24"/>
          <w:szCs w:val="24"/>
        </w:rPr>
      </w:pPr>
      <w:r w:rsidRPr="00E0343D">
        <w:rPr>
          <w:rFonts w:ascii="Garamond" w:hAnsi="Garamond"/>
          <w:b/>
          <w:sz w:val="24"/>
          <w:szCs w:val="24"/>
        </w:rPr>
        <w:t>Objetivos específicos</w:t>
      </w:r>
    </w:p>
    <w:p w:rsidR="00F01268" w:rsidRPr="00F01268" w:rsidRDefault="00F01268" w:rsidP="00F01268">
      <w:pPr>
        <w:pStyle w:val="Prrafodelista"/>
        <w:jc w:val="both"/>
        <w:rPr>
          <w:rFonts w:ascii="Garamond" w:hAnsi="Garamond"/>
          <w:b/>
          <w:sz w:val="24"/>
          <w:szCs w:val="24"/>
        </w:rPr>
      </w:pPr>
    </w:p>
    <w:p w:rsidR="00AE65BF" w:rsidRPr="00E0343D" w:rsidRDefault="00AE65BF" w:rsidP="00AE65BF">
      <w:pPr>
        <w:pStyle w:val="Prrafodelista"/>
        <w:numPr>
          <w:ilvl w:val="0"/>
          <w:numId w:val="3"/>
        </w:numPr>
        <w:jc w:val="both"/>
        <w:rPr>
          <w:rFonts w:ascii="Garamond" w:hAnsi="Garamond"/>
          <w:sz w:val="24"/>
          <w:szCs w:val="24"/>
        </w:rPr>
      </w:pPr>
      <w:r w:rsidRPr="00E0343D">
        <w:rPr>
          <w:rFonts w:ascii="Garamond" w:hAnsi="Garamond"/>
          <w:sz w:val="24"/>
          <w:szCs w:val="24"/>
        </w:rPr>
        <w:t>Reconocer el problema partir del cual se presenta la tarea crítica</w:t>
      </w:r>
    </w:p>
    <w:p w:rsidR="00AE65BF" w:rsidRPr="00E0343D" w:rsidRDefault="00AE65BF" w:rsidP="00AE65BF">
      <w:pPr>
        <w:pStyle w:val="Prrafodelista"/>
        <w:numPr>
          <w:ilvl w:val="0"/>
          <w:numId w:val="3"/>
        </w:numPr>
        <w:jc w:val="both"/>
        <w:rPr>
          <w:rFonts w:ascii="Garamond" w:hAnsi="Garamond"/>
          <w:sz w:val="24"/>
          <w:szCs w:val="24"/>
        </w:rPr>
      </w:pPr>
      <w:r w:rsidRPr="00E0343D">
        <w:rPr>
          <w:rFonts w:ascii="Garamond" w:hAnsi="Garamond"/>
          <w:sz w:val="24"/>
          <w:szCs w:val="24"/>
        </w:rPr>
        <w:t>Entender las figuras del “tribunal de la razón” y la del “giro copernicano”</w:t>
      </w:r>
    </w:p>
    <w:p w:rsidR="00AE65BF" w:rsidRPr="00E0343D" w:rsidRDefault="00AE65BF" w:rsidP="00AE65BF">
      <w:pPr>
        <w:pStyle w:val="Prrafodelista"/>
        <w:numPr>
          <w:ilvl w:val="0"/>
          <w:numId w:val="3"/>
        </w:numPr>
        <w:jc w:val="both"/>
        <w:rPr>
          <w:rFonts w:ascii="Garamond" w:hAnsi="Garamond"/>
          <w:sz w:val="24"/>
          <w:szCs w:val="24"/>
        </w:rPr>
      </w:pPr>
      <w:r w:rsidRPr="00E0343D">
        <w:rPr>
          <w:rFonts w:ascii="Garamond" w:hAnsi="Garamond"/>
          <w:sz w:val="24"/>
          <w:szCs w:val="24"/>
        </w:rPr>
        <w:t xml:space="preserve">Comprender la función de la </w:t>
      </w:r>
      <w:r w:rsidR="0011522B">
        <w:rPr>
          <w:rFonts w:ascii="Garamond" w:hAnsi="Garamond"/>
          <w:sz w:val="24"/>
          <w:szCs w:val="24"/>
        </w:rPr>
        <w:t>“</w:t>
      </w:r>
      <w:r w:rsidRPr="00E0343D">
        <w:rPr>
          <w:rFonts w:ascii="Garamond" w:hAnsi="Garamond"/>
          <w:sz w:val="24"/>
          <w:szCs w:val="24"/>
        </w:rPr>
        <w:t>unidad sintética originaria de la apercepción</w:t>
      </w:r>
      <w:r w:rsidR="0011522B">
        <w:rPr>
          <w:rFonts w:ascii="Garamond" w:hAnsi="Garamond"/>
          <w:sz w:val="24"/>
          <w:szCs w:val="24"/>
        </w:rPr>
        <w:t>”</w:t>
      </w:r>
    </w:p>
    <w:p w:rsidR="00AE65BF" w:rsidRPr="00E0343D" w:rsidRDefault="00AE65BF" w:rsidP="00AE65BF">
      <w:pPr>
        <w:pStyle w:val="Prrafodelista"/>
        <w:numPr>
          <w:ilvl w:val="0"/>
          <w:numId w:val="3"/>
        </w:numPr>
        <w:jc w:val="both"/>
        <w:rPr>
          <w:rFonts w:ascii="Garamond" w:hAnsi="Garamond"/>
          <w:sz w:val="24"/>
          <w:szCs w:val="24"/>
        </w:rPr>
      </w:pPr>
      <w:r w:rsidRPr="00E0343D">
        <w:rPr>
          <w:rFonts w:ascii="Garamond" w:hAnsi="Garamond"/>
          <w:sz w:val="24"/>
          <w:szCs w:val="24"/>
        </w:rPr>
        <w:t>Entender la lectura de Fichte de este último punto</w:t>
      </w:r>
      <w:r w:rsidR="00F01268">
        <w:rPr>
          <w:rFonts w:ascii="Garamond" w:hAnsi="Garamond"/>
          <w:sz w:val="24"/>
          <w:szCs w:val="24"/>
        </w:rPr>
        <w:t xml:space="preserve"> y las consecuencias de su lectura (“teoría de la reflexión” y “regresión al infinito”)</w:t>
      </w:r>
    </w:p>
    <w:p w:rsidR="00AE65BF" w:rsidRPr="00E0343D" w:rsidRDefault="00F01268" w:rsidP="00AE65BF">
      <w:pPr>
        <w:pStyle w:val="Prrafodelista"/>
        <w:numPr>
          <w:ilvl w:val="0"/>
          <w:numId w:val="3"/>
        </w:numPr>
        <w:jc w:val="both"/>
        <w:rPr>
          <w:rFonts w:ascii="Garamond" w:hAnsi="Garamond"/>
          <w:sz w:val="24"/>
          <w:szCs w:val="24"/>
        </w:rPr>
      </w:pPr>
      <w:r>
        <w:rPr>
          <w:rFonts w:ascii="Garamond" w:hAnsi="Garamond"/>
          <w:sz w:val="24"/>
          <w:szCs w:val="24"/>
        </w:rPr>
        <w:t>Considerar las consecuencias “prácticas” a las que nos lleva esta propuesta</w:t>
      </w:r>
      <w:r w:rsidR="006004FB">
        <w:rPr>
          <w:rFonts w:ascii="Garamond" w:hAnsi="Garamond"/>
          <w:sz w:val="24"/>
          <w:szCs w:val="24"/>
        </w:rPr>
        <w:t xml:space="preserve"> (</w:t>
      </w:r>
      <w:r w:rsidR="006004FB">
        <w:rPr>
          <w:rFonts w:ascii="Garamond" w:hAnsi="Garamond"/>
          <w:i/>
          <w:sz w:val="24"/>
          <w:szCs w:val="24"/>
        </w:rPr>
        <w:t>Gewissen</w:t>
      </w:r>
      <w:r w:rsidR="006004FB">
        <w:rPr>
          <w:rFonts w:ascii="Garamond" w:hAnsi="Garamond"/>
          <w:sz w:val="24"/>
          <w:szCs w:val="24"/>
        </w:rPr>
        <w:t>)</w:t>
      </w:r>
      <w:r>
        <w:rPr>
          <w:rFonts w:ascii="Garamond" w:hAnsi="Garamond"/>
          <w:sz w:val="24"/>
          <w:szCs w:val="24"/>
        </w:rPr>
        <w:t xml:space="preserve"> </w:t>
      </w:r>
    </w:p>
    <w:p w:rsidR="00AE65BF" w:rsidRPr="00E0343D" w:rsidRDefault="00AE65BF" w:rsidP="00AE65BF">
      <w:pPr>
        <w:pStyle w:val="Prrafodelista"/>
        <w:ind w:left="1080"/>
        <w:jc w:val="both"/>
        <w:rPr>
          <w:rFonts w:ascii="Garamond" w:hAnsi="Garamond"/>
          <w:sz w:val="24"/>
          <w:szCs w:val="24"/>
        </w:rPr>
      </w:pPr>
    </w:p>
    <w:p w:rsidR="004B2AA3" w:rsidRPr="00E0343D" w:rsidRDefault="004B2AA3" w:rsidP="00D807DC">
      <w:pPr>
        <w:pStyle w:val="Prrafodelista"/>
        <w:numPr>
          <w:ilvl w:val="0"/>
          <w:numId w:val="1"/>
        </w:numPr>
        <w:jc w:val="both"/>
        <w:rPr>
          <w:rFonts w:ascii="Garamond" w:hAnsi="Garamond"/>
          <w:b/>
          <w:sz w:val="24"/>
          <w:szCs w:val="24"/>
        </w:rPr>
      </w:pPr>
      <w:r w:rsidRPr="00E0343D">
        <w:rPr>
          <w:rFonts w:ascii="Garamond" w:hAnsi="Garamond"/>
          <w:b/>
          <w:sz w:val="24"/>
          <w:szCs w:val="24"/>
        </w:rPr>
        <w:t>Evaluación</w:t>
      </w:r>
    </w:p>
    <w:p w:rsidR="003B255A" w:rsidRPr="00E0343D" w:rsidRDefault="00AE65BF" w:rsidP="00D807DC">
      <w:pPr>
        <w:ind w:left="360"/>
        <w:jc w:val="both"/>
        <w:rPr>
          <w:rFonts w:ascii="Garamond" w:hAnsi="Garamond"/>
          <w:sz w:val="24"/>
          <w:szCs w:val="24"/>
        </w:rPr>
      </w:pPr>
      <w:r w:rsidRPr="00E0343D">
        <w:rPr>
          <w:rFonts w:ascii="Garamond" w:hAnsi="Garamond"/>
          <w:sz w:val="24"/>
          <w:szCs w:val="24"/>
        </w:rPr>
        <w:t>La evaluación consistirá la elaboración de un ensayo monográfico que</w:t>
      </w:r>
      <w:r w:rsidR="003B255A" w:rsidRPr="00E0343D">
        <w:rPr>
          <w:rFonts w:ascii="Garamond" w:hAnsi="Garamond"/>
          <w:sz w:val="24"/>
          <w:szCs w:val="24"/>
        </w:rPr>
        <w:t xml:space="preserve"> considere los siguientes elementos</w:t>
      </w:r>
      <w:r w:rsidR="00D807DC" w:rsidRPr="00E0343D">
        <w:rPr>
          <w:rFonts w:ascii="Garamond" w:hAnsi="Garamond"/>
          <w:sz w:val="24"/>
          <w:szCs w:val="24"/>
        </w:rPr>
        <w:t>:</w:t>
      </w:r>
    </w:p>
    <w:p w:rsidR="003B255A" w:rsidRDefault="00AE65BF" w:rsidP="00D807DC">
      <w:pPr>
        <w:pStyle w:val="Prrafodelista"/>
        <w:numPr>
          <w:ilvl w:val="0"/>
          <w:numId w:val="4"/>
        </w:numPr>
        <w:jc w:val="both"/>
        <w:rPr>
          <w:rFonts w:ascii="Garamond" w:hAnsi="Garamond"/>
          <w:sz w:val="24"/>
          <w:szCs w:val="24"/>
        </w:rPr>
      </w:pPr>
      <w:r w:rsidRPr="00E0343D">
        <w:rPr>
          <w:rFonts w:ascii="Garamond" w:hAnsi="Garamond"/>
          <w:sz w:val="24"/>
          <w:szCs w:val="24"/>
        </w:rPr>
        <w:t xml:space="preserve"> </w:t>
      </w:r>
      <w:r w:rsidR="003B255A" w:rsidRPr="00E0343D">
        <w:rPr>
          <w:rFonts w:ascii="Garamond" w:hAnsi="Garamond"/>
          <w:sz w:val="24"/>
          <w:szCs w:val="24"/>
        </w:rPr>
        <w:t>Dar</w:t>
      </w:r>
      <w:r w:rsidRPr="00E0343D">
        <w:rPr>
          <w:rFonts w:ascii="Garamond" w:hAnsi="Garamond"/>
          <w:sz w:val="24"/>
          <w:szCs w:val="24"/>
        </w:rPr>
        <w:t xml:space="preserve"> cuenta</w:t>
      </w:r>
      <w:r w:rsidR="003B255A" w:rsidRPr="00E0343D">
        <w:rPr>
          <w:rFonts w:ascii="Garamond" w:hAnsi="Garamond"/>
          <w:sz w:val="24"/>
          <w:szCs w:val="24"/>
        </w:rPr>
        <w:t xml:space="preserve"> del proyecto de la </w:t>
      </w:r>
      <w:r w:rsidR="003B255A" w:rsidRPr="00E0343D">
        <w:rPr>
          <w:rFonts w:ascii="Garamond" w:hAnsi="Garamond"/>
          <w:i/>
          <w:sz w:val="24"/>
          <w:szCs w:val="24"/>
        </w:rPr>
        <w:t>Crítica de la Razón pura</w:t>
      </w:r>
      <w:r w:rsidR="003B255A" w:rsidRPr="00E0343D">
        <w:rPr>
          <w:rFonts w:ascii="Garamond" w:hAnsi="Garamond"/>
          <w:sz w:val="24"/>
          <w:szCs w:val="24"/>
        </w:rPr>
        <w:t xml:space="preserve"> y</w:t>
      </w:r>
      <w:r w:rsidRPr="00E0343D">
        <w:rPr>
          <w:rFonts w:ascii="Garamond" w:hAnsi="Garamond"/>
          <w:sz w:val="24"/>
          <w:szCs w:val="24"/>
        </w:rPr>
        <w:t xml:space="preserve"> la tarea del autoconocimiento en Kant</w:t>
      </w:r>
      <w:r w:rsidR="00C56508">
        <w:rPr>
          <w:rFonts w:ascii="Garamond" w:hAnsi="Garamond"/>
          <w:sz w:val="24"/>
          <w:szCs w:val="24"/>
        </w:rPr>
        <w:t>.</w:t>
      </w:r>
    </w:p>
    <w:p w:rsidR="00C56508" w:rsidRPr="00E0343D" w:rsidRDefault="00C56508" w:rsidP="00D807DC">
      <w:pPr>
        <w:pStyle w:val="Prrafodelista"/>
        <w:numPr>
          <w:ilvl w:val="0"/>
          <w:numId w:val="4"/>
        </w:numPr>
        <w:jc w:val="both"/>
        <w:rPr>
          <w:rFonts w:ascii="Garamond" w:hAnsi="Garamond"/>
          <w:sz w:val="24"/>
          <w:szCs w:val="24"/>
        </w:rPr>
      </w:pPr>
      <w:r>
        <w:rPr>
          <w:rFonts w:ascii="Garamond" w:hAnsi="Garamond"/>
          <w:sz w:val="24"/>
          <w:szCs w:val="24"/>
        </w:rPr>
        <w:t xml:space="preserve">Dar cuenta del contenido necesario para entender la presentación del fenómeno de la autoconciencia en el </w:t>
      </w:r>
      <w:r w:rsidRPr="00E0343D">
        <w:rPr>
          <w:rFonts w:ascii="Garamond" w:hAnsi="Garamond" w:cs="Arial"/>
          <w:color w:val="222222"/>
          <w:sz w:val="24"/>
          <w:szCs w:val="24"/>
          <w:shd w:val="clear" w:color="auto" w:fill="FFFFFF"/>
        </w:rPr>
        <w:t>§</w:t>
      </w:r>
      <w:r>
        <w:rPr>
          <w:rFonts w:ascii="Garamond" w:hAnsi="Garamond" w:cs="Arial"/>
          <w:color w:val="222222"/>
          <w:sz w:val="24"/>
          <w:szCs w:val="24"/>
          <w:shd w:val="clear" w:color="auto" w:fill="FFFFFF"/>
        </w:rPr>
        <w:t xml:space="preserve"> 16 de la </w:t>
      </w:r>
      <w:r w:rsidRPr="00C56508">
        <w:rPr>
          <w:rFonts w:ascii="Garamond" w:hAnsi="Garamond" w:cs="Arial"/>
          <w:i/>
          <w:color w:val="222222"/>
          <w:sz w:val="24"/>
          <w:szCs w:val="24"/>
          <w:shd w:val="clear" w:color="auto" w:fill="FFFFFF"/>
        </w:rPr>
        <w:t>Crítica de la Razón pura</w:t>
      </w:r>
      <w:r>
        <w:rPr>
          <w:rFonts w:ascii="Garamond" w:hAnsi="Garamond" w:cs="Arial"/>
          <w:i/>
          <w:color w:val="222222"/>
          <w:sz w:val="24"/>
          <w:szCs w:val="24"/>
          <w:shd w:val="clear" w:color="auto" w:fill="FFFFFF"/>
        </w:rPr>
        <w:t>.</w:t>
      </w:r>
    </w:p>
    <w:p w:rsidR="006004FB" w:rsidRPr="00E0343D" w:rsidRDefault="006004FB" w:rsidP="006004FB">
      <w:pPr>
        <w:pStyle w:val="Prrafodelista"/>
        <w:numPr>
          <w:ilvl w:val="0"/>
          <w:numId w:val="4"/>
        </w:numPr>
        <w:jc w:val="both"/>
        <w:rPr>
          <w:rFonts w:ascii="Garamond" w:hAnsi="Garamond"/>
          <w:sz w:val="24"/>
          <w:szCs w:val="24"/>
        </w:rPr>
      </w:pPr>
      <w:r>
        <w:rPr>
          <w:rFonts w:ascii="Garamond" w:hAnsi="Garamond"/>
          <w:sz w:val="24"/>
          <w:szCs w:val="24"/>
        </w:rPr>
        <w:t xml:space="preserve">Responder a la pregunta ¿Es la autoconciencia (ya sea desde la perspectiva teórica o la práctica) un ejercicio mediante el cual nos conocemos a </w:t>
      </w:r>
      <w:r>
        <w:rPr>
          <w:rFonts w:ascii="Garamond" w:hAnsi="Garamond"/>
          <w:i/>
          <w:sz w:val="24"/>
          <w:szCs w:val="24"/>
        </w:rPr>
        <w:t xml:space="preserve">nosotros </w:t>
      </w:r>
      <w:r w:rsidRPr="00D41D21">
        <w:rPr>
          <w:rFonts w:ascii="Garamond" w:hAnsi="Garamond"/>
          <w:i/>
          <w:sz w:val="24"/>
          <w:szCs w:val="24"/>
        </w:rPr>
        <w:t>mismos</w:t>
      </w:r>
      <w:r>
        <w:rPr>
          <w:rFonts w:ascii="Garamond" w:hAnsi="Garamond"/>
          <w:sz w:val="24"/>
          <w:szCs w:val="24"/>
        </w:rPr>
        <w:t>?</w:t>
      </w:r>
      <w:r w:rsidRPr="00E0343D">
        <w:rPr>
          <w:rFonts w:ascii="Garamond" w:hAnsi="Garamond"/>
          <w:sz w:val="24"/>
          <w:szCs w:val="24"/>
        </w:rPr>
        <w:t xml:space="preserve"> </w:t>
      </w:r>
    </w:p>
    <w:p w:rsidR="0011522B" w:rsidRDefault="0011522B" w:rsidP="0011522B">
      <w:pPr>
        <w:pStyle w:val="Prrafodelista"/>
        <w:jc w:val="both"/>
        <w:rPr>
          <w:rFonts w:ascii="Garamond" w:hAnsi="Garamond"/>
          <w:sz w:val="24"/>
          <w:szCs w:val="24"/>
        </w:rPr>
      </w:pPr>
    </w:p>
    <w:p w:rsidR="0011522B" w:rsidRDefault="0011522B" w:rsidP="0011522B">
      <w:pPr>
        <w:pStyle w:val="Prrafodelista"/>
        <w:jc w:val="both"/>
        <w:rPr>
          <w:rFonts w:ascii="Garamond" w:hAnsi="Garamond"/>
          <w:sz w:val="24"/>
          <w:szCs w:val="24"/>
        </w:rPr>
      </w:pPr>
    </w:p>
    <w:p w:rsidR="0011522B" w:rsidRDefault="0011522B" w:rsidP="0011522B">
      <w:pPr>
        <w:pStyle w:val="Prrafodelista"/>
        <w:jc w:val="both"/>
        <w:rPr>
          <w:rFonts w:ascii="Garamond" w:hAnsi="Garamond"/>
          <w:sz w:val="24"/>
          <w:szCs w:val="24"/>
        </w:rPr>
      </w:pPr>
    </w:p>
    <w:p w:rsidR="0011522B" w:rsidRDefault="0011522B" w:rsidP="0011522B">
      <w:pPr>
        <w:pStyle w:val="Prrafodelista"/>
        <w:jc w:val="both"/>
        <w:rPr>
          <w:rFonts w:ascii="Garamond" w:hAnsi="Garamond"/>
          <w:sz w:val="24"/>
          <w:szCs w:val="24"/>
        </w:rPr>
      </w:pPr>
    </w:p>
    <w:p w:rsidR="004B2AA3" w:rsidRPr="00E0343D" w:rsidRDefault="004B2AA3" w:rsidP="00D807DC">
      <w:pPr>
        <w:pStyle w:val="Prrafodelista"/>
        <w:numPr>
          <w:ilvl w:val="0"/>
          <w:numId w:val="1"/>
        </w:numPr>
        <w:jc w:val="both"/>
        <w:rPr>
          <w:rFonts w:ascii="Garamond" w:hAnsi="Garamond"/>
          <w:sz w:val="24"/>
          <w:szCs w:val="24"/>
        </w:rPr>
      </w:pPr>
      <w:r w:rsidRPr="00E0343D">
        <w:rPr>
          <w:rFonts w:ascii="Garamond" w:hAnsi="Garamond"/>
          <w:sz w:val="24"/>
          <w:szCs w:val="24"/>
        </w:rPr>
        <w:lastRenderedPageBreak/>
        <w:t>Sesiones</w:t>
      </w:r>
    </w:p>
    <w:tbl>
      <w:tblPr>
        <w:tblStyle w:val="Tablaconcuadrcula"/>
        <w:tblW w:w="9133" w:type="dxa"/>
        <w:tblInd w:w="360" w:type="dxa"/>
        <w:tblLook w:val="04A0" w:firstRow="1" w:lastRow="0" w:firstColumn="1" w:lastColumn="0" w:noHBand="0" w:noVBand="1"/>
      </w:tblPr>
      <w:tblGrid>
        <w:gridCol w:w="1007"/>
        <w:gridCol w:w="4015"/>
        <w:gridCol w:w="2135"/>
        <w:gridCol w:w="1976"/>
      </w:tblGrid>
      <w:tr w:rsidR="008E3413" w:rsidRPr="00E0343D" w:rsidTr="00495CD8">
        <w:trPr>
          <w:trHeight w:val="382"/>
        </w:trPr>
        <w:tc>
          <w:tcPr>
            <w:tcW w:w="1007" w:type="dxa"/>
          </w:tcPr>
          <w:p w:rsidR="008E3413" w:rsidRPr="00E0343D" w:rsidRDefault="008E3413" w:rsidP="00D807DC">
            <w:pPr>
              <w:jc w:val="both"/>
              <w:rPr>
                <w:rFonts w:ascii="Garamond" w:hAnsi="Garamond"/>
                <w:sz w:val="24"/>
                <w:szCs w:val="24"/>
              </w:rPr>
            </w:pPr>
            <w:r w:rsidRPr="00E0343D">
              <w:rPr>
                <w:rFonts w:ascii="Garamond" w:hAnsi="Garamond"/>
                <w:sz w:val="24"/>
                <w:szCs w:val="24"/>
              </w:rPr>
              <w:t>Número de sesión</w:t>
            </w:r>
          </w:p>
        </w:tc>
        <w:tc>
          <w:tcPr>
            <w:tcW w:w="4015" w:type="dxa"/>
          </w:tcPr>
          <w:p w:rsidR="008E3413" w:rsidRPr="00E0343D" w:rsidRDefault="00D807DC" w:rsidP="00D807DC">
            <w:pPr>
              <w:jc w:val="both"/>
              <w:rPr>
                <w:rFonts w:ascii="Garamond" w:hAnsi="Garamond"/>
                <w:sz w:val="24"/>
                <w:szCs w:val="24"/>
              </w:rPr>
            </w:pPr>
            <w:r w:rsidRPr="00E0343D">
              <w:rPr>
                <w:rFonts w:ascii="Garamond" w:hAnsi="Garamond"/>
                <w:sz w:val="24"/>
                <w:szCs w:val="24"/>
              </w:rPr>
              <w:t>C</w:t>
            </w:r>
            <w:r w:rsidR="008E3413" w:rsidRPr="00E0343D">
              <w:rPr>
                <w:rFonts w:ascii="Garamond" w:hAnsi="Garamond"/>
                <w:sz w:val="24"/>
                <w:szCs w:val="24"/>
              </w:rPr>
              <w:t>ontenido</w:t>
            </w:r>
          </w:p>
        </w:tc>
        <w:tc>
          <w:tcPr>
            <w:tcW w:w="2135" w:type="dxa"/>
          </w:tcPr>
          <w:p w:rsidR="008E3413" w:rsidRPr="00E0343D" w:rsidRDefault="008E3413" w:rsidP="00D807DC">
            <w:pPr>
              <w:jc w:val="both"/>
              <w:rPr>
                <w:rFonts w:ascii="Garamond" w:hAnsi="Garamond"/>
                <w:sz w:val="24"/>
                <w:szCs w:val="24"/>
              </w:rPr>
            </w:pPr>
            <w:r w:rsidRPr="00E0343D">
              <w:rPr>
                <w:rFonts w:ascii="Garamond" w:hAnsi="Garamond"/>
                <w:sz w:val="24"/>
                <w:szCs w:val="24"/>
              </w:rPr>
              <w:t>Lecturas obligatorias</w:t>
            </w:r>
          </w:p>
        </w:tc>
        <w:tc>
          <w:tcPr>
            <w:tcW w:w="1976" w:type="dxa"/>
          </w:tcPr>
          <w:p w:rsidR="008E3413" w:rsidRPr="00E0343D" w:rsidRDefault="008E3413" w:rsidP="00D807DC">
            <w:pPr>
              <w:jc w:val="both"/>
              <w:rPr>
                <w:rFonts w:ascii="Garamond" w:hAnsi="Garamond"/>
                <w:sz w:val="24"/>
                <w:szCs w:val="24"/>
              </w:rPr>
            </w:pPr>
            <w:r w:rsidRPr="00E0343D">
              <w:rPr>
                <w:rFonts w:ascii="Garamond" w:hAnsi="Garamond"/>
                <w:sz w:val="24"/>
                <w:szCs w:val="24"/>
              </w:rPr>
              <w:t>Lecturas recomendadas</w:t>
            </w:r>
          </w:p>
        </w:tc>
      </w:tr>
      <w:tr w:rsidR="008E3413" w:rsidRPr="00E0343D" w:rsidTr="00495CD8">
        <w:tc>
          <w:tcPr>
            <w:tcW w:w="1007" w:type="dxa"/>
          </w:tcPr>
          <w:p w:rsidR="008E3413" w:rsidRPr="00E0343D" w:rsidRDefault="008E3413" w:rsidP="00D807DC">
            <w:pPr>
              <w:jc w:val="both"/>
              <w:rPr>
                <w:rFonts w:ascii="Garamond" w:hAnsi="Garamond"/>
                <w:sz w:val="24"/>
                <w:szCs w:val="24"/>
              </w:rPr>
            </w:pPr>
            <w:r w:rsidRPr="00E0343D">
              <w:rPr>
                <w:rFonts w:ascii="Garamond" w:hAnsi="Garamond"/>
                <w:sz w:val="24"/>
                <w:szCs w:val="24"/>
              </w:rPr>
              <w:t>1ª</w:t>
            </w:r>
          </w:p>
        </w:tc>
        <w:tc>
          <w:tcPr>
            <w:tcW w:w="4015" w:type="dxa"/>
          </w:tcPr>
          <w:p w:rsidR="008E3413" w:rsidRPr="00E0343D" w:rsidRDefault="008E3413" w:rsidP="00D807DC">
            <w:pPr>
              <w:pStyle w:val="Prrafodelista"/>
              <w:numPr>
                <w:ilvl w:val="0"/>
                <w:numId w:val="6"/>
              </w:numPr>
              <w:jc w:val="both"/>
              <w:rPr>
                <w:rFonts w:ascii="Garamond" w:hAnsi="Garamond"/>
                <w:sz w:val="24"/>
                <w:szCs w:val="24"/>
              </w:rPr>
            </w:pPr>
            <w:r w:rsidRPr="00E0343D">
              <w:rPr>
                <w:rFonts w:ascii="Garamond" w:hAnsi="Garamond"/>
                <w:sz w:val="24"/>
                <w:szCs w:val="24"/>
              </w:rPr>
              <w:t>Presentación del proyecto del seminario</w:t>
            </w:r>
          </w:p>
          <w:p w:rsidR="008E3413" w:rsidRPr="00356C11" w:rsidRDefault="00E0343D" w:rsidP="00D807DC">
            <w:pPr>
              <w:pStyle w:val="Prrafodelista"/>
              <w:numPr>
                <w:ilvl w:val="0"/>
                <w:numId w:val="6"/>
              </w:numPr>
              <w:jc w:val="both"/>
              <w:rPr>
                <w:rFonts w:ascii="Garamond" w:hAnsi="Garamond"/>
                <w:sz w:val="24"/>
                <w:szCs w:val="24"/>
              </w:rPr>
            </w:pPr>
            <w:r>
              <w:rPr>
                <w:rFonts w:ascii="Garamond" w:hAnsi="Garamond"/>
                <w:sz w:val="24"/>
                <w:szCs w:val="24"/>
              </w:rPr>
              <w:t>E</w:t>
            </w:r>
            <w:r w:rsidR="008E3413" w:rsidRPr="00E0343D">
              <w:rPr>
                <w:rFonts w:ascii="Garamond" w:hAnsi="Garamond"/>
                <w:sz w:val="24"/>
                <w:szCs w:val="24"/>
              </w:rPr>
              <w:t xml:space="preserve">l problema de la metafísica y de la figura del </w:t>
            </w:r>
            <w:r w:rsidR="008E3413" w:rsidRPr="00E0343D">
              <w:rPr>
                <w:rFonts w:ascii="Garamond" w:hAnsi="Garamond"/>
                <w:i/>
                <w:sz w:val="24"/>
                <w:szCs w:val="24"/>
              </w:rPr>
              <w:t>tribunal de la razón</w:t>
            </w:r>
          </w:p>
          <w:p w:rsidR="00356C11" w:rsidRPr="00495CD8" w:rsidRDefault="00356C11" w:rsidP="00D807DC">
            <w:pPr>
              <w:pStyle w:val="Prrafodelista"/>
              <w:numPr>
                <w:ilvl w:val="0"/>
                <w:numId w:val="6"/>
              </w:numPr>
              <w:jc w:val="both"/>
              <w:rPr>
                <w:rFonts w:ascii="Garamond" w:hAnsi="Garamond"/>
                <w:sz w:val="24"/>
                <w:szCs w:val="24"/>
              </w:rPr>
            </w:pPr>
            <w:r>
              <w:rPr>
                <w:rFonts w:ascii="Garamond" w:hAnsi="Garamond"/>
                <w:sz w:val="24"/>
                <w:szCs w:val="24"/>
              </w:rPr>
              <w:t>S</w:t>
            </w:r>
            <w:r w:rsidRPr="00E0343D">
              <w:rPr>
                <w:rFonts w:ascii="Garamond" w:hAnsi="Garamond"/>
                <w:sz w:val="24"/>
                <w:szCs w:val="24"/>
              </w:rPr>
              <w:t xml:space="preserve">egundo prólogo de la </w:t>
            </w:r>
            <w:r w:rsidRPr="00E0343D">
              <w:rPr>
                <w:rFonts w:ascii="Garamond" w:hAnsi="Garamond"/>
                <w:i/>
                <w:sz w:val="24"/>
                <w:szCs w:val="24"/>
              </w:rPr>
              <w:t xml:space="preserve">KrV </w:t>
            </w:r>
            <w:r w:rsidRPr="00E0343D">
              <w:rPr>
                <w:rFonts w:ascii="Garamond" w:hAnsi="Garamond"/>
                <w:sz w:val="24"/>
                <w:szCs w:val="24"/>
              </w:rPr>
              <w:t xml:space="preserve">y la figura del </w:t>
            </w:r>
            <w:r w:rsidRPr="00E0343D">
              <w:rPr>
                <w:rFonts w:ascii="Garamond" w:hAnsi="Garamond"/>
                <w:i/>
                <w:sz w:val="24"/>
                <w:szCs w:val="24"/>
              </w:rPr>
              <w:t>giro copernicano</w:t>
            </w:r>
          </w:p>
          <w:p w:rsidR="00495CD8" w:rsidRDefault="00495CD8" w:rsidP="00495CD8">
            <w:pPr>
              <w:pStyle w:val="Prrafodelista"/>
              <w:numPr>
                <w:ilvl w:val="0"/>
                <w:numId w:val="6"/>
              </w:numPr>
              <w:jc w:val="both"/>
              <w:rPr>
                <w:rFonts w:ascii="Garamond" w:hAnsi="Garamond"/>
                <w:sz w:val="24"/>
                <w:szCs w:val="24"/>
              </w:rPr>
            </w:pPr>
            <w:r>
              <w:rPr>
                <w:rFonts w:ascii="Garamond" w:hAnsi="Garamond"/>
                <w:sz w:val="24"/>
                <w:szCs w:val="24"/>
              </w:rPr>
              <w:t>P</w:t>
            </w:r>
            <w:r w:rsidRPr="00E0343D">
              <w:rPr>
                <w:rFonts w:ascii="Garamond" w:hAnsi="Garamond"/>
                <w:sz w:val="24"/>
                <w:szCs w:val="24"/>
              </w:rPr>
              <w:t xml:space="preserve">asajes seleccionados de la introducción B de la </w:t>
            </w:r>
            <w:r w:rsidRPr="00E0343D">
              <w:rPr>
                <w:rFonts w:ascii="Garamond" w:hAnsi="Garamond"/>
                <w:i/>
                <w:sz w:val="24"/>
                <w:szCs w:val="24"/>
              </w:rPr>
              <w:t xml:space="preserve">KrV </w:t>
            </w:r>
            <w:r w:rsidRPr="00E0343D">
              <w:rPr>
                <w:rFonts w:ascii="Garamond" w:hAnsi="Garamond"/>
                <w:sz w:val="24"/>
                <w:szCs w:val="24"/>
              </w:rPr>
              <w:t>(sección I, II y VII)</w:t>
            </w:r>
          </w:p>
          <w:p w:rsidR="00495CD8" w:rsidRPr="00E0343D" w:rsidRDefault="00495CD8" w:rsidP="00495CD8">
            <w:pPr>
              <w:pStyle w:val="Prrafodelista"/>
              <w:jc w:val="both"/>
              <w:rPr>
                <w:rFonts w:ascii="Garamond" w:hAnsi="Garamond"/>
                <w:sz w:val="24"/>
                <w:szCs w:val="24"/>
              </w:rPr>
            </w:pPr>
          </w:p>
        </w:tc>
        <w:tc>
          <w:tcPr>
            <w:tcW w:w="2135" w:type="dxa"/>
          </w:tcPr>
          <w:p w:rsidR="00D3086C" w:rsidRDefault="008E3413" w:rsidP="00D807DC">
            <w:pPr>
              <w:jc w:val="both"/>
              <w:rPr>
                <w:rFonts w:ascii="Garamond" w:hAnsi="Garamond" w:cs="Times New Roman"/>
                <w:sz w:val="24"/>
                <w:szCs w:val="24"/>
              </w:rPr>
            </w:pPr>
            <w:r w:rsidRPr="00E0343D">
              <w:rPr>
                <w:rFonts w:ascii="Garamond" w:hAnsi="Garamond" w:cs="Times New Roman"/>
                <w:sz w:val="24"/>
                <w:szCs w:val="24"/>
              </w:rPr>
              <w:t xml:space="preserve">Kant </w:t>
            </w:r>
            <w:r w:rsidR="00B87139" w:rsidRPr="00E0343D">
              <w:rPr>
                <w:rFonts w:ascii="Garamond" w:hAnsi="Garamond" w:cs="Times New Roman"/>
                <w:sz w:val="24"/>
                <w:szCs w:val="24"/>
              </w:rPr>
              <w:t>(pp. 5-</w:t>
            </w:r>
            <w:r w:rsidR="0031651F" w:rsidRPr="00E0343D">
              <w:rPr>
                <w:rFonts w:ascii="Garamond" w:hAnsi="Garamond" w:cs="Times New Roman"/>
                <w:sz w:val="24"/>
                <w:szCs w:val="24"/>
              </w:rPr>
              <w:t xml:space="preserve"> 14</w:t>
            </w:r>
            <w:r w:rsidR="00D3086C">
              <w:rPr>
                <w:rFonts w:ascii="Garamond" w:hAnsi="Garamond" w:cs="Times New Roman"/>
                <w:sz w:val="24"/>
                <w:szCs w:val="24"/>
              </w:rPr>
              <w:t>)</w:t>
            </w:r>
          </w:p>
          <w:p w:rsidR="008E3413" w:rsidRDefault="0031651F" w:rsidP="00D807DC">
            <w:pPr>
              <w:jc w:val="both"/>
              <w:rPr>
                <w:rFonts w:ascii="Garamond" w:hAnsi="Garamond" w:cs="Times New Roman"/>
                <w:sz w:val="24"/>
                <w:szCs w:val="24"/>
              </w:rPr>
            </w:pPr>
            <w:r w:rsidRPr="00E0343D">
              <w:rPr>
                <w:rFonts w:ascii="Garamond" w:hAnsi="Garamond" w:cs="Times New Roman"/>
                <w:sz w:val="24"/>
                <w:szCs w:val="24"/>
              </w:rPr>
              <w:t xml:space="preserve">Kant (pp. 14-20) </w:t>
            </w:r>
          </w:p>
          <w:p w:rsidR="00495CD8" w:rsidRPr="00E0343D" w:rsidRDefault="00495CD8" w:rsidP="00D3086C">
            <w:pPr>
              <w:jc w:val="both"/>
              <w:rPr>
                <w:rFonts w:ascii="Garamond" w:hAnsi="Garamond"/>
                <w:sz w:val="24"/>
                <w:szCs w:val="24"/>
              </w:rPr>
            </w:pPr>
            <w:r w:rsidRPr="00E0343D">
              <w:rPr>
                <w:rFonts w:ascii="Garamond" w:hAnsi="Garamond" w:cs="Times New Roman"/>
                <w:sz w:val="24"/>
                <w:szCs w:val="24"/>
              </w:rPr>
              <w:t xml:space="preserve">Kant (pp. 49-52 y 65-69) </w:t>
            </w:r>
          </w:p>
        </w:tc>
        <w:tc>
          <w:tcPr>
            <w:tcW w:w="1976" w:type="dxa"/>
          </w:tcPr>
          <w:p w:rsidR="00356C11" w:rsidRDefault="00356C11" w:rsidP="00D807DC">
            <w:pPr>
              <w:jc w:val="both"/>
              <w:rPr>
                <w:rFonts w:ascii="Garamond" w:hAnsi="Garamond"/>
                <w:sz w:val="24"/>
                <w:szCs w:val="24"/>
              </w:rPr>
            </w:pPr>
            <w:r>
              <w:rPr>
                <w:rFonts w:ascii="Garamond" w:hAnsi="Garamond"/>
                <w:sz w:val="24"/>
                <w:szCs w:val="24"/>
              </w:rPr>
              <w:t>Höffe (pp. 45-69)</w:t>
            </w:r>
          </w:p>
          <w:p w:rsidR="00356C11" w:rsidRPr="00E0343D" w:rsidRDefault="00C76279" w:rsidP="00D807DC">
            <w:pPr>
              <w:jc w:val="both"/>
              <w:rPr>
                <w:rFonts w:ascii="Garamond" w:hAnsi="Garamond"/>
                <w:sz w:val="24"/>
                <w:szCs w:val="24"/>
              </w:rPr>
            </w:pPr>
            <w:r w:rsidRPr="00E0343D">
              <w:rPr>
                <w:rFonts w:ascii="Garamond" w:hAnsi="Garamond"/>
                <w:sz w:val="24"/>
                <w:szCs w:val="24"/>
              </w:rPr>
              <w:t>Torretti (pp. 37-74)</w:t>
            </w:r>
          </w:p>
        </w:tc>
      </w:tr>
      <w:tr w:rsidR="008E3413" w:rsidRPr="00E0343D" w:rsidTr="00495CD8">
        <w:tc>
          <w:tcPr>
            <w:tcW w:w="1007" w:type="dxa"/>
          </w:tcPr>
          <w:p w:rsidR="008E3413" w:rsidRPr="00E0343D" w:rsidRDefault="008E3413" w:rsidP="00D807DC">
            <w:pPr>
              <w:jc w:val="both"/>
              <w:rPr>
                <w:rFonts w:ascii="Garamond" w:hAnsi="Garamond"/>
                <w:sz w:val="24"/>
                <w:szCs w:val="24"/>
              </w:rPr>
            </w:pPr>
            <w:r w:rsidRPr="00E0343D">
              <w:rPr>
                <w:rFonts w:ascii="Garamond" w:hAnsi="Garamond"/>
                <w:sz w:val="24"/>
                <w:szCs w:val="24"/>
              </w:rPr>
              <w:t>2ª</w:t>
            </w:r>
          </w:p>
        </w:tc>
        <w:tc>
          <w:tcPr>
            <w:tcW w:w="4015" w:type="dxa"/>
          </w:tcPr>
          <w:p w:rsidR="00356C11" w:rsidRPr="00E0343D" w:rsidRDefault="00356C11" w:rsidP="00356C11">
            <w:pPr>
              <w:pStyle w:val="Prrafodelista"/>
              <w:numPr>
                <w:ilvl w:val="0"/>
                <w:numId w:val="6"/>
              </w:numPr>
              <w:jc w:val="both"/>
              <w:rPr>
                <w:rFonts w:ascii="Garamond" w:hAnsi="Garamond"/>
                <w:sz w:val="24"/>
                <w:szCs w:val="24"/>
              </w:rPr>
            </w:pPr>
            <w:r>
              <w:rPr>
                <w:rFonts w:ascii="Garamond" w:hAnsi="Garamond"/>
                <w:sz w:val="24"/>
                <w:szCs w:val="24"/>
              </w:rPr>
              <w:t>P</w:t>
            </w:r>
            <w:r w:rsidRPr="00E0343D">
              <w:rPr>
                <w:rFonts w:ascii="Garamond" w:hAnsi="Garamond"/>
                <w:sz w:val="24"/>
                <w:szCs w:val="24"/>
              </w:rPr>
              <w:t>asajes seccionad</w:t>
            </w:r>
            <w:r>
              <w:rPr>
                <w:rFonts w:ascii="Garamond" w:hAnsi="Garamond"/>
                <w:sz w:val="24"/>
                <w:szCs w:val="24"/>
              </w:rPr>
              <w:t xml:space="preserve">os de la </w:t>
            </w:r>
            <w:r w:rsidRPr="00495CD8">
              <w:rPr>
                <w:rFonts w:ascii="Garamond" w:hAnsi="Garamond"/>
                <w:i/>
                <w:sz w:val="24"/>
                <w:szCs w:val="24"/>
              </w:rPr>
              <w:t>estética trascendental</w:t>
            </w:r>
            <w:r w:rsidR="00495CD8">
              <w:rPr>
                <w:rFonts w:ascii="Garamond" w:hAnsi="Garamond"/>
                <w:sz w:val="24"/>
                <w:szCs w:val="24"/>
              </w:rPr>
              <w:t xml:space="preserve"> </w:t>
            </w:r>
            <w:r w:rsidR="00495CD8" w:rsidRPr="00495CD8">
              <w:rPr>
                <w:rFonts w:ascii="Garamond" w:hAnsi="Garamond"/>
                <w:i/>
                <w:sz w:val="24"/>
                <w:szCs w:val="24"/>
              </w:rPr>
              <w:t>y la analítica de los conceptos</w:t>
            </w:r>
            <w:r w:rsidRPr="00495CD8">
              <w:rPr>
                <w:rFonts w:ascii="Garamond" w:hAnsi="Garamond"/>
                <w:i/>
                <w:sz w:val="24"/>
                <w:szCs w:val="24"/>
              </w:rPr>
              <w:t>:</w:t>
            </w:r>
          </w:p>
          <w:p w:rsidR="00D3086C" w:rsidRPr="00D3086C" w:rsidRDefault="00356C11" w:rsidP="00495CD8">
            <w:pPr>
              <w:jc w:val="both"/>
              <w:rPr>
                <w:rFonts w:ascii="Garamond" w:hAnsi="Garamond" w:cs="Arial"/>
                <w:i/>
                <w:color w:val="222222"/>
                <w:sz w:val="24"/>
                <w:szCs w:val="24"/>
                <w:shd w:val="clear" w:color="auto" w:fill="FFFFFF"/>
              </w:rPr>
            </w:pPr>
            <w:r w:rsidRPr="00FB34C8">
              <w:rPr>
                <w:rFonts w:ascii="Garamond" w:hAnsi="Garamond"/>
                <w:sz w:val="24"/>
                <w:szCs w:val="24"/>
              </w:rPr>
              <w:t>Parágrafo (</w:t>
            </w:r>
            <w:r w:rsidRPr="00FB34C8">
              <w:rPr>
                <w:rFonts w:ascii="Garamond" w:hAnsi="Garamond" w:cs="Arial"/>
                <w:color w:val="222222"/>
                <w:sz w:val="24"/>
                <w:szCs w:val="24"/>
                <w:shd w:val="clear" w:color="auto" w:fill="FFFFFF"/>
              </w:rPr>
              <w:t xml:space="preserve">§) 1 de la </w:t>
            </w:r>
            <w:r w:rsidRPr="00D3086C">
              <w:rPr>
                <w:rFonts w:ascii="Garamond" w:hAnsi="Garamond" w:cs="Arial"/>
                <w:i/>
                <w:color w:val="222222"/>
                <w:sz w:val="24"/>
                <w:szCs w:val="24"/>
                <w:shd w:val="clear" w:color="auto" w:fill="FFFFFF"/>
              </w:rPr>
              <w:t>Estética trasce</w:t>
            </w:r>
            <w:r w:rsidR="00500BEB" w:rsidRPr="00D3086C">
              <w:rPr>
                <w:rFonts w:ascii="Garamond" w:hAnsi="Garamond" w:cs="Arial"/>
                <w:i/>
                <w:color w:val="222222"/>
                <w:sz w:val="24"/>
                <w:szCs w:val="24"/>
                <w:shd w:val="clear" w:color="auto" w:fill="FFFFFF"/>
              </w:rPr>
              <w:t>n</w:t>
            </w:r>
            <w:r w:rsidR="00D3086C" w:rsidRPr="00D3086C">
              <w:rPr>
                <w:rFonts w:ascii="Garamond" w:hAnsi="Garamond" w:cs="Arial"/>
                <w:i/>
                <w:color w:val="222222"/>
                <w:sz w:val="24"/>
                <w:szCs w:val="24"/>
                <w:shd w:val="clear" w:color="auto" w:fill="FFFFFF"/>
              </w:rPr>
              <w:t xml:space="preserve">dental </w:t>
            </w:r>
          </w:p>
          <w:p w:rsidR="000E1398" w:rsidRDefault="00495CD8" w:rsidP="00495CD8">
            <w:pPr>
              <w:jc w:val="both"/>
              <w:rPr>
                <w:rFonts w:ascii="Garamond" w:hAnsi="Garamond" w:cs="Arial"/>
                <w:color w:val="222222"/>
                <w:sz w:val="24"/>
                <w:szCs w:val="24"/>
                <w:shd w:val="clear" w:color="auto" w:fill="FFFFFF"/>
              </w:rPr>
            </w:pPr>
            <w:r w:rsidRPr="00495CD8">
              <w:rPr>
                <w:rFonts w:ascii="Garamond" w:hAnsi="Garamond"/>
                <w:sz w:val="24"/>
                <w:szCs w:val="24"/>
              </w:rPr>
              <w:t>Parágrafo (</w:t>
            </w:r>
            <w:r w:rsidRPr="00495CD8">
              <w:rPr>
                <w:rFonts w:ascii="Garamond" w:hAnsi="Garamond" w:cs="Arial"/>
                <w:color w:val="222222"/>
                <w:sz w:val="24"/>
                <w:szCs w:val="24"/>
                <w:shd w:val="clear" w:color="auto" w:fill="FFFFFF"/>
              </w:rPr>
              <w:t>§) 13: “</w:t>
            </w:r>
            <w:r w:rsidRPr="00D3086C">
              <w:rPr>
                <w:rFonts w:ascii="Garamond" w:hAnsi="Garamond" w:cs="Arial"/>
                <w:i/>
                <w:color w:val="222222"/>
                <w:sz w:val="24"/>
                <w:szCs w:val="24"/>
                <w:shd w:val="clear" w:color="auto" w:fill="FFFFFF"/>
              </w:rPr>
              <w:t>De los principios de una deducción trascendental en general</w:t>
            </w:r>
            <w:r w:rsidRPr="00495CD8">
              <w:rPr>
                <w:rFonts w:ascii="Garamond" w:hAnsi="Garamond" w:cs="Arial"/>
                <w:color w:val="222222"/>
                <w:sz w:val="24"/>
                <w:szCs w:val="24"/>
                <w:shd w:val="clear" w:color="auto" w:fill="FFFFFF"/>
              </w:rPr>
              <w:t>”</w:t>
            </w:r>
          </w:p>
          <w:p w:rsidR="00D3086C" w:rsidRPr="00D3086C" w:rsidRDefault="00D3086C" w:rsidP="00D3086C">
            <w:pPr>
              <w:jc w:val="both"/>
              <w:rPr>
                <w:rFonts w:ascii="Garamond" w:hAnsi="Garamond"/>
                <w:sz w:val="24"/>
                <w:szCs w:val="24"/>
              </w:rPr>
            </w:pPr>
            <w:r w:rsidRPr="00D3086C">
              <w:rPr>
                <w:rFonts w:ascii="Garamond" w:hAnsi="Garamond" w:cs="Arial"/>
                <w:color w:val="222222"/>
                <w:sz w:val="24"/>
                <w:szCs w:val="24"/>
                <w:shd w:val="clear" w:color="auto" w:fill="FFFFFF"/>
              </w:rPr>
              <w:t>Parágrafo (§) 16 “</w:t>
            </w:r>
            <w:r w:rsidRPr="00D3086C">
              <w:rPr>
                <w:rFonts w:ascii="Garamond" w:hAnsi="Garamond" w:cs="Arial"/>
                <w:i/>
                <w:color w:val="222222"/>
                <w:sz w:val="24"/>
                <w:szCs w:val="24"/>
                <w:shd w:val="clear" w:color="auto" w:fill="FFFFFF"/>
              </w:rPr>
              <w:t>De la unidad originario-sintética de la apercepción</w:t>
            </w:r>
            <w:r w:rsidRPr="00D3086C">
              <w:rPr>
                <w:rFonts w:ascii="Garamond" w:hAnsi="Garamond" w:cs="Arial"/>
                <w:color w:val="222222"/>
                <w:sz w:val="24"/>
                <w:szCs w:val="24"/>
                <w:shd w:val="clear" w:color="auto" w:fill="FFFFFF"/>
              </w:rPr>
              <w:t>”</w:t>
            </w:r>
          </w:p>
          <w:p w:rsidR="00D3086C" w:rsidRPr="00495CD8" w:rsidRDefault="00D3086C" w:rsidP="00495CD8">
            <w:pPr>
              <w:jc w:val="both"/>
              <w:rPr>
                <w:rFonts w:ascii="Garamond" w:hAnsi="Garamond"/>
                <w:sz w:val="24"/>
                <w:szCs w:val="24"/>
              </w:rPr>
            </w:pPr>
          </w:p>
        </w:tc>
        <w:tc>
          <w:tcPr>
            <w:tcW w:w="2135" w:type="dxa"/>
          </w:tcPr>
          <w:p w:rsidR="00356C11" w:rsidRDefault="00495CD8" w:rsidP="00356C11">
            <w:pPr>
              <w:jc w:val="both"/>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 xml:space="preserve">Kant </w:t>
            </w:r>
            <w:r w:rsidR="00356C11" w:rsidRPr="00E0343D">
              <w:rPr>
                <w:rFonts w:ascii="Garamond" w:hAnsi="Garamond" w:cs="Arial"/>
                <w:color w:val="222222"/>
                <w:sz w:val="24"/>
                <w:szCs w:val="24"/>
                <w:shd w:val="clear" w:color="auto" w:fill="FFFFFF"/>
              </w:rPr>
              <w:t xml:space="preserve">§ 1 </w:t>
            </w:r>
            <w:r w:rsidR="00356C11">
              <w:rPr>
                <w:rFonts w:ascii="Garamond" w:hAnsi="Garamond" w:cs="Arial"/>
                <w:color w:val="222222"/>
                <w:sz w:val="24"/>
                <w:szCs w:val="24"/>
                <w:shd w:val="clear" w:color="auto" w:fill="FFFFFF"/>
              </w:rPr>
              <w:t>(pp. 71-73</w:t>
            </w:r>
            <w:r w:rsidR="00D3086C">
              <w:rPr>
                <w:rFonts w:ascii="Garamond" w:hAnsi="Garamond" w:cs="Arial"/>
                <w:color w:val="222222"/>
                <w:sz w:val="24"/>
                <w:szCs w:val="24"/>
                <w:shd w:val="clear" w:color="auto" w:fill="FFFFFF"/>
              </w:rPr>
              <w:t>)</w:t>
            </w:r>
          </w:p>
          <w:p w:rsidR="00356C11" w:rsidRDefault="00495CD8" w:rsidP="00D3086C">
            <w:pPr>
              <w:jc w:val="both"/>
              <w:rPr>
                <w:rFonts w:ascii="Garamond" w:hAnsi="Garamond" w:cs="Arial"/>
                <w:color w:val="222222"/>
                <w:sz w:val="24"/>
                <w:szCs w:val="24"/>
                <w:shd w:val="clear" w:color="auto" w:fill="FFFFFF"/>
              </w:rPr>
            </w:pPr>
            <w:r w:rsidRPr="00E0343D">
              <w:rPr>
                <w:rFonts w:ascii="Garamond" w:hAnsi="Garamond" w:cs="Arial"/>
                <w:color w:val="222222"/>
                <w:sz w:val="24"/>
                <w:szCs w:val="24"/>
                <w:shd w:val="clear" w:color="auto" w:fill="FFFFFF"/>
              </w:rPr>
              <w:t xml:space="preserve">Kant § 13 </w:t>
            </w:r>
            <w:r>
              <w:rPr>
                <w:rFonts w:ascii="Garamond" w:hAnsi="Garamond" w:cs="Arial"/>
                <w:color w:val="222222"/>
                <w:sz w:val="24"/>
                <w:szCs w:val="24"/>
                <w:shd w:val="clear" w:color="auto" w:fill="FFFFFF"/>
              </w:rPr>
              <w:t>(pp. 128- 134</w:t>
            </w:r>
            <w:r w:rsidR="00D3086C">
              <w:rPr>
                <w:rFonts w:ascii="Garamond" w:hAnsi="Garamond" w:cs="Arial"/>
                <w:color w:val="222222"/>
                <w:sz w:val="24"/>
                <w:szCs w:val="24"/>
                <w:shd w:val="clear" w:color="auto" w:fill="FFFFFF"/>
              </w:rPr>
              <w:t>)</w:t>
            </w:r>
          </w:p>
          <w:p w:rsidR="00D3086C" w:rsidRPr="00E0343D" w:rsidRDefault="00D3086C" w:rsidP="00D3086C">
            <w:pPr>
              <w:jc w:val="both"/>
              <w:rPr>
                <w:rFonts w:ascii="Garamond" w:hAnsi="Garamond"/>
                <w:sz w:val="24"/>
                <w:szCs w:val="24"/>
              </w:rPr>
            </w:pPr>
            <w:r>
              <w:rPr>
                <w:rFonts w:ascii="Garamond" w:hAnsi="Garamond"/>
                <w:sz w:val="24"/>
                <w:szCs w:val="24"/>
              </w:rPr>
              <w:t xml:space="preserve">Kant </w:t>
            </w:r>
            <w:r w:rsidRPr="00E0343D">
              <w:rPr>
                <w:rFonts w:ascii="Garamond" w:hAnsi="Garamond" w:cs="Arial"/>
                <w:color w:val="222222"/>
                <w:sz w:val="24"/>
                <w:szCs w:val="24"/>
                <w:shd w:val="clear" w:color="auto" w:fill="FFFFFF"/>
              </w:rPr>
              <w:t>§</w:t>
            </w:r>
            <w:r>
              <w:rPr>
                <w:rFonts w:ascii="Garamond" w:hAnsi="Garamond" w:cs="Arial"/>
                <w:color w:val="222222"/>
                <w:sz w:val="24"/>
                <w:szCs w:val="24"/>
                <w:shd w:val="clear" w:color="auto" w:fill="FFFFFF"/>
              </w:rPr>
              <w:t xml:space="preserve"> 16 (pp. 163-166)</w:t>
            </w:r>
          </w:p>
        </w:tc>
        <w:tc>
          <w:tcPr>
            <w:tcW w:w="1976" w:type="dxa"/>
          </w:tcPr>
          <w:p w:rsidR="00356C11" w:rsidRDefault="00356C11" w:rsidP="00D807DC">
            <w:pPr>
              <w:jc w:val="both"/>
              <w:rPr>
                <w:rFonts w:ascii="Garamond" w:hAnsi="Garamond"/>
                <w:sz w:val="24"/>
                <w:szCs w:val="24"/>
              </w:rPr>
            </w:pPr>
            <w:r>
              <w:rPr>
                <w:rFonts w:ascii="Garamond" w:hAnsi="Garamond"/>
                <w:sz w:val="24"/>
                <w:szCs w:val="24"/>
              </w:rPr>
              <w:t>H</w:t>
            </w:r>
            <w:r w:rsidR="00D3086C">
              <w:rPr>
                <w:rFonts w:ascii="Garamond" w:hAnsi="Garamond"/>
                <w:sz w:val="24"/>
                <w:szCs w:val="24"/>
              </w:rPr>
              <w:t>öffe (pp. 45-82</w:t>
            </w:r>
            <w:r>
              <w:rPr>
                <w:rFonts w:ascii="Garamond" w:hAnsi="Garamond"/>
                <w:sz w:val="24"/>
                <w:szCs w:val="24"/>
              </w:rPr>
              <w:t>)</w:t>
            </w:r>
          </w:p>
          <w:p w:rsidR="008E3413" w:rsidRDefault="00C76279" w:rsidP="00D807DC">
            <w:pPr>
              <w:jc w:val="both"/>
              <w:rPr>
                <w:rFonts w:ascii="Garamond" w:hAnsi="Garamond"/>
                <w:sz w:val="24"/>
                <w:szCs w:val="24"/>
              </w:rPr>
            </w:pPr>
            <w:r w:rsidRPr="00E0343D">
              <w:rPr>
                <w:rFonts w:ascii="Garamond" w:hAnsi="Garamond"/>
                <w:sz w:val="24"/>
                <w:szCs w:val="24"/>
              </w:rPr>
              <w:t>Torretti (pp. 37-74)</w:t>
            </w:r>
          </w:p>
          <w:p w:rsidR="00D3086C" w:rsidRDefault="00D3086C" w:rsidP="00D3086C">
            <w:pPr>
              <w:jc w:val="both"/>
              <w:rPr>
                <w:rFonts w:ascii="Garamond" w:hAnsi="Garamond"/>
                <w:sz w:val="24"/>
                <w:szCs w:val="24"/>
              </w:rPr>
            </w:pPr>
            <w:r w:rsidRPr="00E0343D">
              <w:rPr>
                <w:rFonts w:ascii="Garamond" w:hAnsi="Garamond"/>
                <w:sz w:val="24"/>
                <w:szCs w:val="24"/>
              </w:rPr>
              <w:t>Torre</w:t>
            </w:r>
            <w:r>
              <w:rPr>
                <w:rFonts w:ascii="Garamond" w:hAnsi="Garamond"/>
                <w:sz w:val="24"/>
                <w:szCs w:val="24"/>
              </w:rPr>
              <w:t>t</w:t>
            </w:r>
            <w:r w:rsidRPr="00E0343D">
              <w:rPr>
                <w:rFonts w:ascii="Garamond" w:hAnsi="Garamond"/>
                <w:sz w:val="24"/>
                <w:szCs w:val="24"/>
              </w:rPr>
              <w:t>ti (pp. 360-367)</w:t>
            </w:r>
          </w:p>
          <w:p w:rsidR="00D3086C" w:rsidRPr="00E0343D" w:rsidRDefault="00D3086C" w:rsidP="00D807DC">
            <w:pPr>
              <w:jc w:val="both"/>
              <w:rPr>
                <w:rFonts w:ascii="Garamond" w:hAnsi="Garamond"/>
                <w:sz w:val="24"/>
                <w:szCs w:val="24"/>
              </w:rPr>
            </w:pPr>
          </w:p>
        </w:tc>
      </w:tr>
      <w:tr w:rsidR="008E3413" w:rsidRPr="00E0343D" w:rsidTr="00495CD8">
        <w:tc>
          <w:tcPr>
            <w:tcW w:w="1007" w:type="dxa"/>
          </w:tcPr>
          <w:p w:rsidR="008E3413" w:rsidRPr="00E0343D" w:rsidRDefault="008E3413" w:rsidP="00D807DC">
            <w:pPr>
              <w:jc w:val="both"/>
              <w:rPr>
                <w:rFonts w:ascii="Garamond" w:hAnsi="Garamond"/>
                <w:sz w:val="24"/>
                <w:szCs w:val="24"/>
              </w:rPr>
            </w:pPr>
            <w:r w:rsidRPr="00E0343D">
              <w:rPr>
                <w:rFonts w:ascii="Garamond" w:hAnsi="Garamond"/>
                <w:sz w:val="24"/>
                <w:szCs w:val="24"/>
              </w:rPr>
              <w:t>3ª</w:t>
            </w:r>
          </w:p>
        </w:tc>
        <w:tc>
          <w:tcPr>
            <w:tcW w:w="4015" w:type="dxa"/>
          </w:tcPr>
          <w:p w:rsidR="00D3086C" w:rsidRPr="00D3086C" w:rsidRDefault="00D3086C" w:rsidP="00D3086C">
            <w:pPr>
              <w:pStyle w:val="Prrafodelista"/>
              <w:numPr>
                <w:ilvl w:val="0"/>
                <w:numId w:val="6"/>
              </w:numPr>
              <w:jc w:val="both"/>
              <w:rPr>
                <w:rFonts w:ascii="Garamond" w:hAnsi="Garamond" w:cs="Arial"/>
                <w:color w:val="222222"/>
                <w:sz w:val="24"/>
                <w:szCs w:val="24"/>
                <w:shd w:val="clear" w:color="auto" w:fill="FFFFFF"/>
              </w:rPr>
            </w:pPr>
            <w:r w:rsidRPr="00D3086C">
              <w:rPr>
                <w:rFonts w:ascii="Garamond" w:hAnsi="Garamond" w:cs="Arial"/>
                <w:color w:val="222222"/>
                <w:sz w:val="24"/>
                <w:szCs w:val="24"/>
                <w:shd w:val="clear" w:color="auto" w:fill="FFFFFF"/>
              </w:rPr>
              <w:t>Problemas que presenta la autoconciencia en Kant:</w:t>
            </w:r>
          </w:p>
          <w:p w:rsidR="00D3086C" w:rsidRDefault="00D3086C" w:rsidP="00D3086C">
            <w:pPr>
              <w:jc w:val="both"/>
              <w:rPr>
                <w:rFonts w:ascii="Garamond" w:hAnsi="Garamond" w:cs="Arial"/>
                <w:color w:val="222222"/>
                <w:sz w:val="24"/>
                <w:szCs w:val="24"/>
                <w:shd w:val="clear" w:color="auto" w:fill="FFFFFF"/>
              </w:rPr>
            </w:pPr>
            <w:r w:rsidRPr="00D3086C">
              <w:rPr>
                <w:rFonts w:ascii="Garamond" w:hAnsi="Garamond" w:cs="Arial"/>
                <w:color w:val="222222"/>
                <w:sz w:val="24"/>
                <w:szCs w:val="24"/>
                <w:shd w:val="clear" w:color="auto" w:fill="FFFFFF"/>
              </w:rPr>
              <w:t>“Conciencia intencional”, “teoría de la reflexión” y “regresión al infinito”</w:t>
            </w:r>
          </w:p>
          <w:p w:rsidR="008E3413" w:rsidRPr="00E0343D" w:rsidRDefault="00D3086C" w:rsidP="00D3086C">
            <w:pPr>
              <w:pStyle w:val="Prrafodelista"/>
              <w:numPr>
                <w:ilvl w:val="0"/>
                <w:numId w:val="6"/>
              </w:numPr>
              <w:jc w:val="both"/>
              <w:rPr>
                <w:rFonts w:ascii="Garamond" w:hAnsi="Garamond"/>
                <w:sz w:val="24"/>
                <w:szCs w:val="24"/>
              </w:rPr>
            </w:pPr>
            <w:r>
              <w:rPr>
                <w:rFonts w:ascii="Garamond" w:hAnsi="Garamond"/>
                <w:sz w:val="24"/>
                <w:szCs w:val="24"/>
              </w:rPr>
              <w:t>Soluciones de Fichte a los problemas presentados anteriormente</w:t>
            </w:r>
            <w:r w:rsidR="00495CD8">
              <w:rPr>
                <w:rFonts w:ascii="Garamond" w:hAnsi="Garamond"/>
                <w:sz w:val="24"/>
                <w:szCs w:val="24"/>
              </w:rPr>
              <w:t xml:space="preserve"> </w:t>
            </w:r>
          </w:p>
        </w:tc>
        <w:tc>
          <w:tcPr>
            <w:tcW w:w="2135" w:type="dxa"/>
          </w:tcPr>
          <w:p w:rsidR="00B63946" w:rsidRDefault="00B63946" w:rsidP="00D807DC">
            <w:pPr>
              <w:jc w:val="both"/>
              <w:rPr>
                <w:rFonts w:ascii="Garamond" w:hAnsi="Garamond"/>
                <w:sz w:val="24"/>
                <w:szCs w:val="24"/>
              </w:rPr>
            </w:pPr>
            <w:r>
              <w:rPr>
                <w:rFonts w:ascii="Garamond" w:hAnsi="Garamond"/>
                <w:sz w:val="24"/>
                <w:szCs w:val="24"/>
              </w:rPr>
              <w:t>Stepanenko (pp. 199-217)</w:t>
            </w:r>
          </w:p>
          <w:p w:rsidR="00D3086C" w:rsidRDefault="00D3086C" w:rsidP="00D807DC">
            <w:pPr>
              <w:jc w:val="both"/>
              <w:rPr>
                <w:rFonts w:ascii="Garamond" w:hAnsi="Garamond" w:cs="Arial"/>
                <w:color w:val="222222"/>
                <w:sz w:val="24"/>
                <w:szCs w:val="24"/>
                <w:shd w:val="clear" w:color="auto" w:fill="FFFFFF"/>
              </w:rPr>
            </w:pPr>
            <w:r>
              <w:rPr>
                <w:rFonts w:ascii="Garamond" w:hAnsi="Garamond"/>
                <w:sz w:val="24"/>
                <w:szCs w:val="24"/>
              </w:rPr>
              <w:t>Fichte (pp. 109-121)</w:t>
            </w:r>
          </w:p>
          <w:p w:rsidR="00FB34C8" w:rsidRPr="00E0343D" w:rsidRDefault="00FB34C8" w:rsidP="00D807DC">
            <w:pPr>
              <w:jc w:val="both"/>
              <w:rPr>
                <w:rFonts w:ascii="Garamond" w:hAnsi="Garamond"/>
                <w:i/>
                <w:sz w:val="24"/>
                <w:szCs w:val="24"/>
              </w:rPr>
            </w:pPr>
          </w:p>
        </w:tc>
        <w:tc>
          <w:tcPr>
            <w:tcW w:w="1976" w:type="dxa"/>
          </w:tcPr>
          <w:p w:rsidR="00FB34C8" w:rsidRPr="00E0343D" w:rsidRDefault="00FB34C8" w:rsidP="00FB34C8">
            <w:pPr>
              <w:jc w:val="both"/>
              <w:rPr>
                <w:rFonts w:ascii="Garamond" w:hAnsi="Garamond"/>
                <w:sz w:val="24"/>
                <w:szCs w:val="24"/>
              </w:rPr>
            </w:pPr>
            <w:r w:rsidRPr="00E0343D">
              <w:rPr>
                <w:rFonts w:ascii="Garamond" w:hAnsi="Garamond"/>
                <w:sz w:val="24"/>
                <w:szCs w:val="24"/>
              </w:rPr>
              <w:t>Henrich (pp. 15-52)</w:t>
            </w:r>
          </w:p>
          <w:p w:rsidR="00FB34C8" w:rsidRDefault="00FB34C8" w:rsidP="00FB34C8">
            <w:pPr>
              <w:jc w:val="both"/>
              <w:rPr>
                <w:rFonts w:ascii="Garamond" w:hAnsi="Garamond"/>
                <w:sz w:val="24"/>
                <w:szCs w:val="24"/>
              </w:rPr>
            </w:pPr>
            <w:r w:rsidRPr="00E0343D">
              <w:rPr>
                <w:rFonts w:ascii="Garamond" w:hAnsi="Garamond"/>
                <w:sz w:val="24"/>
                <w:szCs w:val="24"/>
              </w:rPr>
              <w:t>Zöller (pp. 45-67)</w:t>
            </w:r>
          </w:p>
          <w:p w:rsidR="00B63946" w:rsidRPr="00E0343D" w:rsidRDefault="00B63946" w:rsidP="00FB34C8">
            <w:pPr>
              <w:jc w:val="both"/>
              <w:rPr>
                <w:rFonts w:ascii="Garamond" w:hAnsi="Garamond"/>
                <w:sz w:val="24"/>
                <w:szCs w:val="24"/>
              </w:rPr>
            </w:pPr>
            <w:r>
              <w:rPr>
                <w:rFonts w:ascii="Garamond" w:hAnsi="Garamond"/>
                <w:sz w:val="24"/>
                <w:szCs w:val="24"/>
              </w:rPr>
              <w:t>Tugendhat (pp. 2-16)</w:t>
            </w:r>
          </w:p>
        </w:tc>
      </w:tr>
      <w:tr w:rsidR="008E3413" w:rsidRPr="00E0343D" w:rsidTr="00495CD8">
        <w:tc>
          <w:tcPr>
            <w:tcW w:w="1007" w:type="dxa"/>
          </w:tcPr>
          <w:p w:rsidR="008E3413" w:rsidRPr="00E0343D" w:rsidRDefault="008E3413" w:rsidP="00D807DC">
            <w:pPr>
              <w:jc w:val="both"/>
              <w:rPr>
                <w:rFonts w:ascii="Garamond" w:hAnsi="Garamond"/>
                <w:sz w:val="24"/>
                <w:szCs w:val="24"/>
              </w:rPr>
            </w:pPr>
            <w:r w:rsidRPr="00E0343D">
              <w:rPr>
                <w:rFonts w:ascii="Garamond" w:hAnsi="Garamond"/>
                <w:sz w:val="24"/>
                <w:szCs w:val="24"/>
              </w:rPr>
              <w:t>4ª</w:t>
            </w:r>
          </w:p>
        </w:tc>
        <w:tc>
          <w:tcPr>
            <w:tcW w:w="4015" w:type="dxa"/>
          </w:tcPr>
          <w:p w:rsidR="00F90650" w:rsidRDefault="00B63946" w:rsidP="00D807DC">
            <w:pPr>
              <w:pStyle w:val="Prrafodelista"/>
              <w:numPr>
                <w:ilvl w:val="0"/>
                <w:numId w:val="6"/>
              </w:numPr>
              <w:jc w:val="both"/>
              <w:rPr>
                <w:rFonts w:ascii="Garamond" w:hAnsi="Garamond"/>
                <w:sz w:val="24"/>
                <w:szCs w:val="24"/>
              </w:rPr>
            </w:pPr>
            <w:r>
              <w:rPr>
                <w:rFonts w:ascii="Garamond" w:hAnsi="Garamond"/>
                <w:sz w:val="24"/>
                <w:szCs w:val="24"/>
              </w:rPr>
              <w:t>Solución “práctica” a los problemas ant</w:t>
            </w:r>
            <w:r w:rsidR="00F90650">
              <w:rPr>
                <w:rFonts w:ascii="Garamond" w:hAnsi="Garamond"/>
                <w:sz w:val="24"/>
                <w:szCs w:val="24"/>
              </w:rPr>
              <w:t>eriores:</w:t>
            </w:r>
          </w:p>
          <w:p w:rsidR="008E3413" w:rsidRPr="00F90650" w:rsidRDefault="00B63946" w:rsidP="00F90650">
            <w:pPr>
              <w:jc w:val="both"/>
              <w:rPr>
                <w:rFonts w:ascii="Garamond" w:hAnsi="Garamond"/>
                <w:sz w:val="24"/>
                <w:szCs w:val="24"/>
              </w:rPr>
            </w:pPr>
            <w:r w:rsidRPr="00F90650">
              <w:rPr>
                <w:rFonts w:ascii="Garamond" w:hAnsi="Garamond"/>
                <w:sz w:val="24"/>
                <w:szCs w:val="24"/>
              </w:rPr>
              <w:t>“Conciencia moral” (</w:t>
            </w:r>
            <w:r w:rsidRPr="00F90650">
              <w:rPr>
                <w:rFonts w:ascii="Garamond" w:hAnsi="Garamond"/>
                <w:i/>
                <w:sz w:val="24"/>
                <w:szCs w:val="24"/>
              </w:rPr>
              <w:t>Gewissen</w:t>
            </w:r>
            <w:r w:rsidRPr="00F90650">
              <w:rPr>
                <w:rFonts w:ascii="Garamond" w:hAnsi="Garamond"/>
                <w:sz w:val="24"/>
                <w:szCs w:val="24"/>
              </w:rPr>
              <w:t>)</w:t>
            </w:r>
            <w:r w:rsidR="008E3413" w:rsidRPr="00F90650">
              <w:rPr>
                <w:rFonts w:ascii="Garamond" w:hAnsi="Garamond"/>
                <w:sz w:val="24"/>
                <w:szCs w:val="24"/>
              </w:rPr>
              <w:t xml:space="preserve"> </w:t>
            </w:r>
          </w:p>
        </w:tc>
        <w:tc>
          <w:tcPr>
            <w:tcW w:w="2135" w:type="dxa"/>
          </w:tcPr>
          <w:p w:rsidR="008E3413" w:rsidRPr="00E0343D" w:rsidRDefault="00B63946" w:rsidP="00D807DC">
            <w:pPr>
              <w:jc w:val="both"/>
              <w:rPr>
                <w:rFonts w:ascii="Garamond" w:hAnsi="Garamond"/>
                <w:sz w:val="24"/>
                <w:szCs w:val="24"/>
              </w:rPr>
            </w:pPr>
            <w:r>
              <w:rPr>
                <w:rFonts w:ascii="Garamond" w:hAnsi="Garamond"/>
                <w:sz w:val="24"/>
                <w:szCs w:val="24"/>
              </w:rPr>
              <w:t>Placencia (pp. 286-292)</w:t>
            </w:r>
          </w:p>
        </w:tc>
        <w:tc>
          <w:tcPr>
            <w:tcW w:w="1976" w:type="dxa"/>
          </w:tcPr>
          <w:p w:rsidR="00705F60" w:rsidRPr="00E0343D" w:rsidRDefault="00927147" w:rsidP="00F90650">
            <w:pPr>
              <w:jc w:val="both"/>
              <w:rPr>
                <w:rFonts w:ascii="Garamond" w:hAnsi="Garamond"/>
                <w:sz w:val="24"/>
                <w:szCs w:val="24"/>
              </w:rPr>
            </w:pPr>
            <w:r>
              <w:rPr>
                <w:rFonts w:ascii="Garamond" w:hAnsi="Garamond"/>
                <w:sz w:val="24"/>
                <w:szCs w:val="24"/>
              </w:rPr>
              <w:t>Torrealba</w:t>
            </w:r>
            <w:r w:rsidR="00F90650">
              <w:rPr>
                <w:rFonts w:ascii="Garamond" w:hAnsi="Garamond"/>
                <w:sz w:val="24"/>
                <w:szCs w:val="24"/>
              </w:rPr>
              <w:t xml:space="preserve"> (pp. 390-422)</w:t>
            </w:r>
          </w:p>
        </w:tc>
      </w:tr>
    </w:tbl>
    <w:p w:rsidR="003B255A" w:rsidRDefault="003B255A" w:rsidP="00D807DC">
      <w:pPr>
        <w:ind w:left="360"/>
        <w:jc w:val="both"/>
        <w:rPr>
          <w:rFonts w:ascii="Garamond" w:hAnsi="Garamond"/>
          <w:sz w:val="24"/>
          <w:szCs w:val="24"/>
        </w:rPr>
      </w:pPr>
    </w:p>
    <w:p w:rsidR="00D41D21" w:rsidRPr="00E0343D" w:rsidRDefault="00D41D21" w:rsidP="00D807DC">
      <w:pPr>
        <w:ind w:left="360"/>
        <w:jc w:val="both"/>
        <w:rPr>
          <w:rFonts w:ascii="Garamond" w:hAnsi="Garamond"/>
          <w:sz w:val="24"/>
          <w:szCs w:val="24"/>
        </w:rPr>
      </w:pPr>
      <w:r>
        <w:rPr>
          <w:rFonts w:ascii="Garamond" w:hAnsi="Garamond"/>
          <w:sz w:val="24"/>
          <w:szCs w:val="24"/>
        </w:rPr>
        <w:t>Total de páginas de lectura obligatoria: 69</w:t>
      </w:r>
    </w:p>
    <w:p w:rsidR="004B2AA3" w:rsidRPr="00E0343D" w:rsidRDefault="004B2AA3" w:rsidP="00D807DC">
      <w:pPr>
        <w:pStyle w:val="Prrafodelista"/>
        <w:numPr>
          <w:ilvl w:val="0"/>
          <w:numId w:val="1"/>
        </w:numPr>
        <w:jc w:val="both"/>
        <w:rPr>
          <w:rFonts w:ascii="Garamond" w:hAnsi="Garamond"/>
          <w:b/>
          <w:sz w:val="24"/>
          <w:szCs w:val="24"/>
        </w:rPr>
      </w:pPr>
      <w:r w:rsidRPr="00E0343D">
        <w:rPr>
          <w:rFonts w:ascii="Garamond" w:hAnsi="Garamond"/>
          <w:b/>
          <w:sz w:val="24"/>
          <w:szCs w:val="24"/>
        </w:rPr>
        <w:t>Bibliografía</w:t>
      </w:r>
    </w:p>
    <w:p w:rsidR="00D807DC" w:rsidRPr="00E0343D" w:rsidRDefault="00D807DC" w:rsidP="00D807DC">
      <w:pPr>
        <w:pStyle w:val="Prrafodelista"/>
        <w:jc w:val="both"/>
        <w:rPr>
          <w:rFonts w:ascii="Garamond" w:hAnsi="Garamond"/>
          <w:sz w:val="24"/>
          <w:szCs w:val="24"/>
        </w:rPr>
      </w:pPr>
    </w:p>
    <w:p w:rsidR="004B2AA3" w:rsidRPr="00E0343D" w:rsidRDefault="004B2AA3" w:rsidP="00D807DC">
      <w:pPr>
        <w:pStyle w:val="Prrafodelista"/>
        <w:numPr>
          <w:ilvl w:val="0"/>
          <w:numId w:val="2"/>
        </w:numPr>
        <w:jc w:val="both"/>
        <w:rPr>
          <w:rFonts w:ascii="Garamond" w:hAnsi="Garamond"/>
          <w:b/>
          <w:sz w:val="24"/>
          <w:szCs w:val="24"/>
        </w:rPr>
      </w:pPr>
      <w:r w:rsidRPr="00E0343D">
        <w:rPr>
          <w:rFonts w:ascii="Garamond" w:hAnsi="Garamond"/>
          <w:b/>
          <w:sz w:val="24"/>
          <w:szCs w:val="24"/>
        </w:rPr>
        <w:t>Obligatoria</w:t>
      </w:r>
    </w:p>
    <w:p w:rsidR="00732740" w:rsidRPr="00E0343D" w:rsidRDefault="0011522B" w:rsidP="00D807DC">
      <w:pPr>
        <w:pStyle w:val="Prrafodelista"/>
        <w:numPr>
          <w:ilvl w:val="0"/>
          <w:numId w:val="5"/>
        </w:numPr>
        <w:jc w:val="both"/>
        <w:rPr>
          <w:rFonts w:ascii="Garamond" w:hAnsi="Garamond"/>
          <w:sz w:val="24"/>
          <w:szCs w:val="24"/>
        </w:rPr>
      </w:pPr>
      <w:r>
        <w:rPr>
          <w:rFonts w:ascii="Garamond" w:hAnsi="Garamond"/>
          <w:sz w:val="24"/>
          <w:szCs w:val="24"/>
        </w:rPr>
        <w:t>Kant, Immanuel. (2007</w:t>
      </w:r>
      <w:r w:rsidR="00732740" w:rsidRPr="00E0343D">
        <w:rPr>
          <w:rFonts w:ascii="Garamond" w:hAnsi="Garamond"/>
          <w:i/>
          <w:sz w:val="24"/>
          <w:szCs w:val="24"/>
        </w:rPr>
        <w:t>) Crítica de la Razón pura</w:t>
      </w:r>
      <w:r w:rsidR="00732740" w:rsidRPr="00E0343D">
        <w:rPr>
          <w:rFonts w:ascii="Garamond" w:hAnsi="Garamond"/>
          <w:sz w:val="24"/>
          <w:szCs w:val="24"/>
        </w:rPr>
        <w:t xml:space="preserve"> (</w:t>
      </w:r>
      <w:r w:rsidR="00732740" w:rsidRPr="00E0343D">
        <w:rPr>
          <w:rFonts w:ascii="Garamond" w:hAnsi="Garamond"/>
          <w:i/>
          <w:sz w:val="24"/>
          <w:szCs w:val="24"/>
        </w:rPr>
        <w:t>KrV</w:t>
      </w:r>
      <w:r w:rsidR="00732740" w:rsidRPr="00E0343D">
        <w:rPr>
          <w:rFonts w:ascii="Garamond" w:hAnsi="Garamond"/>
          <w:sz w:val="24"/>
          <w:szCs w:val="24"/>
        </w:rPr>
        <w:t xml:space="preserve">) </w:t>
      </w:r>
      <w:r>
        <w:rPr>
          <w:rFonts w:ascii="Garamond" w:hAnsi="Garamond"/>
          <w:sz w:val="24"/>
          <w:szCs w:val="24"/>
        </w:rPr>
        <w:t>(traducción de Mario Caimi). Colihue</w:t>
      </w:r>
      <w:r w:rsidR="00732740" w:rsidRPr="00E0343D">
        <w:rPr>
          <w:rFonts w:ascii="Garamond" w:hAnsi="Garamond"/>
          <w:sz w:val="24"/>
          <w:szCs w:val="24"/>
        </w:rPr>
        <w:t>,</w:t>
      </w:r>
      <w:r>
        <w:rPr>
          <w:rFonts w:ascii="Garamond" w:hAnsi="Garamond"/>
          <w:sz w:val="24"/>
          <w:szCs w:val="24"/>
        </w:rPr>
        <w:t xml:space="preserve"> Buenos Aires</w:t>
      </w:r>
      <w:r w:rsidR="00732740" w:rsidRPr="00E0343D">
        <w:rPr>
          <w:rFonts w:ascii="Garamond" w:hAnsi="Garamond"/>
          <w:sz w:val="24"/>
          <w:szCs w:val="24"/>
        </w:rPr>
        <w:t>.</w:t>
      </w:r>
    </w:p>
    <w:p w:rsidR="00732740" w:rsidRDefault="00732740" w:rsidP="00D807DC">
      <w:pPr>
        <w:pStyle w:val="Prrafodelista"/>
        <w:numPr>
          <w:ilvl w:val="0"/>
          <w:numId w:val="5"/>
        </w:numPr>
        <w:jc w:val="both"/>
        <w:rPr>
          <w:rFonts w:ascii="Garamond" w:hAnsi="Garamond"/>
          <w:sz w:val="24"/>
          <w:szCs w:val="24"/>
        </w:rPr>
      </w:pPr>
      <w:r w:rsidRPr="00E0343D">
        <w:rPr>
          <w:rFonts w:ascii="Garamond" w:hAnsi="Garamond"/>
          <w:sz w:val="24"/>
          <w:szCs w:val="24"/>
        </w:rPr>
        <w:t xml:space="preserve">Fichte, J.G. (1997) </w:t>
      </w:r>
      <w:r w:rsidRPr="00E0343D">
        <w:rPr>
          <w:rFonts w:ascii="Garamond" w:hAnsi="Garamond"/>
          <w:i/>
          <w:sz w:val="24"/>
          <w:szCs w:val="24"/>
        </w:rPr>
        <w:t>Primera y segunda introducción de la doctrina de la Ciencia; Ensayo de una nueva exposición de la Doctrina de Ciencia</w:t>
      </w:r>
      <w:r w:rsidRPr="00E0343D">
        <w:rPr>
          <w:rFonts w:ascii="Garamond" w:hAnsi="Garamond"/>
          <w:sz w:val="24"/>
          <w:szCs w:val="24"/>
        </w:rPr>
        <w:t xml:space="preserve"> (traducción de José María Quintana Cabañas). Tecnos, Madrid.</w:t>
      </w:r>
    </w:p>
    <w:p w:rsidR="00B63946" w:rsidRDefault="00B63946" w:rsidP="00B63946">
      <w:pPr>
        <w:pStyle w:val="Prrafodelista"/>
        <w:numPr>
          <w:ilvl w:val="0"/>
          <w:numId w:val="5"/>
        </w:numPr>
        <w:jc w:val="both"/>
        <w:rPr>
          <w:rFonts w:ascii="Garamond" w:hAnsi="Garamond"/>
          <w:sz w:val="24"/>
          <w:szCs w:val="24"/>
        </w:rPr>
      </w:pPr>
      <w:r>
        <w:rPr>
          <w:rFonts w:ascii="Garamond" w:hAnsi="Garamond"/>
          <w:sz w:val="24"/>
          <w:szCs w:val="24"/>
        </w:rPr>
        <w:lastRenderedPageBreak/>
        <w:t xml:space="preserve">Stepanenko, Pedro (2005), </w:t>
      </w:r>
      <w:r>
        <w:rPr>
          <w:rFonts w:ascii="Garamond" w:hAnsi="Garamond"/>
          <w:i/>
          <w:sz w:val="24"/>
          <w:szCs w:val="24"/>
        </w:rPr>
        <w:t>Autoconciencia y regresión al infinito en Descartes y Kant</w:t>
      </w:r>
      <w:r>
        <w:rPr>
          <w:rFonts w:ascii="Garamond" w:hAnsi="Garamond"/>
          <w:sz w:val="24"/>
          <w:szCs w:val="24"/>
        </w:rPr>
        <w:t xml:space="preserve"> en Península Vol. 1, núm. 0, Otoño 2005. UNAM, Mexico D.F. (pp. 199-217)</w:t>
      </w:r>
    </w:p>
    <w:p w:rsidR="00B63946" w:rsidRPr="00B63946" w:rsidRDefault="00B63946" w:rsidP="00B63946">
      <w:pPr>
        <w:pStyle w:val="Prrafodelista"/>
        <w:numPr>
          <w:ilvl w:val="0"/>
          <w:numId w:val="5"/>
        </w:numPr>
        <w:jc w:val="both"/>
        <w:rPr>
          <w:rFonts w:ascii="Garamond" w:hAnsi="Garamond"/>
          <w:sz w:val="24"/>
          <w:szCs w:val="24"/>
        </w:rPr>
      </w:pPr>
      <w:r w:rsidRPr="00B63946">
        <w:rPr>
          <w:rFonts w:ascii="Garamond" w:hAnsi="Garamond"/>
          <w:sz w:val="24"/>
          <w:szCs w:val="24"/>
        </w:rPr>
        <w:t>Placencia, Luis</w:t>
      </w:r>
      <w:r w:rsidRPr="00B63946">
        <w:rPr>
          <w:rFonts w:ascii="Garamond" w:hAnsi="Garamond"/>
        </w:rPr>
        <w:t xml:space="preserve"> (2017)</w:t>
      </w:r>
      <w:r>
        <w:t xml:space="preserve"> </w:t>
      </w:r>
      <w:r w:rsidRPr="00B63946">
        <w:rPr>
          <w:rFonts w:ascii="Garamond" w:hAnsi="Garamond" w:cs="Times New Roman"/>
          <w:bCs/>
          <w:i/>
          <w:color w:val="000000"/>
          <w:sz w:val="24"/>
          <w:szCs w:val="24"/>
        </w:rPr>
        <w:t xml:space="preserve">Descartes y Kant sobre la </w:t>
      </w:r>
      <w:r w:rsidRPr="00B63946">
        <w:rPr>
          <w:rFonts w:ascii="Garamond" w:hAnsi="Garamond" w:cs="Times New Roman"/>
          <w:bCs/>
          <w:i/>
          <w:iCs/>
          <w:color w:val="000000"/>
          <w:sz w:val="24"/>
          <w:szCs w:val="24"/>
        </w:rPr>
        <w:t xml:space="preserve">conciencia. </w:t>
      </w:r>
      <w:r w:rsidRPr="00B63946">
        <w:rPr>
          <w:rFonts w:ascii="Garamond" w:hAnsi="Garamond" w:cs="Times New Roman"/>
          <w:bCs/>
          <w:i/>
          <w:color w:val="000000"/>
          <w:sz w:val="24"/>
          <w:szCs w:val="24"/>
        </w:rPr>
        <w:t>Observaciones sobre un olvidado punto de contacto sistemático entre Kant y Descartes</w:t>
      </w:r>
      <w:r w:rsidR="00A3011A">
        <w:rPr>
          <w:rFonts w:ascii="Garamond" w:hAnsi="Garamond" w:cs="Times New Roman"/>
          <w:bCs/>
          <w:color w:val="000000"/>
          <w:sz w:val="24"/>
          <w:szCs w:val="24"/>
        </w:rPr>
        <w:t xml:space="preserve"> en</w:t>
      </w:r>
      <w:r w:rsidRPr="00B63946">
        <w:rPr>
          <w:rFonts w:ascii="Garamond" w:hAnsi="Garamond" w:cs="Times New Roman"/>
          <w:bCs/>
          <w:color w:val="000000"/>
          <w:sz w:val="24"/>
          <w:szCs w:val="24"/>
        </w:rPr>
        <w:t xml:space="preserve"> </w:t>
      </w:r>
      <w:r w:rsidRPr="00B63946">
        <w:rPr>
          <w:rFonts w:ascii="Garamond" w:hAnsi="Garamond"/>
          <w:bCs/>
          <w:sz w:val="24"/>
          <w:szCs w:val="24"/>
        </w:rPr>
        <w:t xml:space="preserve">International Journal of Philosophy N.o 5, Junio 2017, </w:t>
      </w:r>
      <w:r w:rsidR="00DE6B20">
        <w:rPr>
          <w:rFonts w:ascii="Garamond" w:hAnsi="Garamond"/>
          <w:bCs/>
          <w:sz w:val="24"/>
          <w:szCs w:val="24"/>
        </w:rPr>
        <w:t>(</w:t>
      </w:r>
      <w:r w:rsidRPr="00B63946">
        <w:rPr>
          <w:rFonts w:ascii="Garamond" w:hAnsi="Garamond"/>
          <w:bCs/>
          <w:sz w:val="24"/>
          <w:szCs w:val="24"/>
        </w:rPr>
        <w:t>pp. 278-295</w:t>
      </w:r>
      <w:r w:rsidR="00DE6B20">
        <w:rPr>
          <w:rFonts w:ascii="Garamond" w:hAnsi="Garamond"/>
          <w:bCs/>
          <w:sz w:val="24"/>
          <w:szCs w:val="24"/>
        </w:rPr>
        <w:t>)</w:t>
      </w:r>
    </w:p>
    <w:p w:rsidR="00D807DC" w:rsidRPr="00E0343D" w:rsidRDefault="00D807DC" w:rsidP="00D807DC">
      <w:pPr>
        <w:pStyle w:val="Prrafodelista"/>
        <w:ind w:left="1080"/>
        <w:jc w:val="both"/>
        <w:rPr>
          <w:rFonts w:ascii="Garamond" w:hAnsi="Garamond"/>
          <w:sz w:val="24"/>
          <w:szCs w:val="24"/>
        </w:rPr>
      </w:pPr>
    </w:p>
    <w:p w:rsidR="004B2AA3" w:rsidRPr="00E0343D" w:rsidRDefault="004B2AA3" w:rsidP="00D807DC">
      <w:pPr>
        <w:pStyle w:val="Prrafodelista"/>
        <w:numPr>
          <w:ilvl w:val="0"/>
          <w:numId w:val="2"/>
        </w:numPr>
        <w:jc w:val="both"/>
        <w:rPr>
          <w:rFonts w:ascii="Garamond" w:hAnsi="Garamond"/>
          <w:b/>
          <w:sz w:val="24"/>
          <w:szCs w:val="24"/>
        </w:rPr>
      </w:pPr>
      <w:r w:rsidRPr="00E0343D">
        <w:rPr>
          <w:rFonts w:ascii="Garamond" w:hAnsi="Garamond"/>
          <w:b/>
          <w:sz w:val="24"/>
          <w:szCs w:val="24"/>
        </w:rPr>
        <w:t>Recomendada</w:t>
      </w:r>
    </w:p>
    <w:p w:rsidR="004B2AA3" w:rsidRPr="00E0343D" w:rsidRDefault="00E66F22" w:rsidP="00D807DC">
      <w:pPr>
        <w:pStyle w:val="Prrafodelista"/>
        <w:numPr>
          <w:ilvl w:val="0"/>
          <w:numId w:val="7"/>
        </w:numPr>
        <w:jc w:val="both"/>
        <w:rPr>
          <w:rFonts w:ascii="Garamond" w:hAnsi="Garamond"/>
          <w:sz w:val="24"/>
          <w:szCs w:val="24"/>
        </w:rPr>
      </w:pPr>
      <w:r w:rsidRPr="00E0343D">
        <w:rPr>
          <w:rFonts w:ascii="Garamond" w:hAnsi="Garamond"/>
          <w:sz w:val="24"/>
          <w:szCs w:val="24"/>
        </w:rPr>
        <w:t xml:space="preserve">Höffe, Otfried (1986) </w:t>
      </w:r>
      <w:r w:rsidRPr="00E0343D">
        <w:rPr>
          <w:rFonts w:ascii="Garamond" w:hAnsi="Garamond"/>
          <w:i/>
          <w:sz w:val="24"/>
          <w:szCs w:val="24"/>
        </w:rPr>
        <w:t xml:space="preserve">Immanuel Kant </w:t>
      </w:r>
      <w:r w:rsidRPr="00E0343D">
        <w:rPr>
          <w:rFonts w:ascii="Garamond" w:hAnsi="Garamond"/>
          <w:sz w:val="24"/>
          <w:szCs w:val="24"/>
        </w:rPr>
        <w:t>(traducción de DIORKI). Editorial Herder, Barcelona.</w:t>
      </w:r>
    </w:p>
    <w:p w:rsidR="00E66F22" w:rsidRPr="00E0343D" w:rsidRDefault="00E66F22" w:rsidP="00D807DC">
      <w:pPr>
        <w:pStyle w:val="Prrafodelista"/>
        <w:numPr>
          <w:ilvl w:val="0"/>
          <w:numId w:val="7"/>
        </w:numPr>
        <w:jc w:val="both"/>
        <w:rPr>
          <w:rFonts w:ascii="Garamond" w:hAnsi="Garamond"/>
          <w:sz w:val="24"/>
          <w:szCs w:val="24"/>
        </w:rPr>
      </w:pPr>
      <w:r w:rsidRPr="00E0343D">
        <w:rPr>
          <w:rFonts w:ascii="Garamond" w:hAnsi="Garamond"/>
          <w:sz w:val="24"/>
          <w:szCs w:val="24"/>
        </w:rPr>
        <w:t xml:space="preserve">Torreti, Roberto (2013) </w:t>
      </w:r>
      <w:r w:rsidRPr="00E0343D">
        <w:rPr>
          <w:rFonts w:ascii="Garamond" w:hAnsi="Garamond"/>
          <w:i/>
          <w:sz w:val="24"/>
          <w:szCs w:val="24"/>
        </w:rPr>
        <w:t xml:space="preserve">Manuel Kant. </w:t>
      </w:r>
      <w:r w:rsidRPr="00E0343D">
        <w:rPr>
          <w:rFonts w:ascii="Garamond" w:hAnsi="Garamond"/>
          <w:sz w:val="24"/>
          <w:szCs w:val="24"/>
        </w:rPr>
        <w:t>Diego Portales, Santiago.</w:t>
      </w:r>
    </w:p>
    <w:p w:rsidR="00595198" w:rsidRPr="00E0343D" w:rsidRDefault="00E66F22" w:rsidP="00D807DC">
      <w:pPr>
        <w:pStyle w:val="Prrafodelista"/>
        <w:numPr>
          <w:ilvl w:val="0"/>
          <w:numId w:val="7"/>
        </w:numPr>
        <w:jc w:val="both"/>
        <w:rPr>
          <w:rFonts w:ascii="Garamond" w:hAnsi="Garamond"/>
          <w:sz w:val="24"/>
          <w:szCs w:val="24"/>
        </w:rPr>
      </w:pPr>
      <w:r w:rsidRPr="00E0343D">
        <w:rPr>
          <w:rFonts w:ascii="Garamond" w:hAnsi="Garamond"/>
          <w:sz w:val="24"/>
          <w:szCs w:val="24"/>
        </w:rPr>
        <w:t xml:space="preserve">Zöller, Gunter (2015) </w:t>
      </w:r>
      <w:r w:rsidRPr="00E0343D">
        <w:rPr>
          <w:rFonts w:ascii="Garamond" w:hAnsi="Garamond"/>
          <w:i/>
          <w:sz w:val="24"/>
          <w:szCs w:val="24"/>
        </w:rPr>
        <w:t xml:space="preserve">Leer a Fichte </w:t>
      </w:r>
      <w:r w:rsidRPr="00E0343D">
        <w:rPr>
          <w:rFonts w:ascii="Garamond" w:hAnsi="Garamond"/>
          <w:sz w:val="24"/>
          <w:szCs w:val="24"/>
        </w:rPr>
        <w:t>(</w:t>
      </w:r>
      <w:r w:rsidR="00595198" w:rsidRPr="00E0343D">
        <w:rPr>
          <w:rFonts w:ascii="Garamond" w:hAnsi="Garamond"/>
          <w:sz w:val="24"/>
          <w:szCs w:val="24"/>
        </w:rPr>
        <w:t>traducción de Gabriel Rivero). Editorial Herder, Barcelona.</w:t>
      </w:r>
    </w:p>
    <w:p w:rsidR="00595198" w:rsidRPr="00A3011A" w:rsidRDefault="00A3011A" w:rsidP="00D807DC">
      <w:pPr>
        <w:pStyle w:val="Prrafodelista"/>
        <w:numPr>
          <w:ilvl w:val="0"/>
          <w:numId w:val="7"/>
        </w:numPr>
        <w:jc w:val="both"/>
        <w:rPr>
          <w:rFonts w:ascii="Garamond" w:hAnsi="Garamond"/>
          <w:sz w:val="24"/>
          <w:szCs w:val="24"/>
        </w:rPr>
      </w:pPr>
      <w:r>
        <w:rPr>
          <w:rFonts w:ascii="Garamond" w:hAnsi="Garamond"/>
          <w:color w:val="1A1A1A"/>
          <w:sz w:val="24"/>
          <w:szCs w:val="24"/>
          <w:shd w:val="clear" w:color="auto" w:fill="FFFFFF"/>
        </w:rPr>
        <w:t>Henrich, Dieter</w:t>
      </w:r>
      <w:r w:rsidR="00595198" w:rsidRPr="00E0343D">
        <w:rPr>
          <w:rFonts w:ascii="Garamond" w:hAnsi="Garamond"/>
          <w:color w:val="1A1A1A"/>
          <w:sz w:val="24"/>
          <w:szCs w:val="24"/>
          <w:shd w:val="clear" w:color="auto" w:fill="FFFFFF"/>
        </w:rPr>
        <w:t xml:space="preserve"> </w:t>
      </w:r>
      <w:r>
        <w:rPr>
          <w:rFonts w:ascii="Garamond" w:hAnsi="Garamond"/>
          <w:color w:val="1A1A1A"/>
          <w:sz w:val="24"/>
          <w:szCs w:val="24"/>
          <w:shd w:val="clear" w:color="auto" w:fill="FFFFFF"/>
        </w:rPr>
        <w:t>(</w:t>
      </w:r>
      <w:r w:rsidR="00595198" w:rsidRPr="00E0343D">
        <w:rPr>
          <w:rFonts w:ascii="Garamond" w:hAnsi="Garamond"/>
          <w:color w:val="1A1A1A"/>
          <w:sz w:val="24"/>
          <w:szCs w:val="24"/>
          <w:shd w:val="clear" w:color="auto" w:fill="FFFFFF"/>
        </w:rPr>
        <w:t>1967</w:t>
      </w:r>
      <w:r>
        <w:rPr>
          <w:rFonts w:ascii="Garamond" w:hAnsi="Garamond"/>
          <w:color w:val="1A1A1A"/>
          <w:sz w:val="24"/>
          <w:szCs w:val="24"/>
          <w:shd w:val="clear" w:color="auto" w:fill="FFFFFF"/>
        </w:rPr>
        <w:t>)</w:t>
      </w:r>
      <w:r w:rsidR="00595198" w:rsidRPr="00E0343D">
        <w:rPr>
          <w:rFonts w:ascii="Garamond" w:hAnsi="Garamond"/>
          <w:color w:val="1A1A1A"/>
          <w:sz w:val="24"/>
          <w:szCs w:val="24"/>
          <w:shd w:val="clear" w:color="auto" w:fill="FFFFFF"/>
        </w:rPr>
        <w:t>, </w:t>
      </w:r>
      <w:r w:rsidR="00595198" w:rsidRPr="00E0343D">
        <w:rPr>
          <w:rStyle w:val="nfasis"/>
          <w:rFonts w:ascii="Garamond" w:hAnsi="Garamond"/>
          <w:color w:val="1A1A1A"/>
          <w:sz w:val="24"/>
          <w:szCs w:val="24"/>
          <w:shd w:val="clear" w:color="auto" w:fill="FFFFFF"/>
        </w:rPr>
        <w:t>Fichtes ursprüngliche Einsicht</w:t>
      </w:r>
      <w:r w:rsidR="00595198" w:rsidRPr="00E0343D">
        <w:rPr>
          <w:rFonts w:ascii="Garamond" w:hAnsi="Garamond"/>
          <w:color w:val="1A1A1A"/>
          <w:sz w:val="24"/>
          <w:szCs w:val="24"/>
          <w:shd w:val="clear" w:color="auto" w:fill="FFFFFF"/>
        </w:rPr>
        <w:t xml:space="preserve">, Frankfurt am Main: Klostermann; </w:t>
      </w:r>
      <w:r w:rsidR="00555F0B" w:rsidRPr="00E0343D">
        <w:rPr>
          <w:rFonts w:ascii="Garamond" w:hAnsi="Garamond"/>
          <w:color w:val="1A1A1A"/>
          <w:sz w:val="24"/>
          <w:szCs w:val="24"/>
          <w:shd w:val="clear" w:color="auto" w:fill="FFFFFF"/>
        </w:rPr>
        <w:t xml:space="preserve">(trans. David Lachterman), </w:t>
      </w:r>
      <w:r w:rsidR="00595198" w:rsidRPr="00E0343D">
        <w:rPr>
          <w:rFonts w:ascii="Garamond" w:hAnsi="Garamond"/>
          <w:color w:val="1A1A1A"/>
          <w:sz w:val="24"/>
          <w:szCs w:val="24"/>
          <w:shd w:val="clear" w:color="auto" w:fill="FFFFFF"/>
        </w:rPr>
        <w:t>“Fichte’s Original Insight,” </w:t>
      </w:r>
      <w:r w:rsidR="00595198" w:rsidRPr="00E0343D">
        <w:rPr>
          <w:rStyle w:val="nfasis"/>
          <w:rFonts w:ascii="Garamond" w:hAnsi="Garamond"/>
          <w:color w:val="1A1A1A"/>
          <w:sz w:val="24"/>
          <w:szCs w:val="24"/>
          <w:shd w:val="clear" w:color="auto" w:fill="FFFFFF"/>
        </w:rPr>
        <w:t>Contemporary German Philosophy</w:t>
      </w:r>
      <w:r w:rsidR="00595198" w:rsidRPr="00E0343D">
        <w:rPr>
          <w:rFonts w:ascii="Garamond" w:hAnsi="Garamond"/>
          <w:color w:val="1A1A1A"/>
          <w:sz w:val="24"/>
          <w:szCs w:val="24"/>
          <w:shd w:val="clear" w:color="auto" w:fill="FFFFFF"/>
        </w:rPr>
        <w:t>, 1 (1982): 15–52. </w:t>
      </w:r>
    </w:p>
    <w:p w:rsidR="00A3011A" w:rsidRPr="009775A2" w:rsidRDefault="00A3011A" w:rsidP="00D807DC">
      <w:pPr>
        <w:pStyle w:val="Prrafodelista"/>
        <w:numPr>
          <w:ilvl w:val="0"/>
          <w:numId w:val="7"/>
        </w:numPr>
        <w:jc w:val="both"/>
        <w:rPr>
          <w:rFonts w:ascii="Garamond" w:hAnsi="Garamond"/>
          <w:sz w:val="24"/>
          <w:szCs w:val="24"/>
        </w:rPr>
      </w:pPr>
      <w:r>
        <w:rPr>
          <w:rFonts w:ascii="Garamond" w:hAnsi="Garamond"/>
          <w:color w:val="1A1A1A"/>
          <w:sz w:val="24"/>
          <w:szCs w:val="24"/>
          <w:shd w:val="clear" w:color="auto" w:fill="FFFFFF"/>
        </w:rPr>
        <w:t xml:space="preserve">Torrealba, José M (2009) </w:t>
      </w:r>
      <w:r>
        <w:rPr>
          <w:rFonts w:ascii="Garamond" w:hAnsi="Garamond"/>
          <w:i/>
          <w:color w:val="1A1A1A"/>
          <w:sz w:val="24"/>
          <w:szCs w:val="24"/>
          <w:shd w:val="clear" w:color="auto" w:fill="FFFFFF"/>
        </w:rPr>
        <w:t xml:space="preserve">Libertad, objeto práctico y </w:t>
      </w:r>
      <w:r w:rsidRPr="00A3011A">
        <w:rPr>
          <w:rFonts w:ascii="Garamond" w:hAnsi="Garamond"/>
          <w:i/>
          <w:color w:val="1A1A1A"/>
          <w:sz w:val="24"/>
          <w:szCs w:val="24"/>
          <w:shd w:val="clear" w:color="auto" w:fill="FFFFFF"/>
        </w:rPr>
        <w:t>acción</w:t>
      </w:r>
      <w:r>
        <w:rPr>
          <w:rFonts w:ascii="Garamond" w:hAnsi="Garamond"/>
          <w:i/>
          <w:color w:val="1A1A1A"/>
          <w:sz w:val="24"/>
          <w:szCs w:val="24"/>
          <w:shd w:val="clear" w:color="auto" w:fill="FFFFFF"/>
        </w:rPr>
        <w:t>.</w:t>
      </w:r>
      <w:r w:rsidRPr="00A3011A">
        <w:rPr>
          <w:rFonts w:ascii="Garamond" w:hAnsi="Garamond"/>
          <w:color w:val="1A1A1A"/>
          <w:sz w:val="24"/>
          <w:szCs w:val="24"/>
          <w:shd w:val="clear" w:color="auto" w:fill="FFFFFF"/>
        </w:rPr>
        <w:t xml:space="preserve"> </w:t>
      </w:r>
      <w:r w:rsidRPr="00A3011A">
        <w:rPr>
          <w:rFonts w:ascii="Garamond" w:hAnsi="Garamond" w:cs="Times New Roman"/>
          <w:sz w:val="24"/>
          <w:szCs w:val="24"/>
        </w:rPr>
        <w:t>GEORG OLMS VERLAG</w:t>
      </w:r>
      <w:r>
        <w:rPr>
          <w:rFonts w:ascii="Garamond" w:hAnsi="Garamond" w:cs="Times New Roman"/>
          <w:sz w:val="24"/>
          <w:szCs w:val="24"/>
        </w:rPr>
        <w:t xml:space="preserve">, </w:t>
      </w:r>
      <w:r w:rsidRPr="009775A2">
        <w:rPr>
          <w:rFonts w:ascii="Garamond" w:hAnsi="Garamond" w:cs="Times New Roman"/>
          <w:sz w:val="24"/>
          <w:szCs w:val="24"/>
        </w:rPr>
        <w:t>Hildemscheim.</w:t>
      </w:r>
    </w:p>
    <w:p w:rsidR="00927147" w:rsidRPr="009775A2" w:rsidRDefault="00927147" w:rsidP="00D807DC">
      <w:pPr>
        <w:pStyle w:val="Prrafodelista"/>
        <w:numPr>
          <w:ilvl w:val="0"/>
          <w:numId w:val="7"/>
        </w:numPr>
        <w:jc w:val="both"/>
        <w:rPr>
          <w:rFonts w:ascii="Garamond" w:hAnsi="Garamond"/>
          <w:sz w:val="24"/>
          <w:szCs w:val="24"/>
        </w:rPr>
      </w:pPr>
      <w:r w:rsidRPr="009775A2">
        <w:rPr>
          <w:rFonts w:ascii="Garamond" w:hAnsi="Garamond"/>
          <w:color w:val="1A1A1A"/>
          <w:sz w:val="24"/>
          <w:szCs w:val="24"/>
          <w:shd w:val="clear" w:color="auto" w:fill="FFFFFF"/>
        </w:rPr>
        <w:t xml:space="preserve">Tugendhat, Ernest (1993) </w:t>
      </w:r>
      <w:r w:rsidRPr="009775A2">
        <w:rPr>
          <w:rFonts w:ascii="Garamond" w:hAnsi="Garamond"/>
          <w:i/>
          <w:color w:val="1A1A1A"/>
          <w:sz w:val="24"/>
          <w:szCs w:val="24"/>
          <w:shd w:val="clear" w:color="auto" w:fill="FFFFFF"/>
        </w:rPr>
        <w:t xml:space="preserve">El Yo </w:t>
      </w:r>
      <w:r w:rsidRPr="009775A2">
        <w:rPr>
          <w:rFonts w:ascii="Garamond" w:hAnsi="Garamond"/>
          <w:color w:val="1A1A1A"/>
          <w:sz w:val="24"/>
          <w:szCs w:val="24"/>
          <w:shd w:val="clear" w:color="auto" w:fill="FFFFFF"/>
        </w:rPr>
        <w:t>en Re</w:t>
      </w:r>
      <w:bookmarkStart w:id="0" w:name="_GoBack"/>
      <w:bookmarkEnd w:id="0"/>
      <w:r w:rsidRPr="009775A2">
        <w:rPr>
          <w:rFonts w:ascii="Garamond" w:hAnsi="Garamond"/>
          <w:color w:val="1A1A1A"/>
          <w:sz w:val="24"/>
          <w:szCs w:val="24"/>
          <w:shd w:val="clear" w:color="auto" w:fill="FFFFFF"/>
        </w:rPr>
        <w:t xml:space="preserve">vista Latinoamericana de Filosofía, </w:t>
      </w:r>
      <w:r w:rsidR="00F90650" w:rsidRPr="009775A2">
        <w:rPr>
          <w:rFonts w:ascii="Garamond" w:hAnsi="Garamond" w:cs="Times New Roman"/>
          <w:sz w:val="24"/>
          <w:szCs w:val="24"/>
        </w:rPr>
        <w:t>Vol. XIX, N°1 (Otoño 1993) (pp. 2-16)</w:t>
      </w:r>
    </w:p>
    <w:p w:rsidR="004B2AA3" w:rsidRPr="00E0343D" w:rsidRDefault="004B2AA3" w:rsidP="00D807DC">
      <w:pPr>
        <w:jc w:val="both"/>
        <w:rPr>
          <w:rFonts w:ascii="Garamond" w:hAnsi="Garamond"/>
          <w:sz w:val="24"/>
          <w:szCs w:val="24"/>
        </w:rPr>
      </w:pPr>
    </w:p>
    <w:sectPr w:rsidR="004B2AA3" w:rsidRPr="00E0343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00" w:rsidRDefault="006D3900" w:rsidP="00935E84">
      <w:pPr>
        <w:spacing w:after="0" w:line="240" w:lineRule="auto"/>
      </w:pPr>
      <w:r>
        <w:separator/>
      </w:r>
    </w:p>
  </w:endnote>
  <w:endnote w:type="continuationSeparator" w:id="0">
    <w:p w:rsidR="006D3900" w:rsidRDefault="006D3900" w:rsidP="0093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00" w:rsidRDefault="006D3900" w:rsidP="00935E84">
      <w:pPr>
        <w:spacing w:after="0" w:line="240" w:lineRule="auto"/>
      </w:pPr>
      <w:r>
        <w:separator/>
      </w:r>
    </w:p>
  </w:footnote>
  <w:footnote w:type="continuationSeparator" w:id="0">
    <w:p w:rsidR="006D3900" w:rsidRDefault="006D3900" w:rsidP="0093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84080"/>
    <w:multiLevelType w:val="hybridMultilevel"/>
    <w:tmpl w:val="60B8D19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1E427F59"/>
    <w:multiLevelType w:val="hybridMultilevel"/>
    <w:tmpl w:val="18E0C1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D3B5A31"/>
    <w:multiLevelType w:val="hybridMultilevel"/>
    <w:tmpl w:val="8AB026AA"/>
    <w:lvl w:ilvl="0" w:tplc="7F44C512">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65C2D3C"/>
    <w:multiLevelType w:val="hybridMultilevel"/>
    <w:tmpl w:val="02EC6F9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36D40EB1"/>
    <w:multiLevelType w:val="hybridMultilevel"/>
    <w:tmpl w:val="F03A98D8"/>
    <w:lvl w:ilvl="0" w:tplc="FB0C855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F5B68F3"/>
    <w:multiLevelType w:val="hybridMultilevel"/>
    <w:tmpl w:val="EF0C37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60061C3"/>
    <w:multiLevelType w:val="hybridMultilevel"/>
    <w:tmpl w:val="5C8E2B5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5841BFF"/>
    <w:multiLevelType w:val="hybridMultilevel"/>
    <w:tmpl w:val="3AFAD6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28"/>
    <w:rsid w:val="0003036E"/>
    <w:rsid w:val="00047F03"/>
    <w:rsid w:val="000B73CA"/>
    <w:rsid w:val="000E1398"/>
    <w:rsid w:val="0011522B"/>
    <w:rsid w:val="00145A89"/>
    <w:rsid w:val="00146A71"/>
    <w:rsid w:val="001679C5"/>
    <w:rsid w:val="001F3D02"/>
    <w:rsid w:val="00310C86"/>
    <w:rsid w:val="0031651F"/>
    <w:rsid w:val="00331D77"/>
    <w:rsid w:val="00356C11"/>
    <w:rsid w:val="00381CE7"/>
    <w:rsid w:val="003B255A"/>
    <w:rsid w:val="003F73B0"/>
    <w:rsid w:val="00432080"/>
    <w:rsid w:val="004559BE"/>
    <w:rsid w:val="00495CD8"/>
    <w:rsid w:val="004B2AA3"/>
    <w:rsid w:val="00500B56"/>
    <w:rsid w:val="00500BEB"/>
    <w:rsid w:val="00535F47"/>
    <w:rsid w:val="00555F0B"/>
    <w:rsid w:val="00557AD2"/>
    <w:rsid w:val="00595198"/>
    <w:rsid w:val="005F2B28"/>
    <w:rsid w:val="006004FB"/>
    <w:rsid w:val="00623FFB"/>
    <w:rsid w:val="006A7102"/>
    <w:rsid w:val="006B745D"/>
    <w:rsid w:val="006D3900"/>
    <w:rsid w:val="00705F60"/>
    <w:rsid w:val="00732740"/>
    <w:rsid w:val="008E3413"/>
    <w:rsid w:val="008F5464"/>
    <w:rsid w:val="00913EE2"/>
    <w:rsid w:val="00927147"/>
    <w:rsid w:val="00935E84"/>
    <w:rsid w:val="00937A56"/>
    <w:rsid w:val="00943332"/>
    <w:rsid w:val="009775A2"/>
    <w:rsid w:val="00987ACD"/>
    <w:rsid w:val="00A3011A"/>
    <w:rsid w:val="00AE65BF"/>
    <w:rsid w:val="00B63946"/>
    <w:rsid w:val="00B87139"/>
    <w:rsid w:val="00C56508"/>
    <w:rsid w:val="00C76279"/>
    <w:rsid w:val="00CA3AFD"/>
    <w:rsid w:val="00CE71B6"/>
    <w:rsid w:val="00D127D4"/>
    <w:rsid w:val="00D3086C"/>
    <w:rsid w:val="00D41D21"/>
    <w:rsid w:val="00D50C96"/>
    <w:rsid w:val="00D70985"/>
    <w:rsid w:val="00D807DC"/>
    <w:rsid w:val="00DB437B"/>
    <w:rsid w:val="00DE6B20"/>
    <w:rsid w:val="00E0343D"/>
    <w:rsid w:val="00E66F22"/>
    <w:rsid w:val="00F01268"/>
    <w:rsid w:val="00F90650"/>
    <w:rsid w:val="00FB34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D3E24-C52F-4941-AD0C-E5FD8D11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AA3"/>
    <w:pPr>
      <w:ind w:left="720"/>
      <w:contextualSpacing/>
    </w:pPr>
  </w:style>
  <w:style w:type="character" w:styleId="Hipervnculo">
    <w:name w:val="Hyperlink"/>
    <w:basedOn w:val="Fuentedeprrafopredeter"/>
    <w:uiPriority w:val="99"/>
    <w:unhideWhenUsed/>
    <w:rsid w:val="004B2AA3"/>
    <w:rPr>
      <w:color w:val="0563C1" w:themeColor="hyperlink"/>
      <w:u w:val="single"/>
    </w:rPr>
  </w:style>
  <w:style w:type="table" w:styleId="Tablaconcuadrcula">
    <w:name w:val="Table Grid"/>
    <w:basedOn w:val="Tablanormal"/>
    <w:uiPriority w:val="39"/>
    <w:rsid w:val="003B2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595198"/>
    <w:rPr>
      <w:i/>
      <w:iCs/>
    </w:rPr>
  </w:style>
  <w:style w:type="paragraph" w:styleId="Textonotapie">
    <w:name w:val="footnote text"/>
    <w:basedOn w:val="Normal"/>
    <w:link w:val="TextonotapieCar"/>
    <w:uiPriority w:val="99"/>
    <w:semiHidden/>
    <w:unhideWhenUsed/>
    <w:rsid w:val="00935E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5E84"/>
    <w:rPr>
      <w:sz w:val="20"/>
      <w:szCs w:val="20"/>
    </w:rPr>
  </w:style>
  <w:style w:type="character" w:styleId="Refdenotaalpie">
    <w:name w:val="footnote reference"/>
    <w:basedOn w:val="Fuentedeprrafopredeter"/>
    <w:uiPriority w:val="99"/>
    <w:semiHidden/>
    <w:unhideWhenUsed/>
    <w:rsid w:val="00935E84"/>
    <w:rPr>
      <w:vertAlign w:val="superscript"/>
    </w:rPr>
  </w:style>
  <w:style w:type="paragraph" w:customStyle="1" w:styleId="Default">
    <w:name w:val="Default"/>
    <w:rsid w:val="00B6394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e.castillo.v@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011D5-4010-4C60-9831-44DAB2C2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Pages>
  <Words>1296</Words>
  <Characters>7130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22</cp:revision>
  <dcterms:created xsi:type="dcterms:W3CDTF">2020-04-06T23:00:00Z</dcterms:created>
  <dcterms:modified xsi:type="dcterms:W3CDTF">2020-04-30T13:55:00Z</dcterms:modified>
</cp:coreProperties>
</file>