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22" w:rsidRPr="00425898" w:rsidRDefault="002B2B22" w:rsidP="002B2B22">
      <w:pPr>
        <w:rPr>
          <w:rFonts w:ascii="Cambria" w:hAnsi="Cambria"/>
          <w:sz w:val="22"/>
          <w:szCs w:val="22"/>
          <w:lang w:val="es-CL"/>
        </w:rPr>
      </w:pPr>
      <w:r w:rsidRPr="00425898">
        <w:rPr>
          <w:rFonts w:ascii="Cambria" w:hAnsi="Cambria"/>
          <w:sz w:val="22"/>
          <w:szCs w:val="22"/>
          <w:lang w:val="es-CL"/>
        </w:rPr>
        <w:t>Universidad de Chile</w:t>
      </w:r>
    </w:p>
    <w:p w:rsidR="002B2B22" w:rsidRPr="00425898" w:rsidRDefault="002B2B22" w:rsidP="002B2B22">
      <w:pPr>
        <w:rPr>
          <w:rFonts w:ascii="Cambria" w:hAnsi="Cambria"/>
          <w:sz w:val="22"/>
          <w:szCs w:val="22"/>
          <w:lang w:val="es-CL"/>
        </w:rPr>
      </w:pPr>
      <w:r w:rsidRPr="00425898">
        <w:rPr>
          <w:rFonts w:ascii="Cambria" w:hAnsi="Cambria"/>
          <w:sz w:val="22"/>
          <w:szCs w:val="22"/>
          <w:lang w:val="es-CL"/>
        </w:rPr>
        <w:t>Facultad de Derecho</w:t>
      </w:r>
    </w:p>
    <w:p w:rsidR="002B2B22" w:rsidRPr="00425898" w:rsidRDefault="002B2B22" w:rsidP="002B2B22">
      <w:pPr>
        <w:rPr>
          <w:rFonts w:ascii="Cambria" w:hAnsi="Cambria"/>
          <w:sz w:val="22"/>
          <w:szCs w:val="22"/>
          <w:lang w:val="es-CL"/>
        </w:rPr>
      </w:pPr>
      <w:r w:rsidRPr="00425898">
        <w:rPr>
          <w:rFonts w:ascii="Cambria" w:hAnsi="Cambria"/>
          <w:sz w:val="22"/>
          <w:szCs w:val="22"/>
          <w:lang w:val="es-CL"/>
        </w:rPr>
        <w:t>Departamento de Derecho Público</w:t>
      </w:r>
    </w:p>
    <w:p w:rsidR="002B2B22" w:rsidRPr="00425898" w:rsidRDefault="002B2B22" w:rsidP="002B2B22">
      <w:pPr>
        <w:rPr>
          <w:rFonts w:ascii="Cambria" w:hAnsi="Cambria"/>
          <w:sz w:val="22"/>
          <w:szCs w:val="22"/>
          <w:lang w:val="es-CL"/>
        </w:rPr>
      </w:pPr>
      <w:r w:rsidRPr="00425898">
        <w:rPr>
          <w:rFonts w:ascii="Cambria" w:hAnsi="Cambria"/>
          <w:sz w:val="22"/>
          <w:szCs w:val="22"/>
          <w:lang w:val="es-CL"/>
        </w:rPr>
        <w:t>Derecho Constitucional II</w:t>
      </w:r>
    </w:p>
    <w:p w:rsidR="00DB3DA6" w:rsidRDefault="002B2B22">
      <w:pPr>
        <w:rPr>
          <w:rFonts w:ascii="Cambria" w:hAnsi="Cambria"/>
          <w:sz w:val="22"/>
          <w:szCs w:val="22"/>
          <w:lang w:val="es-CL"/>
        </w:rPr>
      </w:pPr>
      <w:r w:rsidRPr="00425898">
        <w:rPr>
          <w:rFonts w:ascii="Cambria" w:hAnsi="Cambria"/>
          <w:sz w:val="22"/>
          <w:szCs w:val="22"/>
          <w:lang w:val="es-CL"/>
        </w:rPr>
        <w:t>Profesor: Enrique Navarro B.</w:t>
      </w:r>
    </w:p>
    <w:p w:rsidR="00E55FFD" w:rsidRDefault="00E55FFD">
      <w:pPr>
        <w:rPr>
          <w:rFonts w:ascii="Cambria" w:hAnsi="Cambria"/>
          <w:sz w:val="22"/>
          <w:szCs w:val="22"/>
          <w:lang w:val="es-CL"/>
        </w:rPr>
      </w:pPr>
      <w:r>
        <w:rPr>
          <w:rFonts w:ascii="Cambria" w:hAnsi="Cambria"/>
          <w:sz w:val="22"/>
          <w:szCs w:val="22"/>
          <w:lang w:val="es-CL"/>
        </w:rPr>
        <w:t>Ayudantes: Alexis Gallardo, Leonardo Jofré.</w:t>
      </w:r>
    </w:p>
    <w:p w:rsidR="00292814" w:rsidRPr="00425898" w:rsidRDefault="00292814">
      <w:pPr>
        <w:rPr>
          <w:rFonts w:ascii="Cambria" w:hAnsi="Cambria"/>
          <w:sz w:val="22"/>
          <w:szCs w:val="22"/>
          <w:lang w:val="es-CL"/>
        </w:rPr>
      </w:pPr>
      <w:bookmarkStart w:id="0" w:name="_GoBack"/>
      <w:bookmarkEnd w:id="0"/>
    </w:p>
    <w:p w:rsidR="002B2B22" w:rsidRPr="00425898" w:rsidRDefault="002B2B22">
      <w:pPr>
        <w:rPr>
          <w:rFonts w:ascii="Cambria" w:hAnsi="Cambria"/>
          <w:sz w:val="22"/>
          <w:szCs w:val="22"/>
          <w:lang w:val="es-CL"/>
        </w:rPr>
      </w:pPr>
    </w:p>
    <w:p w:rsidR="002B2B22" w:rsidRPr="00425898" w:rsidRDefault="002B2B22" w:rsidP="002B2B22">
      <w:pPr>
        <w:jc w:val="center"/>
        <w:rPr>
          <w:rFonts w:ascii="Cambria" w:hAnsi="Cambria"/>
          <w:b/>
          <w:sz w:val="22"/>
          <w:szCs w:val="22"/>
          <w:lang w:val="es-CL"/>
        </w:rPr>
      </w:pPr>
      <w:r w:rsidRPr="00425898">
        <w:rPr>
          <w:rFonts w:ascii="Cambria" w:hAnsi="Cambria"/>
          <w:b/>
          <w:sz w:val="22"/>
          <w:szCs w:val="22"/>
          <w:lang w:val="es-CL"/>
        </w:rPr>
        <w:t>SEMINARIO II</w:t>
      </w:r>
    </w:p>
    <w:p w:rsidR="002B2B22" w:rsidRPr="00425898" w:rsidRDefault="002B2B22" w:rsidP="002B2B22">
      <w:pPr>
        <w:jc w:val="center"/>
        <w:rPr>
          <w:rFonts w:ascii="Cambria" w:hAnsi="Cambria"/>
          <w:b/>
          <w:sz w:val="22"/>
          <w:szCs w:val="22"/>
          <w:lang w:val="es-CL"/>
        </w:rPr>
      </w:pPr>
    </w:p>
    <w:p w:rsidR="002B2B22" w:rsidRPr="00425898" w:rsidRDefault="002B2B22" w:rsidP="002B2B22">
      <w:pPr>
        <w:jc w:val="both"/>
        <w:rPr>
          <w:rFonts w:ascii="Cambria" w:hAnsi="Cambria"/>
          <w:b/>
          <w:sz w:val="22"/>
          <w:szCs w:val="22"/>
          <w:lang w:val="es-CL"/>
        </w:rPr>
      </w:pPr>
    </w:p>
    <w:p w:rsidR="002B2B22" w:rsidRPr="00425898" w:rsidRDefault="0090370D" w:rsidP="00425898">
      <w:pPr>
        <w:jc w:val="both"/>
        <w:rPr>
          <w:rFonts w:ascii="Cambria" w:hAnsi="Cambria"/>
          <w:b/>
          <w:sz w:val="22"/>
          <w:szCs w:val="22"/>
          <w:lang w:val="es-CL"/>
        </w:rPr>
      </w:pPr>
      <w:r>
        <w:rPr>
          <w:rFonts w:ascii="Cambria" w:hAnsi="Cambria"/>
          <w:b/>
          <w:sz w:val="22"/>
          <w:szCs w:val="22"/>
          <w:lang w:val="es-CL"/>
        </w:rPr>
        <w:t>Única</w:t>
      </w:r>
      <w:r w:rsidR="002B2B22" w:rsidRPr="00425898">
        <w:rPr>
          <w:rFonts w:ascii="Cambria" w:hAnsi="Cambria"/>
          <w:b/>
          <w:sz w:val="22"/>
          <w:szCs w:val="22"/>
          <w:lang w:val="es-CL"/>
        </w:rPr>
        <w:t xml:space="preserve"> pregunta</w:t>
      </w:r>
      <w:r>
        <w:rPr>
          <w:rFonts w:ascii="Cambria" w:hAnsi="Cambria"/>
          <w:b/>
          <w:sz w:val="22"/>
          <w:szCs w:val="22"/>
          <w:lang w:val="es-CL"/>
        </w:rPr>
        <w:t xml:space="preserve"> (Máximo 4</w:t>
      </w:r>
      <w:r w:rsidR="002F5C0F" w:rsidRPr="00425898">
        <w:rPr>
          <w:rFonts w:ascii="Cambria" w:hAnsi="Cambria"/>
          <w:b/>
          <w:sz w:val="22"/>
          <w:szCs w:val="22"/>
          <w:lang w:val="es-CL"/>
        </w:rPr>
        <w:t xml:space="preserve"> planas)</w:t>
      </w:r>
    </w:p>
    <w:p w:rsidR="002B2B22" w:rsidRPr="00425898" w:rsidRDefault="002B2B22" w:rsidP="00425898">
      <w:pPr>
        <w:jc w:val="both"/>
        <w:rPr>
          <w:rFonts w:ascii="Cambria" w:hAnsi="Cambria"/>
          <w:b/>
          <w:sz w:val="22"/>
          <w:szCs w:val="22"/>
          <w:lang w:val="es-CL"/>
        </w:rPr>
      </w:pPr>
    </w:p>
    <w:p w:rsidR="00FE7056" w:rsidRPr="00425898" w:rsidRDefault="00B32CCF" w:rsidP="00425898">
      <w:pPr>
        <w:jc w:val="both"/>
        <w:rPr>
          <w:rFonts w:ascii="Cambria" w:hAnsi="Cambria"/>
          <w:sz w:val="22"/>
          <w:szCs w:val="22"/>
          <w:lang w:val="es-CL"/>
        </w:rPr>
      </w:pPr>
      <w:r w:rsidRPr="00425898">
        <w:rPr>
          <w:rFonts w:ascii="Cambria" w:hAnsi="Cambria"/>
          <w:sz w:val="22"/>
          <w:szCs w:val="22"/>
          <w:lang w:val="es-CL"/>
        </w:rPr>
        <w:tab/>
      </w:r>
      <w:r w:rsidR="0090370D">
        <w:rPr>
          <w:rFonts w:ascii="Cambria" w:hAnsi="Cambria"/>
          <w:sz w:val="22"/>
          <w:szCs w:val="22"/>
          <w:lang w:val="es-CL"/>
        </w:rPr>
        <w:t>Se ha dado a conocer, por parte de las autoridades de gobierno,</w:t>
      </w:r>
      <w:r w:rsidR="00B72B9E" w:rsidRPr="00425898">
        <w:rPr>
          <w:rFonts w:ascii="Cambria" w:hAnsi="Cambria"/>
          <w:sz w:val="22"/>
          <w:szCs w:val="22"/>
          <w:lang w:val="es-CL"/>
        </w:rPr>
        <w:t xml:space="preserve"> l</w:t>
      </w:r>
      <w:r w:rsidRPr="00425898">
        <w:rPr>
          <w:rFonts w:ascii="Cambria" w:hAnsi="Cambria"/>
          <w:sz w:val="22"/>
          <w:szCs w:val="22"/>
          <w:lang w:val="es-CL"/>
        </w:rPr>
        <w:t>a circular N°768 de la Superintendencia de Educación, llamada “Derechos de niñas, niños y estudiantes trans en el ámbito de la educación”</w:t>
      </w:r>
      <w:r w:rsidR="00B72B9E" w:rsidRPr="00425898">
        <w:rPr>
          <w:rFonts w:ascii="Cambria" w:hAnsi="Cambria"/>
          <w:sz w:val="22"/>
          <w:szCs w:val="22"/>
          <w:lang w:val="es-CL"/>
        </w:rPr>
        <w:t xml:space="preserve">. Por medio de ésta, los establecimientos educacionales </w:t>
      </w:r>
      <w:r w:rsidR="0090370D">
        <w:rPr>
          <w:rFonts w:ascii="Cambria" w:hAnsi="Cambria"/>
          <w:sz w:val="22"/>
          <w:szCs w:val="22"/>
          <w:lang w:val="es-CL"/>
        </w:rPr>
        <w:t xml:space="preserve">deben </w:t>
      </w:r>
      <w:r w:rsidR="00B72B9E" w:rsidRPr="00425898">
        <w:rPr>
          <w:rFonts w:ascii="Cambria" w:hAnsi="Cambria"/>
          <w:sz w:val="22"/>
          <w:szCs w:val="22"/>
          <w:lang w:val="es-CL"/>
        </w:rPr>
        <w:t>cumplir ciertos objetivos en perspectiva de la protección de los niños y niña</w:t>
      </w:r>
      <w:r w:rsidR="00425898" w:rsidRPr="00425898">
        <w:rPr>
          <w:rFonts w:ascii="Cambria" w:hAnsi="Cambria"/>
          <w:sz w:val="22"/>
          <w:szCs w:val="22"/>
          <w:lang w:val="es-CL"/>
        </w:rPr>
        <w:t>s trans, entre los cuales se señ</w:t>
      </w:r>
      <w:r w:rsidR="00B72B9E" w:rsidRPr="00425898">
        <w:rPr>
          <w:rFonts w:ascii="Cambria" w:hAnsi="Cambria"/>
          <w:sz w:val="22"/>
          <w:szCs w:val="22"/>
          <w:lang w:val="es-CL"/>
        </w:rPr>
        <w:t>ala:</w:t>
      </w:r>
    </w:p>
    <w:p w:rsidR="00FE7056" w:rsidRPr="00425898" w:rsidRDefault="00FE7056" w:rsidP="0042589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s1"/>
          <w:rFonts w:ascii="Cambria" w:hAnsi="Cambria"/>
          <w:color w:val="333333"/>
          <w:sz w:val="22"/>
          <w:szCs w:val="22"/>
        </w:rPr>
      </w:pPr>
      <w:r w:rsidRPr="00425898">
        <w:rPr>
          <w:rStyle w:val="s1"/>
          <w:rFonts w:ascii="Cambria" w:hAnsi="Cambria"/>
          <w:color w:val="333333"/>
          <w:sz w:val="22"/>
          <w:szCs w:val="22"/>
        </w:rPr>
        <w:t>Brindar a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>poyo a</w:t>
      </w:r>
      <w:r w:rsidRPr="00425898">
        <w:rPr>
          <w:rStyle w:val="s1"/>
          <w:rFonts w:ascii="Cambria" w:hAnsi="Cambria"/>
          <w:color w:val="333333"/>
          <w:sz w:val="22"/>
          <w:szCs w:val="22"/>
        </w:rPr>
        <w:t>l estudiante y su familia, garantizando lenguaje inclusivo.</w:t>
      </w:r>
    </w:p>
    <w:p w:rsidR="00FE7056" w:rsidRPr="00425898" w:rsidRDefault="00B72B9E" w:rsidP="0042589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333333"/>
          <w:sz w:val="22"/>
          <w:szCs w:val="22"/>
        </w:rPr>
      </w:pPr>
      <w:r w:rsidRPr="00425898">
        <w:rPr>
          <w:rStyle w:val="s1"/>
          <w:rFonts w:ascii="Cambria" w:hAnsi="Cambria"/>
          <w:color w:val="333333"/>
          <w:sz w:val="22"/>
          <w:szCs w:val="22"/>
        </w:rPr>
        <w:t xml:space="preserve">Garantizar el nombre social de </w:t>
      </w:r>
      <w:proofErr w:type="spellStart"/>
      <w:r w:rsidRPr="00425898">
        <w:rPr>
          <w:rStyle w:val="s1"/>
          <w:rFonts w:ascii="Cambria" w:hAnsi="Cambria"/>
          <w:color w:val="333333"/>
          <w:sz w:val="22"/>
          <w:szCs w:val="22"/>
        </w:rPr>
        <w:t>el</w:t>
      </w:r>
      <w:proofErr w:type="spellEnd"/>
      <w:r w:rsidRPr="00425898">
        <w:rPr>
          <w:rStyle w:val="s1"/>
          <w:rFonts w:ascii="Cambria" w:hAnsi="Cambria"/>
          <w:color w:val="333333"/>
          <w:sz w:val="22"/>
          <w:szCs w:val="22"/>
        </w:rPr>
        <w:t xml:space="preserve"> o la</w:t>
      </w:r>
      <w:r w:rsidR="00FE7056" w:rsidRPr="00425898">
        <w:rPr>
          <w:rStyle w:val="s1"/>
          <w:rFonts w:ascii="Cambria" w:hAnsi="Cambria"/>
          <w:color w:val="333333"/>
          <w:sz w:val="22"/>
          <w:szCs w:val="22"/>
        </w:rPr>
        <w:t xml:space="preserve"> estudiante trans: «Todas las personas que componen la comunidad educativa, así como aquellos que forman parte del proceso de orientación, apoyo, acompañamiento y supervisión del establecimiento educacional, deberán tratar siempre y sin excepción a la niña niño o estudiante, con el nombre social que ha dado a conocer en todos los ambientes que componen el espacio educativo». En el libro de clases «se podrá agregar el nombre social para facilitar la integración del alumno o alumna y su uso cotidiano».</w:t>
      </w:r>
    </w:p>
    <w:p w:rsidR="00FE7056" w:rsidRPr="00425898" w:rsidRDefault="00FE7056" w:rsidP="0042589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333333"/>
          <w:sz w:val="22"/>
          <w:szCs w:val="22"/>
        </w:rPr>
      </w:pPr>
      <w:r w:rsidRPr="00425898">
        <w:rPr>
          <w:rStyle w:val="s1"/>
          <w:rFonts w:ascii="Cambria" w:hAnsi="Cambria"/>
          <w:color w:val="333333"/>
          <w:sz w:val="22"/>
          <w:szCs w:val="22"/>
        </w:rPr>
        <w:t>El niño o niña o estudiante trans «tendrá derecho a utilizar el uniforme, ropa deportiva y/o accesorios que considera más adecuados a su identidad de género, independiente de la situación legal en la que encuentre».</w:t>
      </w:r>
    </w:p>
    <w:p w:rsidR="00FE7056" w:rsidRPr="00425898" w:rsidRDefault="00FE7056" w:rsidP="0042589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333333"/>
          <w:sz w:val="22"/>
          <w:szCs w:val="22"/>
        </w:rPr>
      </w:pPr>
      <w:r w:rsidRPr="00425898">
        <w:rPr>
          <w:rStyle w:val="s1"/>
          <w:rFonts w:ascii="Cambria" w:hAnsi="Cambria"/>
          <w:color w:val="333333"/>
          <w:sz w:val="22"/>
          <w:szCs w:val="22"/>
        </w:rPr>
        <w:t>«Se deberá dar las facilidades a las niñas, niños y estudiantes trans para el uso de baños y duchas de acuerdo a las necesidades propias del proceso que estén viviendo, respetando su identidad de género». Las adecuaciones deberán acordarse con la familia, pudiendo considerar «baños inclusivos u otras alternativas».</w:t>
      </w:r>
    </w:p>
    <w:p w:rsidR="00FE7056" w:rsidRPr="00425898" w:rsidRDefault="00FE7056" w:rsidP="0042589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s1"/>
          <w:rFonts w:ascii="Cambria" w:hAnsi="Cambria"/>
          <w:color w:val="333333"/>
          <w:sz w:val="22"/>
          <w:szCs w:val="22"/>
        </w:rPr>
      </w:pPr>
      <w:r w:rsidRPr="00425898">
        <w:rPr>
          <w:rStyle w:val="s1"/>
          <w:rFonts w:ascii="Cambria" w:hAnsi="Cambria"/>
          <w:color w:val="333333"/>
          <w:sz w:val="22"/>
          <w:szCs w:val="22"/>
        </w:rPr>
        <w:t>La circular puntualiza que el incumplimiento de estas medidas constituye una infracción que será sancionada conforme a su gravedad.</w:t>
      </w:r>
    </w:p>
    <w:p w:rsidR="00B72B9E" w:rsidRPr="00425898" w:rsidRDefault="0090370D" w:rsidP="0090370D">
      <w:pPr>
        <w:shd w:val="clear" w:color="auto" w:fill="FFFFFF"/>
        <w:spacing w:before="100" w:beforeAutospacing="1" w:after="100" w:afterAutospacing="1"/>
        <w:ind w:firstLine="360"/>
        <w:jc w:val="both"/>
        <w:rPr>
          <w:rStyle w:val="s1"/>
          <w:rFonts w:ascii="Cambria" w:hAnsi="Cambria"/>
          <w:color w:val="333333"/>
          <w:sz w:val="22"/>
          <w:szCs w:val="22"/>
        </w:rPr>
      </w:pPr>
      <w:r>
        <w:rPr>
          <w:rStyle w:val="s1"/>
          <w:rFonts w:ascii="Cambria" w:hAnsi="Cambria"/>
          <w:color w:val="333333"/>
          <w:sz w:val="22"/>
          <w:szCs w:val="22"/>
        </w:rPr>
        <w:t>Así, un sector de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 xml:space="preserve"> padres</w:t>
      </w:r>
      <w:r>
        <w:rPr>
          <w:rStyle w:val="s1"/>
          <w:rFonts w:ascii="Cambria" w:hAnsi="Cambria"/>
          <w:color w:val="333333"/>
          <w:sz w:val="22"/>
          <w:szCs w:val="22"/>
        </w:rPr>
        <w:t xml:space="preserve"> apoderados del colegio “</w:t>
      </w:r>
      <w:r w:rsidRPr="00425898">
        <w:rPr>
          <w:rFonts w:ascii="Cambria" w:hAnsi="Cambria"/>
          <w:sz w:val="22"/>
          <w:szCs w:val="22"/>
          <w:lang w:val="es-CL"/>
        </w:rPr>
        <w:t>La Sagrada Concepción</w:t>
      </w:r>
      <w:r>
        <w:rPr>
          <w:rFonts w:ascii="Cambria" w:hAnsi="Cambria"/>
          <w:sz w:val="22"/>
          <w:szCs w:val="22"/>
          <w:lang w:val="es-CL"/>
        </w:rPr>
        <w:t>”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>,</w:t>
      </w:r>
      <w:r>
        <w:rPr>
          <w:rStyle w:val="s1"/>
          <w:rFonts w:ascii="Cambria" w:hAnsi="Cambria"/>
          <w:color w:val="333333"/>
          <w:sz w:val="22"/>
          <w:szCs w:val="22"/>
        </w:rPr>
        <w:t xml:space="preserve"> particular subvencionado, ha reaccionado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 xml:space="preserve"> hor</w:t>
      </w:r>
      <w:r>
        <w:rPr>
          <w:rStyle w:val="s1"/>
          <w:rFonts w:ascii="Cambria" w:hAnsi="Cambria"/>
          <w:color w:val="333333"/>
          <w:sz w:val="22"/>
          <w:szCs w:val="22"/>
        </w:rPr>
        <w:t xml:space="preserve">rorizado con esta iniciativa. De esta manera, </w:t>
      </w:r>
      <w:proofErr w:type="gramStart"/>
      <w:r>
        <w:rPr>
          <w:rStyle w:val="s1"/>
          <w:rFonts w:ascii="Cambria" w:hAnsi="Cambria"/>
          <w:color w:val="333333"/>
          <w:sz w:val="22"/>
          <w:szCs w:val="22"/>
        </w:rPr>
        <w:t xml:space="preserve">comienzan 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 xml:space="preserve"> una</w:t>
      </w:r>
      <w:proofErr w:type="gramEnd"/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 xml:space="preserve"> protesta frente al colegio para evitar que la circular se concrete en el mismo. Argumentan que ellos tienen “el derecho preferente de educar a sus hijos</w:t>
      </w:r>
      <w:r>
        <w:rPr>
          <w:rStyle w:val="s1"/>
          <w:rFonts w:ascii="Cambria" w:hAnsi="Cambria"/>
          <w:color w:val="333333"/>
          <w:sz w:val="22"/>
          <w:szCs w:val="22"/>
        </w:rPr>
        <w:t xml:space="preserve">”, no el colegio inculcar valores que no trastoquen las enseñanzas que brindan como padres. Argumentan, a su vez, 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 xml:space="preserve">que ellos escogieron dicho establecimiento educacional, católico apostólico romano, por los valores que éste sostiene. </w:t>
      </w:r>
      <w:r>
        <w:rPr>
          <w:rStyle w:val="s1"/>
          <w:rFonts w:ascii="Cambria" w:hAnsi="Cambria"/>
          <w:color w:val="333333"/>
          <w:sz w:val="22"/>
          <w:szCs w:val="22"/>
        </w:rPr>
        <w:t xml:space="preserve">Señalan, así, 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 xml:space="preserve">que el contenido de la circular atenta contra “todo orden natural”, pues “sólo existe hombre y mujer”, y lo demás responde a iniciativas que se intentan imponer para cambiar, por medio de la cultura, el </w:t>
      </w:r>
      <w:r>
        <w:rPr>
          <w:rStyle w:val="s1"/>
          <w:rFonts w:ascii="Cambria" w:hAnsi="Cambria"/>
          <w:color w:val="333333"/>
          <w:sz w:val="22"/>
          <w:szCs w:val="22"/>
        </w:rPr>
        <w:t xml:space="preserve">citado </w:t>
      </w:r>
      <w:r w:rsidR="00B72B9E" w:rsidRPr="00425898">
        <w:rPr>
          <w:rStyle w:val="s1"/>
          <w:rFonts w:ascii="Cambria" w:hAnsi="Cambria"/>
          <w:color w:val="333333"/>
          <w:sz w:val="22"/>
          <w:szCs w:val="22"/>
        </w:rPr>
        <w:t xml:space="preserve">orden natural. </w:t>
      </w:r>
      <w:r w:rsidR="00316BA9" w:rsidRPr="00425898">
        <w:rPr>
          <w:rStyle w:val="s1"/>
          <w:rFonts w:ascii="Cambria" w:hAnsi="Cambria"/>
          <w:color w:val="333333"/>
          <w:sz w:val="22"/>
          <w:szCs w:val="22"/>
        </w:rPr>
        <w:t>Así, la “ideología de género” -como ellos la mencionan- atenta contra el derecho a educar preferentemente a sus hijos, además de</w:t>
      </w:r>
      <w:r>
        <w:rPr>
          <w:rStyle w:val="s1"/>
          <w:rFonts w:ascii="Cambria" w:hAnsi="Cambria"/>
          <w:color w:val="333333"/>
          <w:sz w:val="22"/>
          <w:szCs w:val="22"/>
        </w:rPr>
        <w:t>l derecho a</w:t>
      </w:r>
      <w:r w:rsidR="00316BA9" w:rsidRPr="00425898">
        <w:rPr>
          <w:rStyle w:val="s1"/>
          <w:rFonts w:ascii="Cambria" w:hAnsi="Cambria"/>
          <w:color w:val="333333"/>
          <w:sz w:val="22"/>
          <w:szCs w:val="22"/>
        </w:rPr>
        <w:t xml:space="preserve"> la libertad de enseñanza, donde ellos tienen el derecho a escoger un proyecto educativo acorde a sus intereses.</w:t>
      </w:r>
    </w:p>
    <w:p w:rsidR="00316BA9" w:rsidRDefault="0090370D" w:rsidP="0090370D">
      <w:pPr>
        <w:shd w:val="clear" w:color="auto" w:fill="FFFFFF"/>
        <w:spacing w:before="100" w:beforeAutospacing="1" w:after="100" w:afterAutospacing="1"/>
        <w:ind w:firstLine="360"/>
        <w:jc w:val="both"/>
        <w:rPr>
          <w:rStyle w:val="s1"/>
          <w:rFonts w:ascii="Cambria" w:hAnsi="Cambria"/>
          <w:b/>
          <w:color w:val="333333"/>
          <w:sz w:val="22"/>
          <w:szCs w:val="22"/>
        </w:rPr>
      </w:pPr>
      <w:r>
        <w:rPr>
          <w:rStyle w:val="s1"/>
          <w:rFonts w:ascii="Cambria" w:hAnsi="Cambria"/>
          <w:b/>
          <w:color w:val="333333"/>
          <w:sz w:val="22"/>
          <w:szCs w:val="22"/>
        </w:rPr>
        <w:lastRenderedPageBreak/>
        <w:t>De esta forma, para proceder a resolver el seminario en cuestión, habrá dos grupos:</w:t>
      </w:r>
    </w:p>
    <w:p w:rsidR="0090370D" w:rsidRDefault="0090370D" w:rsidP="0090370D">
      <w:pPr>
        <w:shd w:val="clear" w:color="auto" w:fill="FFFFFF"/>
        <w:spacing w:before="100" w:beforeAutospacing="1" w:after="100" w:afterAutospacing="1"/>
        <w:ind w:firstLine="360"/>
        <w:jc w:val="both"/>
        <w:rPr>
          <w:rStyle w:val="s1"/>
          <w:rFonts w:ascii="Cambria" w:hAnsi="Cambria"/>
          <w:b/>
          <w:color w:val="333333"/>
          <w:sz w:val="22"/>
          <w:szCs w:val="22"/>
        </w:rPr>
      </w:pPr>
      <w:r>
        <w:rPr>
          <w:rStyle w:val="s1"/>
          <w:rFonts w:ascii="Cambria" w:hAnsi="Cambria"/>
          <w:b/>
          <w:color w:val="333333"/>
          <w:sz w:val="22"/>
          <w:szCs w:val="22"/>
        </w:rPr>
        <w:t xml:space="preserve">Quienes estén comprendidos -con su apellido- </w:t>
      </w:r>
      <w:r>
        <w:rPr>
          <w:rStyle w:val="s1"/>
          <w:rFonts w:ascii="Cambria" w:hAnsi="Cambria"/>
          <w:b/>
          <w:color w:val="333333"/>
          <w:sz w:val="22"/>
          <w:szCs w:val="22"/>
        </w:rPr>
        <w:t xml:space="preserve">de Acevedo a </w:t>
      </w:r>
      <w:proofErr w:type="spellStart"/>
      <w:r>
        <w:rPr>
          <w:rStyle w:val="s1"/>
          <w:rFonts w:ascii="Cambria" w:hAnsi="Cambria"/>
          <w:b/>
          <w:color w:val="333333"/>
          <w:sz w:val="22"/>
          <w:szCs w:val="22"/>
        </w:rPr>
        <w:t>Marillán</w:t>
      </w:r>
      <w:proofErr w:type="spellEnd"/>
      <w:r>
        <w:rPr>
          <w:rStyle w:val="s1"/>
          <w:rFonts w:ascii="Cambria" w:hAnsi="Cambria"/>
          <w:b/>
          <w:color w:val="333333"/>
          <w:sz w:val="22"/>
          <w:szCs w:val="22"/>
        </w:rPr>
        <w:t>, la opción 1. De Maurer a Zavala, la opción 2.</w:t>
      </w:r>
    </w:p>
    <w:p w:rsidR="0090370D" w:rsidRPr="00E55FFD" w:rsidRDefault="0090370D" w:rsidP="0090370D">
      <w:pPr>
        <w:shd w:val="clear" w:color="auto" w:fill="FFFFFF"/>
        <w:spacing w:before="100" w:beforeAutospacing="1" w:after="100" w:afterAutospacing="1"/>
        <w:ind w:firstLine="360"/>
        <w:jc w:val="both"/>
        <w:rPr>
          <w:rStyle w:val="s1"/>
          <w:rFonts w:ascii="Cambria" w:hAnsi="Cambria"/>
          <w:b/>
          <w:color w:val="333333"/>
          <w:sz w:val="22"/>
          <w:szCs w:val="22"/>
        </w:rPr>
      </w:pPr>
      <w:r w:rsidRPr="00E55FFD">
        <w:rPr>
          <w:rStyle w:val="s1"/>
          <w:rFonts w:ascii="Cambria" w:hAnsi="Cambria"/>
          <w:b/>
          <w:color w:val="333333"/>
          <w:sz w:val="22"/>
          <w:szCs w:val="22"/>
        </w:rPr>
        <w:t xml:space="preserve">Opción 1. </w:t>
      </w:r>
      <w:r w:rsidRPr="00E55FFD">
        <w:rPr>
          <w:rStyle w:val="s1"/>
          <w:rFonts w:ascii="Cambria" w:hAnsi="Cambria"/>
          <w:b/>
          <w:color w:val="333333"/>
          <w:sz w:val="22"/>
          <w:szCs w:val="22"/>
        </w:rPr>
        <w:t>El director del establecimiento, les señala que efectivamente él está de acuerdo, pero su colegio -particular subvencionado- debe cumplir con lo que señala la normativa imperante. A su vez, les recomienda presentar un recurso de protección para detener la implement</w:t>
      </w:r>
      <w:r w:rsidR="00AB3A72" w:rsidRPr="00E55FFD">
        <w:rPr>
          <w:rStyle w:val="s1"/>
          <w:rFonts w:ascii="Cambria" w:hAnsi="Cambria"/>
          <w:b/>
          <w:color w:val="333333"/>
          <w:sz w:val="22"/>
          <w:szCs w:val="22"/>
        </w:rPr>
        <w:t>ación de la respectiva circular, donde se argumente:</w:t>
      </w:r>
    </w:p>
    <w:p w:rsidR="00316BA9" w:rsidRPr="00AB3A72" w:rsidRDefault="00316BA9" w:rsidP="00425898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Style w:val="s1"/>
          <w:rFonts w:ascii="Cambria" w:hAnsi="Cambria"/>
          <w:color w:val="333333"/>
        </w:rPr>
      </w:pPr>
      <w:r w:rsidRPr="00AB3A72">
        <w:rPr>
          <w:rStyle w:val="s1"/>
          <w:rFonts w:ascii="Cambria" w:hAnsi="Cambria"/>
          <w:color w:val="333333"/>
        </w:rPr>
        <w:t>Por qué la circular resulta arbitraria o ilegal.</w:t>
      </w:r>
    </w:p>
    <w:p w:rsidR="00316BA9" w:rsidRPr="00AB3A72" w:rsidRDefault="00316BA9" w:rsidP="00425898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Style w:val="s1"/>
          <w:rFonts w:ascii="Cambria" w:hAnsi="Cambria"/>
          <w:color w:val="333333"/>
        </w:rPr>
      </w:pPr>
      <w:r w:rsidRPr="00AB3A72">
        <w:rPr>
          <w:rStyle w:val="s1"/>
          <w:rFonts w:ascii="Cambria" w:hAnsi="Cambria"/>
          <w:color w:val="333333"/>
        </w:rPr>
        <w:t>Si se estaría vulnerando, amenazando o privando uno o más derech</w:t>
      </w:r>
      <w:r w:rsidR="00AB3A72">
        <w:rPr>
          <w:rStyle w:val="s1"/>
          <w:rFonts w:ascii="Cambria" w:hAnsi="Cambria"/>
          <w:color w:val="333333"/>
        </w:rPr>
        <w:t>os fundamentales.</w:t>
      </w:r>
    </w:p>
    <w:p w:rsidR="00FE7056" w:rsidRPr="00AB3A72" w:rsidRDefault="00316BA9" w:rsidP="00425898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Style w:val="s1"/>
          <w:rFonts w:ascii="Cambria" w:hAnsi="Cambria"/>
        </w:rPr>
      </w:pPr>
      <w:r w:rsidRPr="00AB3A72">
        <w:rPr>
          <w:rStyle w:val="s1"/>
          <w:rFonts w:ascii="Cambria" w:hAnsi="Cambria"/>
          <w:color w:val="333333"/>
        </w:rPr>
        <w:t xml:space="preserve"> Cuál o cuáles serán los derechos fundamentales que utilizarán para solicitar la impugnación de la circular citada (revisar el art. 21 de nuestra Constituci</w:t>
      </w:r>
      <w:r w:rsidR="00425898" w:rsidRPr="00AB3A72">
        <w:rPr>
          <w:rStyle w:val="s1"/>
          <w:rFonts w:ascii="Cambria" w:hAnsi="Cambria"/>
          <w:color w:val="333333"/>
        </w:rPr>
        <w:t>ón Política de la República) y por qué.</w:t>
      </w:r>
    </w:p>
    <w:p w:rsidR="00AB3A72" w:rsidRPr="00E55FFD" w:rsidRDefault="00AB3A72" w:rsidP="00E55FF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Cambria" w:hAnsi="Cambria"/>
          <w:b/>
        </w:rPr>
      </w:pPr>
      <w:r w:rsidRPr="00E55FFD">
        <w:rPr>
          <w:rFonts w:ascii="Cambria" w:hAnsi="Cambria"/>
          <w:b/>
        </w:rPr>
        <w:t>Opción 2. Como la ONG “</w:t>
      </w:r>
      <w:r w:rsidR="00E55FFD">
        <w:rPr>
          <w:rFonts w:ascii="Cambria" w:hAnsi="Cambria"/>
          <w:b/>
        </w:rPr>
        <w:t>Transición</w:t>
      </w:r>
      <w:r w:rsidRPr="00E55FFD">
        <w:rPr>
          <w:rFonts w:ascii="Cambria" w:hAnsi="Cambria"/>
          <w:b/>
        </w:rPr>
        <w:t>”, deberán responder el recurso de protección que desarrollarán aquellos de la opción 1. Para esto, deberán responder:</w:t>
      </w:r>
    </w:p>
    <w:p w:rsidR="00AB3A72" w:rsidRDefault="00AB3A72" w:rsidP="00AB3A7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Por qué la circular no resulta arbitraria ni ilegal.</w:t>
      </w:r>
    </w:p>
    <w:p w:rsidR="00AB3A72" w:rsidRDefault="00AB3A72" w:rsidP="00AB3A7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Por qué no se vulneran, amenazan o privan derechos fundamentales vinculados a la libertad de enseñanza y el derecho a la educación.</w:t>
      </w:r>
    </w:p>
    <w:p w:rsidR="00AB3A72" w:rsidRDefault="00AB3A72" w:rsidP="00AB3A7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 xml:space="preserve">En base a qué derechos fundamentales de nuestra Constitución Política de la República puede sostenerse la necesidad de que aquella circular efectivamente se mantenga para todos los colegios del país. </w:t>
      </w:r>
    </w:p>
    <w:p w:rsidR="00AB3A72" w:rsidRPr="00E55FFD" w:rsidRDefault="00AB3A72" w:rsidP="00AB3A72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Cambria" w:hAnsi="Cambria"/>
          <w:b/>
        </w:rPr>
      </w:pPr>
      <w:r w:rsidRPr="00E55FFD">
        <w:rPr>
          <w:rFonts w:ascii="Cambria" w:hAnsi="Cambria"/>
          <w:b/>
        </w:rPr>
        <w:t>Como recomendación, tener en cuenta:</w:t>
      </w:r>
    </w:p>
    <w:p w:rsidR="00AB3A72" w:rsidRDefault="00AB3A72" w:rsidP="00AB3A7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Convención de los Derechos del Niño.</w:t>
      </w:r>
    </w:p>
    <w:p w:rsidR="00AB3A72" w:rsidRDefault="00AB3A72" w:rsidP="00AB3A7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Convenciones y tratados internacionales ratificados por Chile referido a estas materias.</w:t>
      </w:r>
    </w:p>
    <w:p w:rsidR="00AB3A72" w:rsidRDefault="00AB3A72" w:rsidP="00AB3A7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Principios de Yogyakarta.</w:t>
      </w:r>
    </w:p>
    <w:p w:rsidR="00AB3A72" w:rsidRDefault="00AB3A72" w:rsidP="00AB3A7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Ley General de Educación.</w:t>
      </w:r>
    </w:p>
    <w:p w:rsidR="00E55FFD" w:rsidRPr="00E55FFD" w:rsidRDefault="00E55FFD" w:rsidP="00E55FF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Cambria" w:hAnsi="Cambria"/>
          <w:b/>
        </w:rPr>
      </w:pPr>
      <w:r w:rsidRPr="00E55FFD">
        <w:rPr>
          <w:rFonts w:ascii="Cambria" w:hAnsi="Cambria"/>
          <w:b/>
        </w:rPr>
        <w:t>El desarrollo máximo es de 4 páginas, y no debe ser en formato de escrito de protección o informe del mismo, basta con responder, de forma ordenada, lo que se pide.</w:t>
      </w:r>
    </w:p>
    <w:sectPr w:rsidR="00E55FFD" w:rsidRPr="00E55F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5FA4"/>
    <w:multiLevelType w:val="multilevel"/>
    <w:tmpl w:val="E86C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F42A7"/>
    <w:multiLevelType w:val="hybridMultilevel"/>
    <w:tmpl w:val="F22C34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B53"/>
    <w:multiLevelType w:val="hybridMultilevel"/>
    <w:tmpl w:val="33A00C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743E"/>
    <w:multiLevelType w:val="hybridMultilevel"/>
    <w:tmpl w:val="6240C4B4"/>
    <w:lvl w:ilvl="0" w:tplc="BFE67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22"/>
    <w:rsid w:val="00292814"/>
    <w:rsid w:val="002B2B22"/>
    <w:rsid w:val="002F5C0F"/>
    <w:rsid w:val="00316BA9"/>
    <w:rsid w:val="00425898"/>
    <w:rsid w:val="00790475"/>
    <w:rsid w:val="00846DB3"/>
    <w:rsid w:val="0090370D"/>
    <w:rsid w:val="00AB3A72"/>
    <w:rsid w:val="00B32CCF"/>
    <w:rsid w:val="00B72B9E"/>
    <w:rsid w:val="00E55FFD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C76F"/>
  <w15:chartTrackingRefBased/>
  <w15:docId w15:val="{C8E88875-B363-4861-A579-C56F3ED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B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s1">
    <w:name w:val="s1"/>
    <w:basedOn w:val="Fuentedeprrafopredeter"/>
    <w:rsid w:val="00FE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Bastian Gallardo Guerra (alexis.gallardo.g)</dc:creator>
  <cp:keywords/>
  <dc:description/>
  <cp:lastModifiedBy>Leonardo Andres Jofre Rios (ljofrerios)</cp:lastModifiedBy>
  <cp:revision>5</cp:revision>
  <dcterms:created xsi:type="dcterms:W3CDTF">2017-06-11T19:12:00Z</dcterms:created>
  <dcterms:modified xsi:type="dcterms:W3CDTF">2017-06-12T03:09:00Z</dcterms:modified>
</cp:coreProperties>
</file>