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99" w:rsidRPr="009762EF" w:rsidRDefault="008B0E99" w:rsidP="008B0E99">
      <w:pPr>
        <w:spacing w:after="0" w:line="240" w:lineRule="auto"/>
        <w:jc w:val="both"/>
        <w:rPr>
          <w:b/>
        </w:rPr>
      </w:pPr>
      <w:r w:rsidRPr="009762EF">
        <w:rPr>
          <w:b/>
        </w:rPr>
        <w:t>DRA. CORDERO</w:t>
      </w:r>
    </w:p>
    <w:p w:rsidR="008B0E99" w:rsidRPr="009762EF" w:rsidRDefault="008B0E99" w:rsidP="008B0E99">
      <w:pPr>
        <w:spacing w:after="0" w:line="240" w:lineRule="auto"/>
        <w:jc w:val="both"/>
        <w:rPr>
          <w:b/>
        </w:rPr>
      </w:pPr>
      <w:r w:rsidRPr="009762EF">
        <w:rPr>
          <w:b/>
        </w:rPr>
        <w:t>CORTE SUPREMA, 21 DE AGOSTO DE 2013, ROL: 8393-12</w:t>
      </w:r>
    </w:p>
    <w:p w:rsidR="008B0E99" w:rsidRPr="009762EF" w:rsidRDefault="008B0E99" w:rsidP="008B0E99">
      <w:pPr>
        <w:spacing w:after="0" w:line="240" w:lineRule="auto"/>
        <w:jc w:val="both"/>
        <w:rPr>
          <w:rFonts w:cs="Times New Roman"/>
        </w:rPr>
      </w:pPr>
    </w:p>
    <w:p w:rsidR="008B0E99" w:rsidRPr="0002469C" w:rsidRDefault="008B0E99" w:rsidP="008B0E99">
      <w:pPr>
        <w:spacing w:after="0" w:line="240" w:lineRule="auto"/>
        <w:jc w:val="both"/>
        <w:rPr>
          <w:rFonts w:cs="Times New Roman"/>
          <w:u w:val="single"/>
        </w:rPr>
      </w:pPr>
      <w:r w:rsidRPr="0002469C">
        <w:rPr>
          <w:rFonts w:cs="Times New Roman"/>
          <w:u w:val="single"/>
        </w:rPr>
        <w:t>Antecedentes del caso:</w:t>
      </w:r>
    </w:p>
    <w:p w:rsidR="008B0E99" w:rsidRPr="0002469C" w:rsidRDefault="008B0E99" w:rsidP="008B0E99">
      <w:pPr>
        <w:spacing w:after="0" w:line="240" w:lineRule="auto"/>
        <w:jc w:val="both"/>
        <w:rPr>
          <w:rFonts w:cs="Times New Roman"/>
        </w:rPr>
      </w:pPr>
    </w:p>
    <w:p w:rsidR="008B0E99" w:rsidRDefault="008B0E99" w:rsidP="008B0E99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2469C">
        <w:rPr>
          <w:rFonts w:asciiTheme="minorHAnsi" w:hAnsiTheme="minorHAnsi" w:cs="Times New Roman"/>
          <w:sz w:val="22"/>
          <w:szCs w:val="22"/>
        </w:rPr>
        <w:t>Ante la existencia de numerosas denuncias por el otorgamiento de licencias médicas fraudulentas, un equipo de periodistas del programa de reportajes “</w:t>
      </w:r>
      <w:r>
        <w:rPr>
          <w:rFonts w:asciiTheme="minorHAnsi" w:hAnsiTheme="minorHAnsi" w:cs="Times New Roman"/>
          <w:sz w:val="22"/>
          <w:szCs w:val="22"/>
        </w:rPr>
        <w:t xml:space="preserve">En </w:t>
      </w:r>
      <w:r w:rsidRPr="0002469C">
        <w:rPr>
          <w:rFonts w:asciiTheme="minorHAnsi" w:hAnsiTheme="minorHAnsi" w:cs="Times New Roman"/>
          <w:sz w:val="22"/>
          <w:szCs w:val="22"/>
        </w:rPr>
        <w:t xml:space="preserve">La Mira” de </w:t>
      </w:r>
      <w:proofErr w:type="spellStart"/>
      <w:r w:rsidRPr="0002469C">
        <w:rPr>
          <w:rFonts w:asciiTheme="minorHAnsi" w:hAnsiTheme="minorHAnsi" w:cs="Times New Roman"/>
          <w:sz w:val="22"/>
          <w:szCs w:val="22"/>
        </w:rPr>
        <w:t>Chilevisión</w:t>
      </w:r>
      <w:proofErr w:type="spellEnd"/>
      <w:r w:rsidRPr="0002469C">
        <w:rPr>
          <w:rFonts w:asciiTheme="minorHAnsi" w:hAnsiTheme="minorHAnsi" w:cs="Times New Roman"/>
          <w:sz w:val="22"/>
          <w:szCs w:val="22"/>
        </w:rPr>
        <w:t xml:space="preserve"> decide indagar en el tema haciéndose pasar por pacientes.</w:t>
      </w:r>
    </w:p>
    <w:p w:rsidR="00F92578" w:rsidRPr="0002469C" w:rsidRDefault="00F92578" w:rsidP="00F92578">
      <w:pPr>
        <w:pStyle w:val="Prrafodelista"/>
        <w:jc w:val="both"/>
        <w:rPr>
          <w:rFonts w:asciiTheme="minorHAnsi" w:hAnsiTheme="minorHAnsi" w:cs="Times New Roman"/>
          <w:sz w:val="22"/>
          <w:szCs w:val="22"/>
        </w:rPr>
      </w:pPr>
    </w:p>
    <w:p w:rsidR="00F92578" w:rsidRDefault="008B0E99" w:rsidP="00F92578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</w:t>
      </w:r>
      <w:r w:rsidRPr="0002469C">
        <w:rPr>
          <w:rFonts w:asciiTheme="minorHAnsi" w:hAnsiTheme="minorHAnsi" w:cs="Times New Roman"/>
          <w:sz w:val="22"/>
          <w:szCs w:val="22"/>
        </w:rPr>
        <w:t xml:space="preserve">l equipo concurre a la consulta de la psiquiatra María Luisa Cordero en el Instituto Psiquiátrico José </w:t>
      </w:r>
      <w:proofErr w:type="spellStart"/>
      <w:r w:rsidRPr="0002469C">
        <w:rPr>
          <w:rFonts w:asciiTheme="minorHAnsi" w:hAnsiTheme="minorHAnsi" w:cs="Times New Roman"/>
          <w:sz w:val="22"/>
          <w:szCs w:val="22"/>
        </w:rPr>
        <w:t>Horvitz</w:t>
      </w:r>
      <w:proofErr w:type="spellEnd"/>
      <w:r w:rsidRPr="0002469C">
        <w:rPr>
          <w:rFonts w:asciiTheme="minorHAnsi" w:hAnsiTheme="minorHAnsi" w:cs="Times New Roman"/>
          <w:sz w:val="22"/>
          <w:szCs w:val="22"/>
        </w:rPr>
        <w:t xml:space="preserve"> Barak. Uno de ellos, simulando ser un paciente, y portando una cámara oculta, solicita una licencia médica, la que </w:t>
      </w:r>
      <w:r>
        <w:rPr>
          <w:rFonts w:asciiTheme="minorHAnsi" w:hAnsiTheme="minorHAnsi" w:cs="Times New Roman"/>
          <w:sz w:val="22"/>
          <w:szCs w:val="22"/>
        </w:rPr>
        <w:t xml:space="preserve">le es </w:t>
      </w:r>
      <w:r w:rsidRPr="0002469C">
        <w:rPr>
          <w:rFonts w:asciiTheme="minorHAnsi" w:hAnsiTheme="minorHAnsi" w:cs="Times New Roman"/>
          <w:sz w:val="22"/>
          <w:szCs w:val="22"/>
        </w:rPr>
        <w:t>concedida previo pago de una suma de dinero.</w:t>
      </w:r>
    </w:p>
    <w:p w:rsidR="00F92578" w:rsidRPr="00F92578" w:rsidRDefault="00F92578" w:rsidP="00F92578">
      <w:pPr>
        <w:pStyle w:val="Prrafodelista"/>
        <w:rPr>
          <w:rFonts w:asciiTheme="minorHAnsi" w:hAnsiTheme="minorHAnsi" w:cs="Times New Roman"/>
          <w:sz w:val="22"/>
          <w:szCs w:val="22"/>
        </w:rPr>
      </w:pPr>
    </w:p>
    <w:p w:rsidR="008B0E99" w:rsidRPr="00F92578" w:rsidRDefault="008B0E99" w:rsidP="00F92578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F92578">
        <w:rPr>
          <w:rFonts w:asciiTheme="minorHAnsi" w:hAnsiTheme="minorHAnsi" w:cs="Times New Roman"/>
          <w:sz w:val="22"/>
          <w:szCs w:val="22"/>
        </w:rPr>
        <w:t xml:space="preserve">Luego de haber sido grabada, la entrevista antes señalada es difundida en el programa “En La Mira”, sin autorización de la afectada.  </w:t>
      </w:r>
    </w:p>
    <w:p w:rsidR="008B0E99" w:rsidRPr="00A9330D" w:rsidRDefault="008B0E99" w:rsidP="008B0E99">
      <w:pPr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spacing w:after="0" w:line="240" w:lineRule="auto"/>
        <w:jc w:val="both"/>
        <w:rPr>
          <w:rFonts w:cs="Courier"/>
          <w:u w:val="single"/>
        </w:rPr>
      </w:pPr>
      <w:r w:rsidRPr="00A9330D">
        <w:rPr>
          <w:rFonts w:cs="Courier"/>
          <w:u w:val="single"/>
        </w:rPr>
        <w:t>Ley aplicable:</w:t>
      </w:r>
    </w:p>
    <w:p w:rsidR="008B0E99" w:rsidRPr="00A9330D" w:rsidRDefault="008B0E99" w:rsidP="008B0E99">
      <w:pPr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</w:rPr>
      </w:pPr>
      <w:r w:rsidRPr="00A9330D">
        <w:rPr>
          <w:rFonts w:cs="Courier"/>
          <w:b/>
        </w:rPr>
        <w:t>Código Penal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</w:rPr>
      </w:pPr>
    </w:p>
    <w:p w:rsidR="008B0E99" w:rsidRPr="000670F2" w:rsidRDefault="008B0E99" w:rsidP="008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s-CL"/>
        </w:rPr>
      </w:pPr>
      <w:r w:rsidRPr="000670F2">
        <w:rPr>
          <w:rFonts w:eastAsia="Times New Roman" w:cs="Courier New"/>
          <w:b/>
          <w:lang w:eastAsia="es-CL"/>
        </w:rPr>
        <w:t>Art. 10</w:t>
      </w:r>
      <w:r>
        <w:rPr>
          <w:rFonts w:eastAsia="Times New Roman" w:cs="Courier New"/>
          <w:b/>
          <w:lang w:eastAsia="es-CL"/>
        </w:rPr>
        <w:t>, N°10</w:t>
      </w:r>
      <w:r w:rsidRPr="000670F2">
        <w:rPr>
          <w:rFonts w:eastAsia="Times New Roman" w:cs="Courier New"/>
          <w:b/>
          <w:lang w:eastAsia="es-CL"/>
        </w:rPr>
        <w:t>.</w:t>
      </w:r>
      <w:r>
        <w:rPr>
          <w:rFonts w:eastAsia="Times New Roman" w:cs="Courier New"/>
          <w:b/>
          <w:lang w:eastAsia="es-CL"/>
        </w:rPr>
        <w:t>-</w:t>
      </w:r>
      <w:r w:rsidRPr="000670F2">
        <w:rPr>
          <w:rFonts w:eastAsia="Times New Roman" w:cs="Courier New"/>
          <w:lang w:eastAsia="es-CL"/>
        </w:rPr>
        <w:t xml:space="preserve"> Están exentos de responsabilidad criminal:</w:t>
      </w: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  <w:rPr>
          <w:rFonts w:cs="Courier"/>
        </w:rPr>
      </w:pPr>
      <w:r w:rsidRPr="009762EF">
        <w:rPr>
          <w:rFonts w:cs="Courier"/>
        </w:rPr>
        <w:t>10. El que obra en cumplimiento de un deber o en el ejercicio legítimo de un derecho, autoridad, oficio o cargo.</w:t>
      </w:r>
    </w:p>
    <w:p w:rsidR="008B0E99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 w:rsidRPr="00A9330D">
        <w:rPr>
          <w:rFonts w:cs="Courier"/>
          <w:b/>
        </w:rPr>
        <w:t>Art. 161-A.</w:t>
      </w:r>
      <w:r w:rsidRPr="00A9330D">
        <w:rPr>
          <w:rFonts w:cs="Courier"/>
        </w:rPr>
        <w:t>- Se castigará con la pena de reclusión menor en cualquiera de sus grados y multa de 50 a 500 Unidades Tributarias Mensuales al que, en recintos particulares o lugares que no sean de libre acceso al público, sin autorización del afectado y por cualquier medio, capte, intercepte, grabe o reproduzca conversaciones o comunicaciones de carácter privado; sustraiga, fotografíe, fotocopie o reproduzca documentos o instrumentos de carácter privado; o capte, grabe, filme o fotografíe imágenes o hechos de carácter privado que se produzcan, realicen, ocurran o existan en recintos particulares o lugares que no sean de libre acceso al público.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 w:rsidRPr="00A9330D">
        <w:rPr>
          <w:rFonts w:cs="Courier"/>
        </w:rPr>
        <w:t>Igual pena se aplicará a quien difunda las conversaciones, comunicaciones, documentos, instrumentos, imágenes y hechos a que se refiere el inciso anterior.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 w:rsidRPr="00A9330D">
        <w:rPr>
          <w:rFonts w:cs="Courier"/>
        </w:rPr>
        <w:t>En caso de ser una misma la persona que los haya obtenido y divulgado, se aplicarán a ésta las penas de reclusión menor en su grado máximo y multa de 100 a 500 Unidades Tributarias Mensuales.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 w:rsidRPr="00A9330D">
        <w:rPr>
          <w:rFonts w:cs="Courier"/>
        </w:rPr>
        <w:t>Esta disposición no es aplicable a aquellas personas que, en virtud de ley o de autorización judicial, estén o sean autorizadas para ejecutar las acciones descritas.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</w:rPr>
      </w:pPr>
      <w:r w:rsidRPr="00A9330D">
        <w:rPr>
          <w:rFonts w:cs="Courier"/>
          <w:b/>
        </w:rPr>
        <w:t>Ley 19.733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b/>
        </w:rPr>
      </w:pPr>
      <w:r w:rsidRPr="00A9330D">
        <w:rPr>
          <w:rFonts w:cs="Courier"/>
          <w:b/>
        </w:rPr>
        <w:t xml:space="preserve">Art. 30.- </w:t>
      </w:r>
      <w:r w:rsidRPr="00A9330D">
        <w:rPr>
          <w:rFonts w:cs="Courier"/>
        </w:rPr>
        <w:t>Al inculpado de haber causado injuria a través de un medio de comunicación social, no le será admitida prueba de verdad acerca de sus expresiones, sino cuando hubiere imputado hechos determinados y concurrieren a lo menos una de las siguientes circunstancias:</w:t>
      </w:r>
    </w:p>
    <w:p w:rsidR="008B0E99" w:rsidRPr="00A9330D" w:rsidRDefault="008B0E99" w:rsidP="008B0E99">
      <w:pPr>
        <w:pStyle w:val="Prrafodelista"/>
        <w:numPr>
          <w:ilvl w:val="0"/>
          <w:numId w:val="1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lastRenderedPageBreak/>
        <w:t>Que la imputación se produjere con motivo de defender un interés público real;</w:t>
      </w:r>
    </w:p>
    <w:p w:rsidR="008B0E99" w:rsidRPr="00A9330D" w:rsidRDefault="008B0E99" w:rsidP="008B0E99">
      <w:pPr>
        <w:pStyle w:val="Prrafodelista"/>
        <w:numPr>
          <w:ilvl w:val="0"/>
          <w:numId w:val="1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>Que el afectado ejerciere funciones públicas y la imputación se refiriere a hechos propios de tal ejercicio.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 w:rsidRPr="00A9330D">
        <w:rPr>
          <w:rFonts w:cs="Courier"/>
        </w:rPr>
        <w:t>En estos casos, si se probare la verdad de la imputación, el juez procederá a sobreseer definitivamente o absolver al querellado, según correspondiere.</w:t>
      </w: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A9330D" w:rsidRDefault="008B0E99" w:rsidP="008B0E9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</w:rPr>
      </w:pPr>
      <w:r w:rsidRPr="00A9330D">
        <w:rPr>
          <w:rFonts w:cs="Courier"/>
        </w:rPr>
        <w:t>Para lo dispuesto en el presente artículo se considerarán como hechos de interés público de una persona los siguientes:</w:t>
      </w:r>
    </w:p>
    <w:p w:rsidR="008B0E99" w:rsidRPr="00A9330D" w:rsidRDefault="008B0E99" w:rsidP="008B0E99">
      <w:pPr>
        <w:pStyle w:val="Prrafodelista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>Los referentes al desempeño de funciones públicas;</w:t>
      </w:r>
    </w:p>
    <w:p w:rsidR="008B0E99" w:rsidRPr="00A9330D" w:rsidRDefault="008B0E99" w:rsidP="008B0E99">
      <w:pPr>
        <w:pStyle w:val="Prrafodelista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>Los realizados en el ejercicio de una profesión u oficio y cuyo conocimiento tenga interés público real;</w:t>
      </w:r>
    </w:p>
    <w:p w:rsidR="008B0E99" w:rsidRPr="00A9330D" w:rsidRDefault="008B0E99" w:rsidP="008B0E99">
      <w:pPr>
        <w:pStyle w:val="Prrafodelista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>Los que consistieren en actividades a las cuales haya tenido libre acceso el público, a título gratuito u oneroso;</w:t>
      </w:r>
    </w:p>
    <w:p w:rsidR="008B0E99" w:rsidRPr="00A9330D" w:rsidRDefault="008B0E99" w:rsidP="008B0E99">
      <w:pPr>
        <w:pStyle w:val="Prrafodelista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>Las actuaciones que, con el consentimiento del interesado, hubieren sido captadas o difundidas por algún medio de comunicación social;</w:t>
      </w:r>
    </w:p>
    <w:p w:rsidR="008B0E99" w:rsidRPr="00A9330D" w:rsidRDefault="008B0E99" w:rsidP="008B0E99">
      <w:pPr>
        <w:pStyle w:val="Prrafodelista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 xml:space="preserve">Los acontecimientos o manifestaciones de que el interesado haya dejado testimonio en registros o archivos públicos, y </w:t>
      </w:r>
    </w:p>
    <w:p w:rsidR="008B0E99" w:rsidRPr="00A9330D" w:rsidRDefault="008B0E99" w:rsidP="008B0E99">
      <w:pPr>
        <w:pStyle w:val="Prrafodelista"/>
        <w:numPr>
          <w:ilvl w:val="0"/>
          <w:numId w:val="2"/>
        </w:numPr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  <w:r w:rsidRPr="00A9330D">
        <w:rPr>
          <w:rFonts w:asciiTheme="minorHAnsi" w:hAnsiTheme="minorHAnsi" w:cs="Courier"/>
          <w:sz w:val="22"/>
          <w:szCs w:val="22"/>
        </w:rPr>
        <w:t xml:space="preserve">Los consistentes en la comisión de delitos o participación culpable en los mismos. </w:t>
      </w:r>
    </w:p>
    <w:p w:rsidR="008B0E99" w:rsidRDefault="008B0E99" w:rsidP="008B0E99">
      <w:pPr>
        <w:pStyle w:val="Prrafodelista"/>
        <w:autoSpaceDE w:val="0"/>
        <w:adjustRightInd w:val="0"/>
        <w:jc w:val="both"/>
        <w:rPr>
          <w:rFonts w:asciiTheme="minorHAnsi" w:hAnsiTheme="minorHAnsi" w:cs="Courier"/>
          <w:sz w:val="22"/>
          <w:szCs w:val="22"/>
        </w:rPr>
      </w:pP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  <w:rPr>
          <w:rFonts w:cs="Courier"/>
          <w:b/>
        </w:rPr>
      </w:pPr>
      <w:r w:rsidRPr="009762EF">
        <w:rPr>
          <w:rFonts w:cs="Courier"/>
          <w:b/>
        </w:rPr>
        <w:t>Constitución Política</w:t>
      </w:r>
    </w:p>
    <w:p w:rsidR="008B0E99" w:rsidRDefault="008B0E99" w:rsidP="008B0E99">
      <w:pPr>
        <w:autoSpaceDE w:val="0"/>
        <w:adjustRightInd w:val="0"/>
        <w:spacing w:after="0" w:line="240" w:lineRule="auto"/>
        <w:jc w:val="both"/>
        <w:rPr>
          <w:rFonts w:cs="Courier"/>
        </w:rPr>
      </w:pP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  <w:rPr>
          <w:rFonts w:cs="Courier"/>
          <w:b/>
        </w:rPr>
      </w:pPr>
      <w:r w:rsidRPr="009762EF">
        <w:rPr>
          <w:rFonts w:cs="Courier"/>
          <w:b/>
        </w:rPr>
        <w:t>Art.19, N°4 y 12°.-</w:t>
      </w: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  <w:rPr>
          <w:rFonts w:cs="Courier"/>
        </w:rPr>
      </w:pPr>
      <w:r w:rsidRPr="0002469C">
        <w:rPr>
          <w:b/>
        </w:rPr>
        <w:t>Art. 19.</w:t>
      </w:r>
      <w:r w:rsidRPr="009762EF">
        <w:t xml:space="preserve"> La Constitución asegura a todas las personas:</w:t>
      </w:r>
      <w:r w:rsidRPr="009762EF">
        <w:rPr>
          <w:rFonts w:cs="Courier"/>
        </w:rPr>
        <w:t xml:space="preserve"> </w:t>
      </w:r>
    </w:p>
    <w:p w:rsidR="008B0E99" w:rsidRDefault="008B0E99" w:rsidP="008B0E99">
      <w:pPr>
        <w:autoSpaceDE w:val="0"/>
        <w:adjustRightInd w:val="0"/>
        <w:spacing w:after="0" w:line="240" w:lineRule="auto"/>
        <w:jc w:val="both"/>
      </w:pPr>
      <w:r w:rsidRPr="0057333E">
        <w:rPr>
          <w:b/>
        </w:rPr>
        <w:t>4°.</w:t>
      </w:r>
      <w:r w:rsidRPr="009762EF">
        <w:t xml:space="preserve"> El respeto y protección a la vida privada y pública y a la honra de la persona y de su familia. La infracción de este precepto, cometida a través de un medio de comunicación social, y que consistiere en la imputación de un hecho o acto falso, o que cause injustificadamente daño o descrédito a una persona o a su familia, será constitutiva de delito y tendrá la sanción que determine la ley. Con todo, el medio de comunicación social podrá </w:t>
      </w:r>
      <w:proofErr w:type="spellStart"/>
      <w:r w:rsidRPr="009762EF">
        <w:t>excepcionarse</w:t>
      </w:r>
      <w:proofErr w:type="spellEnd"/>
      <w:r w:rsidRPr="009762EF">
        <w:t xml:space="preserve"> probando ante el tribunal correspondiente la verdad de la imputación, a menos que ella constituya por sí misma el delito de injuria a particulares. Además, los propietarios, editores, directores y administradores del medio de comunicación social respectivo serán solidariamente responsables de las indemnizaciones que procedan; </w:t>
      </w: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</w:pPr>
    </w:p>
    <w:p w:rsidR="008B0E99" w:rsidRDefault="008B0E99" w:rsidP="008B0E99">
      <w:pPr>
        <w:autoSpaceDE w:val="0"/>
        <w:adjustRightInd w:val="0"/>
        <w:spacing w:after="0" w:line="240" w:lineRule="auto"/>
        <w:jc w:val="both"/>
      </w:pPr>
      <w:r w:rsidRPr="0057333E">
        <w:rPr>
          <w:b/>
        </w:rPr>
        <w:t>12º.</w:t>
      </w:r>
      <w:r w:rsidRPr="009762EF">
        <w:t xml:space="preserve"> La libertad de emitir opinión y la de informar, sin censura previa, en cualquier forma y por cualquier medio, sin perjuicio de responder de los delitos y abusos que se cometan en el ejercicio de estas libertades, en conformidad a la ley, la que deberá ser de quórum calificado. La ley en ningún caso podrá establecer monopolio estatal sobre los medios de comunicación social. Toda persona natural o jurídica ofendida o injustamente aludida por algún medio de comunicación social, tiene derecho a que su declaración o rectificación sea gratuitamente difundida, en las condiciones que la ley determine, por el medio de comunicación social en que esa información hubiera sido emitida. Toda persona natural o jurídica tiene el derecho de fundar, editar y mantener diarios, revistas y periódicos, en las condiciones que señale la ley. El Estado, aquellas universidades y demás personas o entidades que la ley determine, podrán establecer, operar y mantener estaciones de televisión. Habrá un Consejo Nacional de Televisión, autónomo y con personalidad jurídica, encargado de velar por el correcto funcionamiento de este medio de comunicación. Una ley de quórum calificado señalará la organización y demás funciones y atribuciones del referido Consejo.</w:t>
      </w: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</w:pPr>
    </w:p>
    <w:p w:rsidR="008B0E99" w:rsidRPr="009762EF" w:rsidRDefault="008B0E99" w:rsidP="008B0E99">
      <w:pPr>
        <w:autoSpaceDE w:val="0"/>
        <w:adjustRightInd w:val="0"/>
        <w:spacing w:after="0" w:line="240" w:lineRule="auto"/>
        <w:jc w:val="both"/>
      </w:pPr>
      <w:r w:rsidRPr="009762EF">
        <w:t>La ley regulará un sistema de calificación para la exhibición de la producción cinematográfica;</w:t>
      </w:r>
    </w:p>
    <w:p w:rsidR="008B0E99" w:rsidRDefault="008B0E99" w:rsidP="008B0E99">
      <w:pPr>
        <w:spacing w:after="0" w:line="240" w:lineRule="auto"/>
        <w:jc w:val="both"/>
        <w:rPr>
          <w:rFonts w:cs="Courier"/>
        </w:rPr>
      </w:pPr>
    </w:p>
    <w:p w:rsidR="008B0E99" w:rsidRPr="009762EF" w:rsidRDefault="008B0E99" w:rsidP="008B0E99">
      <w:pPr>
        <w:spacing w:after="0" w:line="240" w:lineRule="auto"/>
        <w:jc w:val="both"/>
        <w:rPr>
          <w:rFonts w:cs="Courier"/>
        </w:rPr>
      </w:pPr>
      <w:r w:rsidRPr="009762EF">
        <w:rPr>
          <w:rFonts w:cs="Courier"/>
        </w:rPr>
        <w:t>Se considerarán como pertinentes a la esfera privada de las personas los hechos relativos a su vida sexual, conyugal, familiar o doméstica, salvo que ellos fueren constitutivos de delito.</w:t>
      </w:r>
    </w:p>
    <w:p w:rsidR="008B0E99" w:rsidRPr="009762EF" w:rsidRDefault="008B0E99" w:rsidP="008B0E99">
      <w:pPr>
        <w:spacing w:after="0" w:line="240" w:lineRule="auto"/>
        <w:jc w:val="both"/>
        <w:rPr>
          <w:rFonts w:cs="Courier"/>
        </w:rPr>
      </w:pPr>
    </w:p>
    <w:p w:rsidR="008B0E99" w:rsidRPr="009762EF" w:rsidRDefault="008B0E99" w:rsidP="008B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</w:rPr>
      </w:pPr>
      <w:r w:rsidRPr="009762EF">
        <w:rPr>
          <w:rFonts w:cs="Times New Roman"/>
          <w:b/>
        </w:rPr>
        <w:t xml:space="preserve">¿Cometen los periodistas el delito </w:t>
      </w:r>
      <w:r w:rsidR="0057333E">
        <w:rPr>
          <w:rFonts w:cs="Arial"/>
          <w:b/>
        </w:rPr>
        <w:t>de afectación a la privacidad e intimidad</w:t>
      </w:r>
      <w:r w:rsidR="0057333E">
        <w:rPr>
          <w:rFonts w:cs="Arial"/>
          <w:b/>
        </w:rPr>
        <w:t xml:space="preserve"> </w:t>
      </w:r>
      <w:r w:rsidRPr="009762EF">
        <w:rPr>
          <w:rFonts w:cs="Arial"/>
          <w:b/>
        </w:rPr>
        <w:t>castigado en el artículo 161-A del Código Penal</w:t>
      </w:r>
      <w:r w:rsidR="0057333E">
        <w:rPr>
          <w:rFonts w:cs="Arial"/>
          <w:b/>
        </w:rPr>
        <w:t>?</w:t>
      </w:r>
    </w:p>
    <w:p w:rsidR="008B0E99" w:rsidRPr="009762EF" w:rsidRDefault="008B0E99" w:rsidP="008B0E99">
      <w:pPr>
        <w:spacing w:after="0" w:line="240" w:lineRule="auto"/>
        <w:jc w:val="both"/>
      </w:pPr>
    </w:p>
    <w:p w:rsidR="008B0E99" w:rsidRPr="00A9330D" w:rsidRDefault="008B0E99" w:rsidP="008B0E99">
      <w:pPr>
        <w:spacing w:after="0" w:line="240" w:lineRule="auto"/>
        <w:rPr>
          <w:rFonts w:cs="Courier"/>
          <w:b/>
        </w:rPr>
      </w:pPr>
      <w:r w:rsidRPr="00A9330D">
        <w:rPr>
          <w:rFonts w:cs="Courier"/>
          <w:b/>
        </w:rPr>
        <w:br w:type="page"/>
      </w:r>
      <w:bookmarkStart w:id="0" w:name="_GoBack"/>
      <w:bookmarkEnd w:id="0"/>
    </w:p>
    <w:p w:rsidR="008B0E99" w:rsidRPr="00A9330D" w:rsidRDefault="008B0E99" w:rsidP="008B0E99">
      <w:pPr>
        <w:spacing w:after="0" w:line="240" w:lineRule="auto"/>
        <w:rPr>
          <w:lang w:val="es-ES_tradnl"/>
        </w:rPr>
      </w:pPr>
    </w:p>
    <w:p w:rsidR="008B0E99" w:rsidRPr="00A9330D" w:rsidRDefault="008B0E99" w:rsidP="008B0E99">
      <w:pPr>
        <w:spacing w:after="0" w:line="240" w:lineRule="auto"/>
        <w:rPr>
          <w:b/>
        </w:rPr>
      </w:pPr>
    </w:p>
    <w:p w:rsidR="008B0E99" w:rsidRPr="00A9330D" w:rsidRDefault="008B0E99" w:rsidP="008B0E99">
      <w:pPr>
        <w:spacing w:after="0" w:line="240" w:lineRule="auto"/>
      </w:pPr>
    </w:p>
    <w:p w:rsidR="00DC1866" w:rsidRDefault="00DC1866"/>
    <w:sectPr w:rsidR="00DC1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6F7"/>
    <w:multiLevelType w:val="hybridMultilevel"/>
    <w:tmpl w:val="78F0043A"/>
    <w:lvl w:ilvl="0" w:tplc="44584A1A">
      <w:numFmt w:val="bullet"/>
      <w:lvlText w:val="-"/>
      <w:lvlJc w:val="left"/>
      <w:pPr>
        <w:ind w:left="720" w:hanging="360"/>
      </w:pPr>
      <w:rPr>
        <w:rFonts w:ascii="Calibri" w:eastAsia="WenQuanYi Micro He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7F1"/>
    <w:multiLevelType w:val="hybridMultilevel"/>
    <w:tmpl w:val="F8D223F0"/>
    <w:lvl w:ilvl="0" w:tplc="34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D1B"/>
    <w:multiLevelType w:val="hybridMultilevel"/>
    <w:tmpl w:val="457C00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4C9C"/>
    <w:multiLevelType w:val="hybridMultilevel"/>
    <w:tmpl w:val="3FB2E8B6"/>
    <w:lvl w:ilvl="0" w:tplc="44584A1A">
      <w:numFmt w:val="bullet"/>
      <w:lvlText w:val="-"/>
      <w:lvlJc w:val="left"/>
      <w:pPr>
        <w:ind w:left="720" w:hanging="360"/>
      </w:pPr>
      <w:rPr>
        <w:rFonts w:ascii="Calibri" w:eastAsia="WenQuanYi Micro He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3CB8"/>
    <w:multiLevelType w:val="hybridMultilevel"/>
    <w:tmpl w:val="2200CF24"/>
    <w:lvl w:ilvl="0" w:tplc="E4BA520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21B77"/>
    <w:multiLevelType w:val="hybridMultilevel"/>
    <w:tmpl w:val="B0F07D40"/>
    <w:lvl w:ilvl="0" w:tplc="E4BA520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ECB"/>
    <w:multiLevelType w:val="hybridMultilevel"/>
    <w:tmpl w:val="D0AE3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9"/>
    <w:rsid w:val="0057333E"/>
    <w:rsid w:val="008B0E99"/>
    <w:rsid w:val="00DC1866"/>
    <w:rsid w:val="00F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E9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s-ES" w:eastAsia="zh-CN" w:bidi="hi-IN"/>
    </w:rPr>
  </w:style>
  <w:style w:type="paragraph" w:styleId="Textonotapie">
    <w:name w:val="footnote text"/>
    <w:basedOn w:val="Normal"/>
    <w:link w:val="TextonotapieCar"/>
    <w:unhideWhenUsed/>
    <w:rsid w:val="008B0E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B0E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E9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s-ES" w:eastAsia="zh-CN" w:bidi="hi-IN"/>
    </w:rPr>
  </w:style>
  <w:style w:type="paragraph" w:styleId="Textonotapie">
    <w:name w:val="footnote text"/>
    <w:basedOn w:val="Normal"/>
    <w:link w:val="TextonotapieCar"/>
    <w:unhideWhenUsed/>
    <w:rsid w:val="008B0E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B0E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Ihnen - Int. de Argumentacion - 13832732-9</dc:creator>
  <cp:lastModifiedBy>Constanza Ihnen - Int. de Argumentacion - 13832732-9</cp:lastModifiedBy>
  <cp:revision>3</cp:revision>
  <dcterms:created xsi:type="dcterms:W3CDTF">2016-03-09T12:38:00Z</dcterms:created>
  <dcterms:modified xsi:type="dcterms:W3CDTF">2016-03-09T12:58:00Z</dcterms:modified>
</cp:coreProperties>
</file>