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UNIVERSIDAD DE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FACULTAD DE DERECHO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Derecho Constitucional Económico 2015 2º semestre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Profesor: José Luis Cárdenas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Ayudantes: Valentina Santibáñez, Pablo Viollier, David Becker y Leonardo Jofré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42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2640"/>
        <w:gridCol w:w="5520"/>
        <w:tblGridChange w:id="0">
          <w:tblGrid>
            <w:gridCol w:w="1260"/>
            <w:gridCol w:w="2640"/>
            <w:gridCol w:w="552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Clase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Lectura Correspondiente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 de septiembre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Clase Introductoria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Introducción al curso, su metodología, programa y objetivos.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Introducción al panorama actual del campo.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Programa del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29 de septiembre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UNIDAD 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Parte Teórica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Orden Público Económico y Teoría de la Constitución Económica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 aplicación en el Amparo Económico y el Recurso de Protección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ind w:right="120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Vanberg, Viktor J.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The Freiburg School: Walter Eucken and Ordoliberalism.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Freiburg discussion papers on constitutional economics 04/11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2011 [pp 1-26]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Vanberg, Viktor J.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Consumer Welfare, Total Welfare and Economic Freedom – On the Normative Foundations of Competition Policy.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Freiburg discussion papers on constitutional economics 9/3, 2009 [pp. 1-37]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d1d"/>
                <w:sz w:val="20"/>
                <w:szCs w:val="20"/>
                <w:rtl w:val="0"/>
              </w:rPr>
              <w:t xml:space="preserve">-(E) Navarro Beltrán, Enrique.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d1d"/>
                <w:sz w:val="20"/>
                <w:szCs w:val="20"/>
                <w:rtl w:val="0"/>
              </w:rPr>
              <w:t xml:space="preserve">El recurso de amparo económico y su práctica jurisprudencial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rtl w:val="0"/>
              </w:rPr>
              <w:t xml:space="preserve">. Estudios Constitucionales, año 5, n°2, 2007 [pp. 99-119]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d1d"/>
                <w:sz w:val="20"/>
                <w:szCs w:val="20"/>
                <w:rtl w:val="0"/>
              </w:rPr>
              <w:t xml:space="preserve">-(E) Hernández Emparanza, Domingo.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d1d"/>
                <w:sz w:val="20"/>
                <w:szCs w:val="20"/>
                <w:rtl w:val="0"/>
              </w:rPr>
              <w:t xml:space="preserve">El recurso de amparo económico, una tendencia jurisprudencialmente peligrosa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rtl w:val="0"/>
              </w:rPr>
              <w:t xml:space="preserve">.  Estudios Constitucionales, año 8, n°1, 2010 [pp. 443-466]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d1d"/>
                <w:sz w:val="20"/>
                <w:szCs w:val="20"/>
                <w:rtl w:val="0"/>
              </w:rPr>
              <w:t xml:space="preserve">-(E) Nogueira Alcalá, Humberto.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d1d1d"/>
                <w:sz w:val="20"/>
                <w:szCs w:val="20"/>
                <w:rtl w:val="0"/>
              </w:rPr>
              <w:t xml:space="preserve">Análisis crítico sobre la línea jurisprudencial de la sala constitucional de la excma. corte suprema de justicia sobre el recurso de amparo económico.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rtl w:val="0"/>
              </w:rPr>
              <w:t xml:space="preserve"> Revista Ius et Praxis, año 16, n°2, 2010 [pp. 415-442]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-(E) Navarro Beltrán, Enrique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35 años del recurso de protección. Notas sobre su alcance y regulación normativa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Estudios Constitucionales, año 10, n°1, 2012 [pp. 617-642]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3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El Principio de Subsidiariedad.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Qué es y qué es lo que busca.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¿Por qué debe ser la intervención del Estado (o privados asimilables) razonable, proporcionada, no privativa y no discriminatoria en forma arbitraria?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De la Cruz Ferrer, Juan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Principios  de Regulación Económica de la Unión Europea.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Instituto de Estudios Económicos 2002. Capítulos 3 y 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Loo Gutiérrez, Martín.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 disciplina constitucional del principio de subsidiariedad en Italia y Chile.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Revista de Derecho de la Pontificia Universidad Católica de Valparaíso XXXIII (Valparaíso, Chile, 2do Semestre de 2009) [pp. 391 - 426]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Carozza, Paolo.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Subsidiarity as a structural principle of international human rights law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merican Journal of International Law,Vol. 97, 2003 [pp. 38-69]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2"/>
        <w:gridCol w:w="2880"/>
        <w:gridCol w:w="5328"/>
        <w:tblGridChange w:id="0">
          <w:tblGrid>
            <w:gridCol w:w="1152"/>
            <w:gridCol w:w="2880"/>
            <w:gridCol w:w="5328"/>
          </w:tblGrid>
        </w:tblGridChange>
      </w:tblGrid>
      <w:tr>
        <w:trPr>
          <w:trHeight w:val="22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UNIDAD II: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Interacción entre Derechos propiamente económicos y con potencialidad económica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Problema de los derechos en tensión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Contenido esencial y no esencial de las normas constitucionales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9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Métodos de subsunción, ponderación, proporcionalidad y razonabilidad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Besabe Serrano, Santiago.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Las preferencias ideológicas y políticas judiciales: Un modelo actitudinal sobre el voto en el Tribunal Constitucional de Ecuador.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América Latina Hoy, Universidad de Salamanca, número 49, 2008 [pp. 157-177]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Sánchez González, Santiago.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 la imponderable ponderación y otras artes del Tribunal Constitucional.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Teoría y Realidad Constitucional n°12-13, 2003 [pp. 351-382]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Cohen-Eliya, Moshe and Porat, Iddo.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American Balancing and German Proportionality: The Historical Origins.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International Journal of Constitutional Law, 2010 [pp. 263-286]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Alexy, Robert.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The Construction of Constitutional Rights.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Law &amp; Ethics of Human Rights. Volume 4, Issue 1, 2010 [pp. 21-32]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Epstein, Lee, Shvetsova, Olga and Knight, Jack.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The Role of Constitutional Courts in the Establishment and Maintenance of Democratic Systems of Government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Law &amp; Society Review, Vol. 35, No. 1, 2001 [pp. 117-164]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Ginsburg, Tom.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Economic Analysis and the Design of Constitutional Courts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Theoretical Inquiries in Law, December 2001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Esquema de revisión de Limitaciones o Privaciones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¿Cuándo una limitación o privación puede calificarse como inconstitucional?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Ámbito de Protección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Esquema de revisión de Igualdades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¿Qué entendemos por la “no discriminación arbitraria?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Principios de adecuación, necesidad y ponderación o proporcionalidad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Esquema de revisión de Igualdades y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Delaveau Swett, Rodrigo.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 Regulación Expropiatoria en la Experiencia Norteamericana. 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evista Chilena de Derecho, vol. 33, n°3, 2006  [pp. 411-438]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Nogueira Alcalá, Humberto.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Teoría y dogmática de los derechos fundamentales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Universidad Nacional Autónoma de México, 2003 [pp. 55-86]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Nogueira Alcalá, Humberto.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derecho a la igualdad ante la ley, la no discriminación y acciones positivas.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AFDUC, 2006  [pp. 799-831]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–(E)Neuman, Gerald L.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Equal Protection, “General Equality” and Economic Discrimination from a U.S Perspective.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Columbia Journal of European Law 281, 1999 [pp. 281-312]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-(E)Somek, Alexander.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The Deadweight of Formulae: What Might Have Been the Second Germanization of American Equal Protection Review.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Journal of Constitutional Law. Vol.1 Issue 2, 1998 [pp. 284-324]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“Abogado de Turno”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31 de marzo de 2008, rol N°755-2007. Caso “Turno de Abogados”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“Bomberos”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Inconstitucionalidad de distinciones no justificadas razonablemente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6 de octubre de 2009, rol N° 1.295-2008. Caso “Bomberos”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“Peajes de Transmisión”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“Intereses Moratorios”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Vulneración de la garantía de la igualdad ante la 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6 de marzo de 2007,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 N°505-2006. Caso “Peajes de Transmisión”.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González Castillo, Joel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Derecho de Propiedad y la Intangibilidad de los Contratos en la Jurisprudencia de los Requerimientos de Inaplicabilidad.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Revista Chilena de Derecho, vol.34, núm. 2, 2007 [pp.345-360]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13 de septiembre de 2012,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 N° 1951-2011. Caso “Intereses Moratorios”.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“Editorial Jurídica”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Norma impugnada: Artículo 2° de la Ley 8.828 y su relación con el principio de subsidiariedad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de fecha 23 de diciembre de 2008, rol N°1144-2008. Caso “Editorial Jurídica”.</w:t>
              <w:tab/>
              <w:t xml:space="preserve"> </w:t>
              <w:tab/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36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26° Juzgado Civil Santiago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15 de junio de 2009, rol 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°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C-3266-2008. Caso “Editorial Jurídica”.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27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“Manquehue”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26 de noviembre de 2007, rol N°759-2007. Caso “Manquehue”.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Fermandois Vöhringer, Arturo.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 reserva legal: Una garantía sustantiva que desaparece.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Revista Chilena de Derecho, vol. 26 núm 2, 2001 [pp. 287-298]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Center for Taxation and Public Governance.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Constitutional Effects on the Tax System.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Utrecht University, the Netherlands, 2006 [pp. 1-15]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29 de 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Clase ayudantes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Propiedad Intelectual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Texto se subirá en su oportunidad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12°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“Ley de Presupuesto”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30 de diciembre de 2010, rol N°1867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2010. Caso “Ley de Presupuesto”.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OCDE.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The Legal Framework for Budget Systems.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OECD Publishing, Vol. 4, No.3, 2004 [pp. 1-54]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-(E) Verdejo, Mauricio y Ceballos, Leonel.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Administración Financiera del Estado.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Universidad de Playa Ancha, 2008 [pp. 1-48]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940"/>
        <w:gridCol w:w="5040"/>
        <w:tblGridChange w:id="0">
          <w:tblGrid>
            <w:gridCol w:w="1380"/>
            <w:gridCol w:w="2940"/>
            <w:gridCol w:w="50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UNIDAD III: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Economía y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Algunas características del “Bien Salud”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Problemas intrínsecos: Baja elasticidad de la demanda y asimetrías de información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¿Es necesaria la regulación del Estado?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1d1d"/>
                <w:sz w:val="20"/>
                <w:szCs w:val="20"/>
                <w:highlight w:val="white"/>
                <w:rtl w:val="0"/>
              </w:rPr>
              <w:t xml:space="preserve">-(R) Drummond</w:t>
            </w:r>
            <w:r w:rsidDel="00000000" w:rsidR="00000000" w:rsidRPr="00000000">
              <w:rPr>
                <w:rFonts w:ascii="Calibri" w:cs="Calibri" w:eastAsia="Calibri" w:hAnsi="Calibri"/>
                <w:color w:val="1d1d1d"/>
                <w:sz w:val="20"/>
                <w:szCs w:val="20"/>
                <w:highlight w:val="white"/>
                <w:rtl w:val="0"/>
              </w:rPr>
              <w:t xml:space="preserve">, MF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2003, 'Economic evaluation'. in H Zöllner, G Stoddart &amp; C Selby Smith (eds),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Learning to Live with Health Economics.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Health Services Management Centre in Collaboration with WHO (Regional Office for Europe), Copenhagen. Capítulo II.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Funciones y financiamiento de un sistema de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Esquema de seguridad social en  Chile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-(R)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Gennero, Rubén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Presentación “Financiamiento de Sistemas de Salud”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21°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Algunos casos sobre “Re-priorización constitucional”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Recursos de protección que han sido utilizados para cubrir tratamientos negados por seguros de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Henríquez Viñas, Miriam.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Análisis jurisprudencial de la aplicación de los tratados de Derechos Humanos en recursos de protección (1989-2010)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Estudios Constitucionales, año 9, n°2, 2010 [pp. 745-762]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Nash Rojas, Claudio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Los derechos económicos, sociales y culturales y la justicia constitucional latinoamericana: Tendencias jurisprudenciales.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Estudios Constitucionales, año 9, n°1, 2011 [pp.65-118]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Zúñiga Fajuri, Alejandra.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derecho a la vida y el derecho a la protección de la salud en la constitución: Una relación necesaria.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Estudios constitucionales año 9, n°1, 2011 [pp. 37-64]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Adecuación por parte de las ISAPRES de sus planes de precios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Cárdenas, José Luis.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Judicialización y las ISAPRES ¿Algo deseable o indeseables?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Disponible en: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sz w:val="20"/>
                  <w:szCs w:val="20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http://www.paho.org/blogs/chile/?p=240</w:t>
              </w:r>
            </w:hyperlink>
            <w:hyperlink r:id="rId8">
              <w:r w:rsidDel="00000000" w:rsidR="00000000" w:rsidRPr="00000000">
                <w:rPr>
                  <w:rtl w:val="0"/>
                </w:rPr>
              </w:r>
            </w:hyperlink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Coddou, Alberto.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nuevo Tribunal Constitucional y los derechos sociales: El caso de las ISAPRES.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Anuario Derecho Público UDP, 2010 [pp. 55-73]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23°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“Tabla de Factores”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Superintendencia de Salud.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Producto y Precios en el Sistema de Isapres.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Martínez Estay, José Ignacio.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Los Derechos Sociales de prestación en la Jurisprudencia Chilena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Estudios Constitucionales, vol. 8, núm. 2, 2010 [pp. 125-166]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Nogueira Alcalá, Humberto.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 Protección de los Derechos Sociales Como Derechos Fundamentales de Eficacia Inmediata y Justificables en Jurisdicción Constitucional.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Estudios Constitucionales, vol.8, núm. 2, 2010 [pp. 763-798]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Caso “Tabla de Factores”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-(O) Sentencia del Tribunal Constitucional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 fecha 6 de agosto de 2010, rol N°1710-2010. Caso “Tabla de Factores”.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Cárdenas, José Luis  y Montt, Santiago.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 declaración de inconstitucionalidad del artículo 38 ter de la Ley de Isapres: Mitos y realidades de un fallo histórico.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Anuario Derecho Público UDP, 2011 [pp. 17-53]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925"/>
        <w:gridCol w:w="5055"/>
        <w:tblGridChange w:id="0">
          <w:tblGrid>
            <w:gridCol w:w="1380"/>
            <w:gridCol w:w="2925"/>
            <w:gridCol w:w="50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25°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26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UNIDAD 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Extensión de los efectos de la jurisprudencia sobre Isapres al “Mercado de la Educación”: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Base económica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-(R) Alzamora, Cristián y Gómez, Matías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alza unilateral del arancel universitario y la jurisprudencia sobre el artículo 38 ter de la Ley de Isapres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Memoria para obtener el grado académico de Licenciado en Ciencias Jurídicas y Sociales, U. de Chile. Santiago, 2013 [pp. 19-141]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26°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 de diciembre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Extensión de los efectores de la jurisprudencia de Isapres al “Mercado de la Educación”: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Estructura del mercado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(R) Alzamora, Cristián y Gómez, Matías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alza unilateral del arancel universitario y la jurisprudencia sobre el artículo 38 ter de la Ley de Isapres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Memoria para obtener el grado académico de Licenciado en Ciencias Jurídicas y Sociales, U. de Chile. Santiago, 2013 [pp. 19-141]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27°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 de diciembre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Extensión de los efectos de la jurisprudencia sobre Isapres al “Mercado de la Educación”: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Base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(R) Alzamora, Cristián y Gómez, Matías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alza unilateral del arancel universitario y la jurisprudencia sobre el artículo 38 ter de la Ley de Isapres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Memoria para obtener el grado académico de Licenciado en Ciencias Jurídicas y Sociales, U. de Chile. Santiago, 2013 [pp. 457-523]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28°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 de diciembre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Extensión de los efectos de la jurisprudencia sobre Isapres al “Mercado de la Educación”: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Base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(R) Alzamora, Cristián y Gómez, Matías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 alza unilateral del arancel universitario y la jurisprudencia sobre el artículo 38 ter de la Ley de Isapres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Memoria para obtener el grado académico de Licenciado en Ciencias Jurídicas y Sociales, U. de Chile. Santiago, 2013 [pp. 457-523]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  <w:font w:name="Calibri">
    <w:embedRegular r:id="rId1" w:subsetted="0"/>
    <w:embedBold r:id="rId2" w:subsetted="0"/>
    <w:embedItalic r:id="rId3" w:subsetted="0"/>
    <w:embedBoldItalic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720" w:lineRule="auto"/>
      <w:contextualSpacing w:val="0"/>
      <w:jc w:val="right"/>
    </w:pPr>
    <w:r w:rsidDel="00000000" w:rsidR="00000000" w:rsidRPr="00000000">
      <w:drawing>
        <wp:inline distB="114300" distT="114300" distL="114300" distR="114300">
          <wp:extent cx="838200" cy="295275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both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Las lecturas se dividen entre  Obligatorias (O), Recomendadas (R) y Electivas (E). Las lecturas obligatorias corresponden a jurisprudencia del Tribunal Constitucional, es esencial que los estudiantes lleguen a clases con dichos materiales leídos, no hacerlo derrotaría todo el objetivo del curso. Las lecturas recomendadas corresponden a materiales que la cátedra considera que los estudiantes debiesen leer a fin de sacarle partido al curso. Las lecturas electivas son de profundización, están pensadas para los estudiantes realmente interesados en la materia.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paho.org/blogs/chile/?p=240" TargetMode="External"/><Relationship Id="rId7" Type="http://schemas.openxmlformats.org/officeDocument/2006/relationships/hyperlink" Target="http://www.paho.org/blogs/chile/?p=240" TargetMode="External"/><Relationship Id="rId8" Type="http://schemas.openxmlformats.org/officeDocument/2006/relationships/hyperlink" Target="http://www.paho.org/blogs/chile/?p=2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ibri-regular.ttf"/><Relationship Id="rId2" Type="http://schemas.openxmlformats.org/officeDocument/2006/relationships/font" Target="fonts/Calibri-bold.ttf"/><Relationship Id="rId3" Type="http://schemas.openxmlformats.org/officeDocument/2006/relationships/font" Target="fonts/Calibri-italic.ttf"/><Relationship Id="rId4" Type="http://schemas.openxmlformats.org/officeDocument/2006/relationships/font" Target="fonts/Calibri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