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3"/>
        <w:numPr>
          <w:ilvl w:val="2"/>
          <w:numId w:val="1"/>
        </w:numPr>
        <w:spacing w:after="120" w:before="240" w:lineRule="auto"/>
        <w:ind w:left="720" w:firstLine="0"/>
        <w:rPr>
          <w:rFonts w:ascii="Liberation Serif" w:cs="Liberation Serif" w:eastAsia="Liberation Serif" w:hAnsi="Liberation Serif"/>
          <w:b w:val="1"/>
          <w:i w:val="0"/>
          <w:smallCaps w:val="0"/>
          <w:strike w:val="0"/>
          <w:color w:val="000000"/>
          <w:sz w:val="28"/>
          <w:szCs w:val="28"/>
          <w:u w:val="none"/>
        </w:rPr>
      </w:pPr>
      <w:r w:rsidDel="00000000" w:rsidR="00000000" w:rsidRPr="00000000">
        <w:rPr>
          <w:rFonts w:ascii="Calibri" w:cs="Calibri" w:eastAsia="Calibri" w:hAnsi="Calibri"/>
          <w:b w:val="1"/>
          <w:i w:val="0"/>
          <w:smallCaps w:val="0"/>
          <w:sz w:val="20"/>
          <w:szCs w:val="20"/>
          <w:vertAlign w:val="baseline"/>
          <w:rtl w:val="0"/>
        </w:rPr>
        <w:t xml:space="preserve">José Luis Cárdenas Tomazic</w:t>
      </w:r>
      <w:r w:rsidDel="00000000" w:rsidR="00000000" w:rsidRPr="00000000">
        <w:rPr>
          <w:rtl w:val="0"/>
        </w:rPr>
      </w:r>
    </w:p>
    <w:p w:rsidR="00000000" w:rsidDel="00000000" w:rsidP="00000000" w:rsidRDefault="00000000" w:rsidRPr="00000000">
      <w:pPr>
        <w:widowControl w:val="0"/>
        <w:spacing w:after="120" w:before="0" w:line="240" w:lineRule="auto"/>
        <w:ind w:left="0" w:right="0" w:firstLine="0"/>
        <w:contextualSpacing w:val="0"/>
      </w:pPr>
      <w:r w:rsidDel="00000000" w:rsidR="00000000" w:rsidRPr="00000000">
        <w:rPr>
          <w:rtl w:val="0"/>
        </w:rPr>
      </w:r>
    </w:p>
    <w:p w:rsidR="00000000" w:rsidDel="00000000" w:rsidP="00000000" w:rsidRDefault="00000000" w:rsidRPr="00000000">
      <w:pPr>
        <w:widowControl w:val="0"/>
        <w:spacing w:after="120" w:before="0" w:line="240" w:lineRule="auto"/>
        <w:ind w:left="0" w:right="0" w:firstLine="0"/>
        <w:contextualSpacing w:val="0"/>
      </w:pPr>
      <w:r w:rsidDel="00000000" w:rsidR="00000000" w:rsidRPr="00000000">
        <w:rPr>
          <w:rFonts w:ascii="Calibri" w:cs="Calibri" w:eastAsia="Calibri" w:hAnsi="Calibri"/>
          <w:b w:val="1"/>
          <w:i w:val="0"/>
          <w:smallCaps w:val="0"/>
          <w:sz w:val="20"/>
          <w:szCs w:val="20"/>
          <w:vertAlign w:val="baseline"/>
          <w:rtl w:val="0"/>
        </w:rPr>
        <w:t xml:space="preserve">Títulos</w:t>
      </w:r>
      <w:r w:rsidDel="00000000" w:rsidR="00000000" w:rsidRPr="00000000">
        <w:rPr>
          <w:rFonts w:ascii="Calibri" w:cs="Calibri" w:eastAsia="Calibri" w:hAnsi="Calibri"/>
          <w:b w:val="0"/>
          <w:i w:val="0"/>
          <w:smallCaps w:val="0"/>
          <w:sz w:val="20"/>
          <w:szCs w:val="20"/>
          <w:vertAlign w:val="baseline"/>
          <w:rtl w:val="0"/>
        </w:rPr>
        <w:t xml:space="preserve"> </w:t>
      </w:r>
      <w:r w:rsidDel="00000000" w:rsidR="00000000" w:rsidRPr="00000000">
        <w:rPr>
          <w:rtl w:val="0"/>
        </w:rPr>
      </w:r>
    </w:p>
    <w:p w:rsidR="00000000" w:rsidDel="00000000" w:rsidP="00000000" w:rsidRDefault="00000000" w:rsidRPr="00000000">
      <w:pPr>
        <w:widowControl w:val="0"/>
        <w:spacing w:after="120" w:before="0" w:line="240" w:lineRule="auto"/>
        <w:ind w:left="0" w:right="0" w:firstLine="0"/>
        <w:contextualSpacing w:val="0"/>
      </w:pPr>
      <w:r w:rsidDel="00000000" w:rsidR="00000000" w:rsidRPr="00000000">
        <w:rPr>
          <w:rtl w:val="0"/>
        </w:rPr>
      </w:r>
    </w:p>
    <w:p w:rsidR="00000000" w:rsidDel="00000000" w:rsidP="00000000" w:rsidRDefault="00000000" w:rsidRPr="00000000">
      <w:pPr>
        <w:widowControl w:val="0"/>
        <w:spacing w:after="120" w:before="0" w:line="240" w:lineRule="auto"/>
        <w:ind w:left="0" w:right="0" w:firstLine="0"/>
        <w:contextualSpacing w:val="0"/>
      </w:pPr>
      <w:r w:rsidDel="00000000" w:rsidR="00000000" w:rsidRPr="00000000">
        <w:rPr>
          <w:rFonts w:ascii="Calibri" w:cs="Calibri" w:eastAsia="Calibri" w:hAnsi="Calibri"/>
          <w:b w:val="0"/>
          <w:i w:val="0"/>
          <w:smallCaps w:val="0"/>
          <w:sz w:val="20"/>
          <w:szCs w:val="20"/>
          <w:vertAlign w:val="baseline"/>
          <w:rtl w:val="0"/>
        </w:rPr>
        <w:t xml:space="preserve">Abogado, Universidad de Chile</w:t>
        <w:br w:type="textWrapping"/>
        <w:br w:type="textWrapping"/>
        <w:br w:type="textWrapping"/>
        <w:t xml:space="preserve">Posgrado Master en Derecho (“LL.M.”), Universidad de Freiburg, Alemania</w:t>
        <w:br w:type="textWrapping"/>
        <w:t xml:space="preserve">Doctor en Derecho (“Dr.iur.”), Universidad de Freiburg, Alemania</w:t>
        <w:br w:type="textWrapping"/>
        <w:br w:type="textWrapping"/>
      </w:r>
      <w:r w:rsidDel="00000000" w:rsidR="00000000" w:rsidRPr="00000000">
        <w:rPr>
          <w:rFonts w:ascii="Calibri" w:cs="Calibri" w:eastAsia="Calibri" w:hAnsi="Calibri"/>
          <w:b w:val="1"/>
          <w:i w:val="0"/>
          <w:smallCaps w:val="0"/>
          <w:sz w:val="20"/>
          <w:szCs w:val="20"/>
          <w:vertAlign w:val="baseline"/>
          <w:rtl w:val="0"/>
        </w:rPr>
        <w:t xml:space="preserve">Publicaciones</w:t>
      </w:r>
      <w:r w:rsidDel="00000000" w:rsidR="00000000" w:rsidRPr="00000000">
        <w:rPr>
          <w:rFonts w:ascii="Calibri" w:cs="Calibri" w:eastAsia="Calibri" w:hAnsi="Calibri"/>
          <w:b w:val="0"/>
          <w:i w:val="0"/>
          <w:smallCaps w:val="0"/>
          <w:sz w:val="20"/>
          <w:szCs w:val="20"/>
          <w:vertAlign w:val="baseline"/>
          <w:rtl w:val="0"/>
        </w:rPr>
        <w:t xml:space="preserve"> </w:t>
      </w:r>
      <w:r w:rsidDel="00000000" w:rsidR="00000000" w:rsidRPr="00000000">
        <w:rPr>
          <w:rtl w:val="0"/>
        </w:rPr>
      </w:r>
    </w:p>
    <w:p w:rsidR="00000000" w:rsidDel="00000000" w:rsidP="00000000" w:rsidRDefault="00000000" w:rsidRPr="00000000">
      <w:pPr>
        <w:widowControl w:val="0"/>
        <w:spacing w:after="120" w:before="0" w:line="240" w:lineRule="auto"/>
        <w:ind w:left="0" w:right="0" w:firstLine="0"/>
        <w:contextualSpacing w:val="0"/>
      </w:pPr>
      <w:r w:rsidDel="00000000" w:rsidR="00000000" w:rsidRPr="00000000">
        <w:rPr>
          <w:rtl w:val="0"/>
        </w:rPr>
      </w:r>
    </w:p>
    <w:p w:rsidR="00000000" w:rsidDel="00000000" w:rsidP="00000000" w:rsidRDefault="00000000" w:rsidRPr="00000000">
      <w:pPr>
        <w:widowControl w:val="0"/>
        <w:spacing w:after="120" w:before="0" w:line="240" w:lineRule="auto"/>
        <w:ind w:left="0" w:right="0" w:firstLine="0"/>
        <w:contextualSpacing w:val="0"/>
      </w:pPr>
      <w:r w:rsidDel="00000000" w:rsidR="00000000" w:rsidRPr="00000000">
        <w:rPr>
          <w:rFonts w:ascii="Calibri" w:cs="Calibri" w:eastAsia="Calibri" w:hAnsi="Calibri"/>
          <w:b w:val="0"/>
          <w:i w:val="0"/>
          <w:smallCaps w:val="0"/>
          <w:sz w:val="20"/>
          <w:szCs w:val="20"/>
          <w:vertAlign w:val="baseline"/>
          <w:rtl w:val="0"/>
        </w:rPr>
        <w:t xml:space="preserve">“Oferta Pública de Adquisición de Acciones (Opa): Hacia una regulación que tienda al crecimiento económico” (2001), Universidad de Chile.</w:t>
        <w:br w:type="textWrapping"/>
        <w:br w:type="textWrapping"/>
        <w:t xml:space="preserve">“La libertad de establecimiento dentro de la Unión Europea y sus consecuencias para Chile” (2005), Revista de Derecho Internacional y del Mercosur, año 9, N° 3 (co-autor Prof. Dr. Peter Sester).</w:t>
        <w:br w:type="textWrapping"/>
        <w:br w:type="textWrapping"/>
        <w:t xml:space="preserve">“The Extra-Communitarian Effects of Centros, Überseering und Inspire Art with Regard to Fourth Generation Association Agreements” (2005), European Company and Financial Law Review, Vol. 2, N° 3 (co-autor Prof. Dr. Peter Sester).</w:t>
        <w:br w:type="textWrapping"/>
        <w:br w:type="textWrapping"/>
        <w:t xml:space="preserve">“Rolle, Kriterien und Methodik der kartellrechtlichen Marktabgrenzung: eine juristische und ökonomische Analyse” (2005), Schriften des Zentrums für angewandte Rechtswissenschaft, Universität Karlsruhe, N° 3 (Monografía escrita en base a la tesis del master en derecho, sobre el rol, criterios y metodología de definición de mercado relevante en materias de libre competencia).</w:t>
        <w:br w:type="textWrapping"/>
        <w:br w:type="textWrapping"/>
        <w:t xml:space="preserve">“Vereinbarungen zur kartellrechtlichen Konvergenz in internationalen Abkommen zur Liberalisierung des Handels am Beispiel des Assoziationsabkommens zwischen der EU und Chile” (artículo que analiza el modelo de convergencia internacional en materia de libre competencia establecido en el acuerdo de asociación suscrito entre Chile y la UE), Rechts der Internationalen Wirtschaft (RIW), Heft 3/2006 (co-autor Prof. Dr. Peter Sester)</w:t>
        <w:br w:type="textWrapping"/>
        <w:br w:type="textWrapping"/>
        <w:t xml:space="preserve">“Die kartellrechtliche Abgrenzung der Pharmamärkte – eine juristische und ökonomische Analyse” – (2010), (tesis de doctorado: Definición de mercado relevante farmacéutico en el ámbito de la libre competencia: un análisis jurídico y económico) Logos Verlag Berlin</w:t>
        <w:br w:type="textWrapping"/>
        <w:br w:type="textWrapping"/>
        <w:t xml:space="preserve">“El Uso de la Información no Divulgada y el Linkage en el TLC con EE.UU.: ¿A qué realmente se obligó el Estado de Chile y cómo ha cumplido?” (2011) Revista de Derecho Económico Internacional Vol. 1 No. 2</w:t>
        <w:br w:type="textWrapping"/>
        <w:br w:type="textWrapping"/>
        <w:t xml:space="preserve">“Toward a more balanced pharmaceutical patent system for developing countries: Some preliminary thoughts” (2011), Journal of Generic Medicines</w:t>
        <w:br w:type="textWrapping"/>
        <w:br w:type="textWrapping"/>
        <w:t xml:space="preserve">“La Declaración de Inconstitucionalidad del artículo 38 ter de La Ley de Isapres: Mitos y Realidades de un Fallo Histórico” Anuario de Derecho Público UDP 2011 (co-autor Prof. Santiago Montt)</w:t>
        <w:br w:type="textWrapping"/>
        <w:br w:type="textWrapping"/>
        <w:t xml:space="preserve">"Propiedad intelectual farmacéutica, salud pública y libre comercio: ¿El actual modelo maximiza el bienestar para los países en vías de desarrollo?" Revista Chilena Salud Pública 2013; Vol 17 (1): 11-21</w:t>
        <w:br w:type="textWrapping"/>
      </w:r>
      <w:r w:rsidDel="00000000" w:rsidR="00000000" w:rsidRPr="00000000">
        <w:rPr>
          <w:rtl w:val="0"/>
        </w:rPr>
      </w:r>
    </w:p>
    <w:p w:rsidR="00000000" w:rsidDel="00000000" w:rsidP="00000000" w:rsidRDefault="00000000" w:rsidRPr="00000000">
      <w:pPr>
        <w:widowControl w:val="0"/>
        <w:spacing w:after="120" w:before="0" w:line="240" w:lineRule="auto"/>
        <w:ind w:left="0" w:right="0" w:firstLine="0"/>
        <w:contextualSpacing w:val="0"/>
      </w:pPr>
      <w:r w:rsidDel="00000000" w:rsidR="00000000" w:rsidRPr="00000000">
        <w:rPr>
          <w:rFonts w:ascii="Calibri" w:cs="Calibri" w:eastAsia="Calibri" w:hAnsi="Calibri"/>
          <w:b w:val="0"/>
          <w:i w:val="0"/>
          <w:smallCaps w:val="0"/>
          <w:sz w:val="20"/>
          <w:szCs w:val="20"/>
          <w:vertAlign w:val="baseline"/>
          <w:rtl w:val="0"/>
        </w:rPr>
        <w:br w:type="textWrapping"/>
      </w:r>
      <w:r w:rsidDel="00000000" w:rsidR="00000000" w:rsidRPr="00000000">
        <w:rPr>
          <w:rFonts w:ascii="Calibri" w:cs="Calibri" w:eastAsia="Calibri" w:hAnsi="Calibri"/>
          <w:b w:val="1"/>
          <w:i w:val="0"/>
          <w:smallCaps w:val="0"/>
          <w:sz w:val="20"/>
          <w:szCs w:val="20"/>
          <w:vertAlign w:val="baseline"/>
          <w:rtl w:val="0"/>
        </w:rPr>
        <w:t xml:space="preserve">Experiencia académica</w:t>
      </w:r>
      <w:r w:rsidDel="00000000" w:rsidR="00000000" w:rsidRPr="00000000">
        <w:rPr>
          <w:rFonts w:ascii="Calibri" w:cs="Calibri" w:eastAsia="Calibri" w:hAnsi="Calibri"/>
          <w:b w:val="0"/>
          <w:i w:val="0"/>
          <w:smallCaps w:val="0"/>
          <w:sz w:val="20"/>
          <w:szCs w:val="20"/>
          <w:vertAlign w:val="baseline"/>
          <w:rtl w:val="0"/>
        </w:rPr>
        <w:br w:type="textWrapping"/>
        <w:br w:type="textWrapping"/>
        <w:br w:type="textWrapping"/>
        <w:br w:type="textWrapping"/>
        <w:br w:type="textWrapping"/>
        <w:t xml:space="preserve">Profesor del curso de Derecho Constitucional Económico con énfasis en temas del “Mercado de la Salud”, Facultad de Derecho de la Universidad de Chile (segundo semestre 2012)</w:t>
        <w:br w:type="textWrapping"/>
        <w:br w:type="textWrapping"/>
        <w:t xml:space="preserve">Profesor del Diplomado de Derecho Administrativo de la Globalización, Facultad de Derecho de la Pontificia Universidad Católica (2012).</w:t>
        <w:br w:type="textWrapping"/>
        <w:br w:type="textWrapping"/>
        <w:t xml:space="preserve">Profesor del Diplomado en Derecho Público Económico, Facultad de Derecho de la Universidad de Chile (2012)</w:t>
        <w:br w:type="textWrapping"/>
        <w:br w:type="textWrapping"/>
        <w:t xml:space="preserve">Profesor sobre aspectos normativos al uso de medicamentos y estudios clínicos para la evaluación de su calidad, seguridad y eficacia / Patentes Farmacéuticas: Diplomado “Farmacología Moderna: del Medicamento al Gen”, Facultad de Medicina de la Universidad de Chile (segundo semestre 2011)</w:t>
        <w:br w:type="textWrapping"/>
        <w:br w:type="textWrapping"/>
        <w:t xml:space="preserve">Profesor del Diplomado de Derecho Administrativo de la Globalización, Facultad de Derecho de la Pontificia Universidad Católica (2011).</w:t>
        <w:br w:type="textWrapping"/>
        <w:br w:type="textWrapping"/>
        <w:t xml:space="preserve">Profesor del Diplomado en Derecho Público Económico, Facultad de Derecho de la Universidad de Chile (2011)</w:t>
        <w:br w:type="textWrapping"/>
        <w:br w:type="textWrapping"/>
        <w:t xml:space="preserve">Profesor del curso de Derecho Constitucional Económico con énfasis en temas del “Mercado de la Salud”, Facultad de Derecho de la Universidad de Chile (primer semestre 2011)</w:t>
        <w:br w:type="textWrapping"/>
        <w:br w:type="textWrapping"/>
        <w:t xml:space="preserve">Profesor sobre aspectos normativos al uso de medicamentos y estudios clínicos para la evaluación de su calidad, seguridad y eficacia / Patentes Farmacéuticas: Diplomado “Farmacología Moderna: del Medicamento al Gen”, Facultad de Medicina de la Universidad de Chile (segundo semestre 2010)</w:t>
        <w:br w:type="textWrapping"/>
        <w:br w:type="textWrapping"/>
        <w:t xml:space="preserve">Profesor del curso de Derecho Constitucional Económico con énfasis en temas del “Mercado de la Salud”, Facultad de Derecho de la Universidad de Chile (primer semestre 2010)</w:t>
        <w:br w:type="textWrapping"/>
        <w:br w:type="textWrapping"/>
        <w:t xml:space="preserve">Profesor sobre patentes farmacéuticas del Diplomado Internacional “Farmacología Moderna: del Medicamento al Gen”, Facultad de Medicina de la Universidad de Chile (segundo semestre 2009)</w:t>
        <w:br w:type="textWrapping"/>
        <w:br w:type="textWrapping"/>
        <w:t xml:space="preserve">Investigador del Centro de Ciencias Jurídicas Aplicadas de la Universidad de Karlsruhe (Alemania) - Zentrum für</w:t>
        <w:br w:type="textWrapping"/>
        <w:t xml:space="preserve">Angewandte Rechtswissenschaft (ZAR) (2004-2005)</w:t>
        <w:br w:type="textWrapping"/>
        <w:br w:type="textWrapping"/>
      </w:r>
      <w:r w:rsidDel="00000000" w:rsidR="00000000" w:rsidRPr="00000000">
        <w:rPr>
          <w:rFonts w:ascii="Calibri" w:cs="Calibri" w:eastAsia="Calibri" w:hAnsi="Calibri"/>
          <w:b w:val="1"/>
          <w:i w:val="0"/>
          <w:smallCaps w:val="0"/>
          <w:sz w:val="20"/>
          <w:szCs w:val="20"/>
          <w:vertAlign w:val="baseline"/>
          <w:rtl w:val="0"/>
        </w:rPr>
        <w:t xml:space="preserve">Experiencia Profesional relevante</w:t>
      </w:r>
      <w:r w:rsidDel="00000000" w:rsidR="00000000" w:rsidRPr="00000000">
        <w:rPr>
          <w:rFonts w:ascii="Calibri" w:cs="Calibri" w:eastAsia="Calibri" w:hAnsi="Calibri"/>
          <w:b w:val="0"/>
          <w:i w:val="0"/>
          <w:smallCaps w:val="0"/>
          <w:sz w:val="20"/>
          <w:szCs w:val="20"/>
          <w:vertAlign w:val="baseline"/>
          <w:rtl w:val="0"/>
        </w:rPr>
        <w:t xml:space="preserve"> </w:t>
      </w:r>
      <w:r w:rsidDel="00000000" w:rsidR="00000000" w:rsidRPr="00000000">
        <w:rPr>
          <w:rtl w:val="0"/>
        </w:rPr>
      </w:r>
    </w:p>
    <w:p w:rsidR="00000000" w:rsidDel="00000000" w:rsidP="00000000" w:rsidRDefault="00000000" w:rsidRPr="00000000">
      <w:pPr>
        <w:widowControl w:val="0"/>
        <w:spacing w:after="120" w:before="0" w:line="240" w:lineRule="auto"/>
        <w:ind w:left="0" w:right="0" w:firstLine="0"/>
        <w:contextualSpacing w:val="0"/>
      </w:pPr>
      <w:r w:rsidDel="00000000" w:rsidR="00000000" w:rsidRPr="00000000">
        <w:rPr>
          <w:rtl w:val="0"/>
        </w:rPr>
      </w:r>
    </w:p>
    <w:p w:rsidR="00000000" w:rsidDel="00000000" w:rsidP="00000000" w:rsidRDefault="00000000" w:rsidRPr="00000000">
      <w:pPr>
        <w:widowControl w:val="0"/>
        <w:spacing w:after="120" w:before="0" w:line="240" w:lineRule="auto"/>
        <w:ind w:left="0" w:right="0" w:firstLine="0"/>
        <w:contextualSpacing w:val="0"/>
      </w:pPr>
      <w:r w:rsidDel="00000000" w:rsidR="00000000" w:rsidRPr="00000000">
        <w:rPr>
          <w:rFonts w:ascii="Calibri" w:cs="Calibri" w:eastAsia="Calibri" w:hAnsi="Calibri"/>
          <w:b w:val="0"/>
          <w:i w:val="0"/>
          <w:smallCaps w:val="0"/>
          <w:sz w:val="20"/>
          <w:szCs w:val="20"/>
          <w:vertAlign w:val="baseline"/>
          <w:rtl w:val="0"/>
        </w:rPr>
        <w:t xml:space="preserve">2013- Encargado de Asuntos de Gobierno y Políticas Públicas del Grupo TEVA para Latinoamérica.</w:t>
        <w:br w:type="textWrapping"/>
        <w:br w:type="textWrapping"/>
        <w:t xml:space="preserve">2012- Asesor del Directorio de la Asociación Industrial de Laboratorios Farmacéuticos (ASILFA).</w:t>
        <w:br w:type="textWrapping"/>
        <w:br w:type="textWrapping"/>
        <w:t xml:space="preserve">2012- Legal &amp; Regulatory Affairs Director / Director de Asuntos Legales &amp; Regulatorios de Laboratorio Chile S.A.</w:t>
        <w:br w:type="textWrapping"/>
        <w:br w:type="textWrapping"/>
        <w:t xml:space="preserve">2011- Legal &amp; Regulatory Affairs Manager / Gerente de Asuntos Legales &amp; Regulatorios de Laboratorio Chile S.A.</w:t>
        <w:br w:type="textWrapping"/>
        <w:br w:type="textWrapping"/>
        <w:t xml:space="preserve">2006-2010 Legal Affairs Manager/Gerente de Asuntos Legales de Laboratorio Chile S.A.</w:t>
        <w:br w:type="textWrapping"/>
        <w:br w:type="textWrapping"/>
        <w:t xml:space="preserve">2006 Asociado senior del estudio jurídico Philippi, Yrarrázaval, Pulido &amp; Brunner, siendo parte del Area Societaria.</w:t>
        <w:br w:type="textWrapping"/>
        <w:br w:type="textWrapping"/>
        <w:t xml:space="preserve">2005 Asociado extranjero adscrito al area corporativa del estudio jurídico Freshfields Bruckhaus Deringer en la ciudad de Frankfurt, Alemania. A cargo de materias regulatorias bancarias en fusiones y adquisiciones internacionales.</w:t>
        <w:br w:type="textWrapping"/>
        <w:br w:type="textWrapping"/>
        <w:t xml:space="preserve">2001 - 2003 Asociado adscrito al </w:t>
      </w:r>
      <w:r w:rsidDel="00000000" w:rsidR="00000000" w:rsidRPr="00000000">
        <w:rPr>
          <w:rFonts w:ascii="Calibri" w:cs="Calibri" w:eastAsia="Calibri" w:hAnsi="Calibri"/>
          <w:sz w:val="20"/>
          <w:szCs w:val="20"/>
          <w:rtl w:val="0"/>
        </w:rPr>
        <w:t xml:space="preserve">área</w:t>
      </w:r>
      <w:r w:rsidDel="00000000" w:rsidR="00000000" w:rsidRPr="00000000">
        <w:rPr>
          <w:rFonts w:ascii="Calibri" w:cs="Calibri" w:eastAsia="Calibri" w:hAnsi="Calibri"/>
          <w:b w:val="0"/>
          <w:i w:val="0"/>
          <w:smallCaps w:val="0"/>
          <w:sz w:val="20"/>
          <w:szCs w:val="20"/>
          <w:vertAlign w:val="baseline"/>
          <w:rtl w:val="0"/>
        </w:rPr>
        <w:t xml:space="preserve"> judicial del estudio jurídico Philippi, Yrarrázaval, Pulido &amp; Brunner. A cargo de procesos judiciales en materias civiles, comerciales, de libre competencia, administrativas y constitucionales. Colaboración en materias societarias y procesos de fusiones y adquisiciones.</w:t>
        <w:br w:type="textWrapping"/>
        <w:br w:type="textWrapping"/>
        <w:t xml:space="preserve">1996 - 1999 Procurador en el estudio jurídico Philippi, Yrarrázaval, Pulido &amp; Brunner</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sectPr>
      <w:pgSz w:h="15840" w:w="12240"/>
      <w:pgMar w:bottom="1134" w:top="1134" w:left="1134" w:right="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alibri">
    <w:embedRegular r:id="rId1" w:subsetted="0"/>
    <w:embedBold r:id="rId2" w:subsetted="0"/>
    <w:embedItalic r:id="rId3" w:subsetted="0"/>
    <w:embedBoldItalic r:id="rId4"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
      <w:lvlJc w:val="left"/>
      <w:pPr>
        <w:ind w:left="432" w:firstLine="432"/>
      </w:pPr>
      <w:rPr>
        <w:vertAlign w:val="baseline"/>
      </w:rPr>
    </w:lvl>
    <w:lvl w:ilvl="1">
      <w:start w:val="1"/>
      <w:numFmt w:val="decimal"/>
      <w:lvlText w:val=""/>
      <w:lvlJc w:val="left"/>
      <w:pPr>
        <w:ind w:left="576" w:firstLine="576"/>
      </w:pPr>
      <w:rPr>
        <w:vertAlign w:val="baseline"/>
      </w:rPr>
    </w:lvl>
    <w:lvl w:ilvl="2">
      <w:start w:val="1"/>
      <w:numFmt w:val="decimal"/>
      <w:lvlText w:val=""/>
      <w:lvlJc w:val="left"/>
      <w:pPr>
        <w:ind w:left="720" w:firstLine="720"/>
      </w:pPr>
      <w:rPr>
        <w:vertAlign w:val="baseline"/>
      </w:rPr>
    </w:lvl>
    <w:lvl w:ilvl="3">
      <w:start w:val="1"/>
      <w:numFmt w:val="decimal"/>
      <w:lvlText w:val=""/>
      <w:lvlJc w:val="left"/>
      <w:pPr>
        <w:ind w:left="864" w:firstLine="864"/>
      </w:pPr>
      <w:rPr>
        <w:vertAlign w:val="baseline"/>
      </w:rPr>
    </w:lvl>
    <w:lvl w:ilvl="4">
      <w:start w:val="1"/>
      <w:numFmt w:val="decimal"/>
      <w:lvlText w:val=""/>
      <w:lvlJc w:val="left"/>
      <w:pPr>
        <w:ind w:left="1008" w:firstLine="1008"/>
      </w:pPr>
      <w:rPr>
        <w:vertAlign w:val="baseline"/>
      </w:rPr>
    </w:lvl>
    <w:lvl w:ilvl="5">
      <w:start w:val="1"/>
      <w:numFmt w:val="decimal"/>
      <w:lvlText w:val=""/>
      <w:lvlJc w:val="left"/>
      <w:pPr>
        <w:ind w:left="1152" w:firstLine="1152"/>
      </w:pPr>
      <w:rPr>
        <w:vertAlign w:val="baseline"/>
      </w:rPr>
    </w:lvl>
    <w:lvl w:ilvl="6">
      <w:start w:val="1"/>
      <w:numFmt w:val="decimal"/>
      <w:lvlText w:val=""/>
      <w:lvlJc w:val="left"/>
      <w:pPr>
        <w:ind w:left="1296" w:firstLine="1296"/>
      </w:pPr>
      <w:rPr>
        <w:vertAlign w:val="baseline"/>
      </w:rPr>
    </w:lvl>
    <w:lvl w:ilvl="7">
      <w:start w:val="1"/>
      <w:numFmt w:val="decimal"/>
      <w:lvlText w:val=""/>
      <w:lvlJc w:val="left"/>
      <w:pPr>
        <w:ind w:left="1440" w:firstLine="1440"/>
      </w:pPr>
      <w:rPr>
        <w:vertAlign w:val="baseline"/>
      </w:rPr>
    </w:lvl>
    <w:lvl w:ilvl="8">
      <w:start w:val="1"/>
      <w:numFmt w:val="decimal"/>
      <w:lvlText w:val=""/>
      <w:lvlJc w:val="left"/>
      <w:pPr>
        <w:ind w:left="1584" w:firstLine="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80" w:line="276" w:lineRule="auto"/>
      <w:ind w:left="0" w:right="0" w:firstLine="0"/>
      <w:jc w:val="left"/>
    </w:pPr>
    <w:rPr>
      <w:rFonts w:ascii="Arial" w:cs="Arial" w:eastAsia="Arial" w:hAnsi="Arial"/>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1"/>
      <w:spacing w:after="80" w:before="360" w:line="276" w:lineRule="auto"/>
      <w:ind w:left="0" w:right="0" w:firstLine="0"/>
      <w:jc w:val="left"/>
    </w:pPr>
    <w:rPr>
      <w:rFonts w:ascii="Arial" w:cs="Arial" w:eastAsia="Arial" w:hAnsi="Arial"/>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spacing w:after="120" w:before="240" w:line="240" w:lineRule="auto"/>
      <w:ind w:left="720" w:right="0" w:hanging="720"/>
      <w:jc w:val="left"/>
    </w:pPr>
    <w:rPr>
      <w:rFonts w:ascii="Liberation Serif" w:cs="Liberation Serif" w:eastAsia="Liberation Serif" w:hAnsi="Liberation Serif"/>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1"/>
      <w:spacing w:after="40" w:before="240" w:line="276" w:lineRule="auto"/>
      <w:ind w:left="0" w:right="0" w:firstLine="0"/>
      <w:jc w:val="left"/>
    </w:pPr>
    <w:rPr>
      <w:rFonts w:ascii="Arial" w:cs="Arial" w:eastAsia="Arial" w:hAnsi="Arial"/>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1"/>
      <w:spacing w:after="40" w:before="220" w:line="276" w:lineRule="auto"/>
      <w:ind w:left="0" w:right="0" w:firstLine="0"/>
      <w:jc w:val="left"/>
    </w:pPr>
    <w:rPr>
      <w:rFonts w:ascii="Arial" w:cs="Arial" w:eastAsia="Arial" w:hAnsi="Arial"/>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1"/>
      <w:spacing w:after="40" w:before="200" w:line="276" w:lineRule="auto"/>
      <w:ind w:left="0" w:right="0" w:firstLine="0"/>
      <w:jc w:val="left"/>
    </w:pPr>
    <w:rPr>
      <w:rFonts w:ascii="Arial" w:cs="Arial" w:eastAsia="Arial" w:hAnsi="Arial"/>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1"/>
      <w:spacing w:after="120" w:before="480" w:line="276" w:lineRule="auto"/>
      <w:ind w:left="0" w:right="0" w:firstLine="0"/>
      <w:jc w:val="left"/>
    </w:pPr>
    <w:rPr>
      <w:rFonts w:ascii="Arial" w:cs="Arial" w:eastAsia="Arial" w:hAnsi="Arial"/>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libri-regular.ttf"/><Relationship Id="rId2" Type="http://schemas.openxmlformats.org/officeDocument/2006/relationships/font" Target="fonts/Calibri-bold.ttf"/><Relationship Id="rId3" Type="http://schemas.openxmlformats.org/officeDocument/2006/relationships/font" Target="fonts/Calibri-italic.ttf"/><Relationship Id="rId4" Type="http://schemas.openxmlformats.org/officeDocument/2006/relationships/font" Target="fonts/Calibri-boldItalic.ttf"/></Relationships>
</file>