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Garamond" w:cs="Garamond" w:hAnsi="Garamond" w:eastAsia="Garamond"/>
          <w:sz w:val="32"/>
          <w:szCs w:val="32"/>
        </w:rPr>
      </w:pPr>
      <w:r>
        <w:rPr>
          <w:rFonts w:ascii="Garamond"/>
          <w:b w:val="1"/>
          <w:bCs w:val="1"/>
          <w:sz w:val="32"/>
          <w:szCs w:val="32"/>
          <w:rtl w:val="0"/>
          <w:lang w:val="es-ES_tradnl"/>
        </w:rPr>
        <w:t>Biopol</w:t>
      </w:r>
      <w:r>
        <w:rPr>
          <w:rFonts w:hAnsi="Garamond" w:hint="default"/>
          <w:b w:val="1"/>
          <w:bCs w:val="1"/>
          <w:sz w:val="32"/>
          <w:szCs w:val="32"/>
          <w:rtl w:val="0"/>
          <w:lang w:val="es-ES_tradnl"/>
        </w:rPr>
        <w:t>í</w:t>
      </w:r>
      <w:r>
        <w:rPr>
          <w:rFonts w:ascii="Garamond"/>
          <w:b w:val="1"/>
          <w:bCs w:val="1"/>
          <w:sz w:val="32"/>
          <w:szCs w:val="32"/>
          <w:rtl w:val="0"/>
          <w:lang w:val="es-ES_tradnl"/>
        </w:rPr>
        <w:t>tica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Garamond" w:cs="Garamond" w:hAnsi="Garamond" w:eastAsia="Garamond"/>
          <w:sz w:val="32"/>
          <w:szCs w:val="32"/>
        </w:rPr>
      </w:pPr>
      <w:r>
        <w:rPr>
          <w:rFonts w:ascii="Garamond"/>
          <w:sz w:val="32"/>
          <w:szCs w:val="32"/>
          <w:rtl w:val="0"/>
          <w:lang w:val="es-ES_tradnl"/>
        </w:rPr>
        <w:t>Una lectura desde la resistencia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Garamond" w:cs="Garamond" w:hAnsi="Garamond" w:eastAsia="Garamond"/>
          <w:b w:val="1"/>
          <w:bCs w:val="1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</w:pPr>
      <w:r>
        <w:rPr>
          <w:rFonts w:ascii="Garamond"/>
          <w:b w:val="1"/>
          <w:bCs w:val="1"/>
          <w:sz w:val="24"/>
          <w:szCs w:val="24"/>
          <w:rtl w:val="0"/>
          <w:lang w:val="es-ES_tradnl"/>
        </w:rPr>
        <w:t>Nicol</w:t>
      </w:r>
      <w:r>
        <w:rPr>
          <w:rFonts w:hAnsi="Garamond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Garamond"/>
          <w:b w:val="1"/>
          <w:bCs w:val="1"/>
          <w:sz w:val="24"/>
          <w:szCs w:val="24"/>
          <w:rtl w:val="0"/>
          <w:lang w:val="es-ES_tradnl"/>
        </w:rPr>
        <w:t>s Ried</w:t>
      </w:r>
      <w:r>
        <w:rPr>
          <w:rFonts w:ascii="Garamond"/>
          <w:b w:val="1"/>
          <w:bCs w:val="1"/>
          <w:sz w:val="24"/>
          <w:szCs w:val="24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Garamond" w:cs="Garamond" w:hAnsi="Garamond" w:eastAsia="Garamond"/>
          <w:sz w:val="24"/>
          <w:szCs w:val="24"/>
        </w:rPr>
      </w:pPr>
      <w:r>
        <w:rPr>
          <w:rFonts w:ascii="Garamond"/>
          <w:sz w:val="24"/>
          <w:szCs w:val="24"/>
          <w:rtl w:val="0"/>
          <w:lang w:val="es-ES_tradnl"/>
        </w:rPr>
        <w:t>VIII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/>
          <w:sz w:val="24"/>
          <w:szCs w:val="24"/>
          <w:rtl w:val="0"/>
          <w:lang w:val="es-ES_tradnl"/>
        </w:rPr>
        <w:t>En la conferencia presentada en 1978, Foucault propone un an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lisis de la noci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de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cr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tica</w:t>
      </w:r>
      <w:r>
        <w:rPr>
          <w:rFonts w:ascii="Garamond"/>
          <w:sz w:val="24"/>
          <w:szCs w:val="24"/>
          <w:rtl w:val="0"/>
          <w:lang w:val="es-ES_tradnl"/>
        </w:rPr>
        <w:t>, en relaci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con el pensamiento de Immanuel Kant en su 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¿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Qu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 xml:space="preserve">é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es la Ilustraci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n?</w:t>
      </w:r>
      <w:r>
        <w:rPr>
          <w:rFonts w:ascii="Garamond"/>
          <w:sz w:val="24"/>
          <w:szCs w:val="24"/>
          <w:rtl w:val="0"/>
          <w:lang w:val="es-ES_tradnl"/>
        </w:rPr>
        <w:t xml:space="preserve"> (1784).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es caracterizada por Foucault, de manera precisa, como un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arte de la inservidumbre voluntaria</w:t>
      </w:r>
      <w:r>
        <w:rPr>
          <w:rFonts w:ascii="Garamond"/>
          <w:sz w:val="24"/>
          <w:szCs w:val="24"/>
          <w:rtl w:val="0"/>
          <w:lang w:val="es-ES_tradnl"/>
        </w:rPr>
        <w:t>, que tiene por funci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la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desujeci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n</w:t>
      </w:r>
      <w:r>
        <w:rPr>
          <w:rFonts w:ascii="Garamond"/>
          <w:sz w:val="24"/>
          <w:szCs w:val="24"/>
          <w:rtl w:val="0"/>
          <w:lang w:val="es-ES_tradnl"/>
        </w:rPr>
        <w:t xml:space="preserve">. </w:t>
      </w:r>
      <w:r>
        <w:rPr>
          <w:rFonts w:ascii="Garamond"/>
          <w:sz w:val="24"/>
          <w:szCs w:val="24"/>
          <w:rtl w:val="0"/>
          <w:lang w:val="es-ES_tradnl"/>
        </w:rPr>
        <w:t xml:space="preserve"> 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es un modo de la resistencia que consiste en una actitud: el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sapere aude</w:t>
      </w:r>
      <w:r>
        <w:rPr>
          <w:rFonts w:ascii="Garamond"/>
          <w:sz w:val="24"/>
          <w:szCs w:val="24"/>
          <w:rtl w:val="0"/>
          <w:lang w:val="es-ES_tradnl"/>
        </w:rPr>
        <w:t xml:space="preserve"> kantiano, es una m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 xml:space="preserve">xima que expresa una actitud o conjunto de gestos que se hacen en el mundo. Pensar por uno mismo, significa hacer algo en el mundo por uno mismo, y no en un estado mental 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ntimo: pensar no es sino el conjunto de efectos que producen las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cticas del sujeto en el mundo. El pensar por uno mismo, m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s all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de la autocomplaciente minor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de edad que refiere Kant, consiste en no aceptar las categor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as que intentan explicar el mundo y que ya no est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n vigentes: la noci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 desujeci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implica un no dejarse conducir sin cuestionar, sin interrogar. Es por ello que Foucault no titula su texto </w:t>
      </w: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</w:t>
      </w:r>
      <w:r>
        <w:rPr>
          <w:rFonts w:hAnsi="Garamond" w:hint="default"/>
          <w:sz w:val="24"/>
          <w:szCs w:val="24"/>
          <w:rtl w:val="0"/>
          <w:lang w:val="es-ES_tradnl"/>
        </w:rPr>
        <w:t>”</w:t>
      </w:r>
      <w:r>
        <w:rPr>
          <w:rFonts w:ascii="Garamond"/>
          <w:sz w:val="24"/>
          <w:szCs w:val="24"/>
          <w:rtl w:val="0"/>
          <w:lang w:val="es-ES_tradnl"/>
        </w:rPr>
        <w:t>, o algo as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: la titula 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¿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Qu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 xml:space="preserve">é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es la cr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tica?</w:t>
      </w:r>
      <w:r>
        <w:rPr>
          <w:rFonts w:ascii="Garamond"/>
          <w:sz w:val="24"/>
          <w:szCs w:val="24"/>
          <w:rtl w:val="0"/>
          <w:lang w:val="es-ES_tradnl"/>
        </w:rPr>
        <w:t>, comprendiendo que lo que puede hacerse con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no es explicarla, definirla, ni determinarla, sino interrogarla.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right="1133" w:firstLine="0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Y si la gubernamentalizaci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es este movimiento por el cual se trataba, en la realidad misma de una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 social, de sujetar a los individuos a trav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s de unos mecanismos de poder que invocan una verdad, pues bien, yo dir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que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es el movimiento por el cual el sujeto se atribuye el derecho de interrogar a la verdad acerca de sus efectos de poder, y al poder acerca de sus discursos de verdad; pues bien,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ser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el arte de la inservidumbre voluntaria, el de la indocilidad reflexiva.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tendr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esencialmente por funci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la desujeci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en el juego de los que se podr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denominar, con una palabra, la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de la verdad</w:t>
      </w:r>
      <w:r>
        <w:rPr>
          <w:rFonts w:hAnsi="Garamond" w:hint="default"/>
          <w:sz w:val="24"/>
          <w:szCs w:val="24"/>
          <w:rtl w:val="0"/>
          <w:lang w:val="es-ES_tradnl"/>
        </w:rPr>
        <w:t>”</w:t>
      </w:r>
      <w:r>
        <w:rPr>
          <w:rFonts w:ascii="Garamond"/>
          <w:sz w:val="24"/>
          <w:szCs w:val="24"/>
          <w:rtl w:val="0"/>
          <w:lang w:val="es-ES_tradnl"/>
        </w:rPr>
        <w:t>.</w:t>
      </w:r>
      <w:r>
        <w:rPr>
          <w:rFonts w:ascii="Garamond" w:cs="Garamond" w:hAnsi="Garamond" w:eastAsia="Garamond"/>
          <w:sz w:val="24"/>
          <w:szCs w:val="24"/>
          <w:vertAlign w:val="superscript"/>
          <w:rtl w:val="0"/>
        </w:rPr>
        <w:footnoteReference w:id="1"/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</w:rPr>
        <w:tab/>
      </w:r>
      <w:r>
        <w:rPr>
          <w:rFonts w:ascii="Garamond"/>
          <w:sz w:val="24"/>
          <w:szCs w:val="24"/>
          <w:rtl w:val="0"/>
          <w:lang w:val="es-ES_tradnl"/>
        </w:rPr>
        <w:t xml:space="preserve">Este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arte de la inservidumbre voluntaria</w:t>
      </w:r>
      <w:r>
        <w:rPr>
          <w:rFonts w:ascii="Garamond"/>
          <w:sz w:val="24"/>
          <w:szCs w:val="24"/>
          <w:rtl w:val="0"/>
          <w:lang w:val="es-ES_tradnl"/>
        </w:rPr>
        <w:t>, lo presenta como la forma en que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produce una desujeci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n, o un sujetarse de otra manera, respecto de la verdad</w:t>
      </w:r>
      <w:r>
        <w:rPr>
          <w:rFonts w:ascii="Garamond"/>
          <w:sz w:val="24"/>
          <w:szCs w:val="24"/>
          <w:rtl w:val="0"/>
          <w:lang w:val="es-ES_tradnl"/>
        </w:rPr>
        <w:t xml:space="preserve"> que impone un r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gimen</w:t>
      </w:r>
      <w:r>
        <w:rPr>
          <w:rFonts w:ascii="Garamond"/>
          <w:sz w:val="24"/>
          <w:szCs w:val="24"/>
          <w:rtl w:val="0"/>
          <w:lang w:val="es-ES_tradnl"/>
        </w:rPr>
        <w:t>. Hay un cuestionamiento de los textos sagrados, no como negaci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 lo sagrado del texto, sino como producci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aut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noma de aquello que el texto sagrado pretende hacer d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cil.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es una </w:t>
      </w:r>
      <w:r>
        <w:rPr>
          <w:rFonts w:ascii="Garamond"/>
          <w:sz w:val="24"/>
          <w:szCs w:val="24"/>
          <w:rtl w:val="0"/>
          <w:lang w:val="es-ES_tradnl"/>
        </w:rPr>
        <w:t xml:space="preserve">actitud </w:t>
      </w:r>
      <w:r>
        <w:rPr>
          <w:rFonts w:ascii="Garamond"/>
          <w:sz w:val="24"/>
          <w:szCs w:val="24"/>
          <w:rtl w:val="0"/>
          <w:lang w:val="es-ES_tradnl"/>
        </w:rPr>
        <w:t>espec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fica </w:t>
      </w:r>
      <w:r>
        <w:rPr>
          <w:rFonts w:ascii="Garamond"/>
          <w:sz w:val="24"/>
          <w:szCs w:val="24"/>
          <w:rtl w:val="0"/>
          <w:lang w:val="es-ES_tradnl"/>
        </w:rPr>
        <w:t>ante</w:t>
      </w:r>
      <w:r>
        <w:rPr>
          <w:rFonts w:ascii="Garamond"/>
          <w:sz w:val="24"/>
          <w:szCs w:val="24"/>
          <w:rtl w:val="0"/>
          <w:lang w:val="es-ES_tradnl"/>
        </w:rPr>
        <w:t xml:space="preserve"> los textos sagrados que produce un texto propio.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no es un negar sin proponer, al contrario: es la producci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constante del cuestionamiento a la verdad</w:t>
      </w:r>
      <w:r>
        <w:rPr>
          <w:rFonts w:ascii="Garamond"/>
          <w:sz w:val="24"/>
          <w:szCs w:val="24"/>
          <w:rtl w:val="0"/>
          <w:lang w:val="es-ES_tradnl"/>
        </w:rPr>
        <w:t>, distinto de las categor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as que esa verdad constituye.</w:t>
      </w:r>
      <w:r>
        <w:rPr>
          <w:rFonts w:ascii="Garamond"/>
          <w:sz w:val="24"/>
          <w:szCs w:val="24"/>
          <w:rtl w:val="0"/>
          <w:lang w:val="es-ES_tradnl"/>
        </w:rPr>
        <w:t xml:space="preserve">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es la manera en que se batalla</w:t>
      </w:r>
      <w:r>
        <w:rPr>
          <w:rFonts w:ascii="Garamond"/>
          <w:sz w:val="24"/>
          <w:szCs w:val="24"/>
          <w:rtl w:val="0"/>
          <w:lang w:val="es-ES_tradnl"/>
        </w:rPr>
        <w:t>n</w:t>
      </w:r>
      <w:r>
        <w:rPr>
          <w:rFonts w:ascii="Garamond"/>
          <w:sz w:val="24"/>
          <w:szCs w:val="24"/>
          <w:rtl w:val="0"/>
          <w:lang w:val="es-ES_tradnl"/>
        </w:rPr>
        <w:t xml:space="preserve"> los conceptos, las im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genes, las palabras, los nombres a los dispositivos del poder; por eso podemos decir que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tica, junto con ser una actitud, es una manera de comprender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lo pol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tico</w:t>
      </w:r>
      <w:r>
        <w:rPr>
          <w:rFonts w:ascii="Garamond"/>
          <w:sz w:val="24"/>
          <w:szCs w:val="24"/>
          <w:rtl w:val="0"/>
          <w:lang w:val="es-ES_tradnl"/>
        </w:rPr>
        <w:t>: es una manera de leer el problema sobre aquello que tenemos en com</w:t>
      </w:r>
      <w:r>
        <w:rPr>
          <w:rFonts w:hAnsi="Garamond" w:hint="default"/>
          <w:sz w:val="24"/>
          <w:szCs w:val="24"/>
          <w:rtl w:val="0"/>
          <w:lang w:val="es-ES_tradnl"/>
        </w:rPr>
        <w:t>ú</w:t>
      </w:r>
      <w:r>
        <w:rPr>
          <w:rFonts w:ascii="Garamond"/>
          <w:sz w:val="24"/>
          <w:szCs w:val="24"/>
          <w:rtl w:val="0"/>
          <w:lang w:val="es-ES_tradnl"/>
        </w:rPr>
        <w:t>n.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</w:r>
      <w:r>
        <w:rPr>
          <w:rFonts w:ascii="Garamond"/>
          <w:sz w:val="24"/>
          <w:szCs w:val="24"/>
          <w:rtl w:val="0"/>
          <w:lang w:val="es-ES_tradnl"/>
        </w:rPr>
        <w:t>En este modo de comprender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tico, mira las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cticas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ticas como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ejemplos</w:t>
      </w:r>
      <w:r>
        <w:rPr>
          <w:rFonts w:ascii="Garamond"/>
          <w:sz w:val="24"/>
          <w:szCs w:val="24"/>
          <w:rtl w:val="0"/>
          <w:lang w:val="es-ES_tradnl"/>
        </w:rPr>
        <w:t xml:space="preserve"> y no como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excepciones</w:t>
      </w:r>
      <w:r>
        <w:rPr>
          <w:rFonts w:ascii="Garamond"/>
          <w:sz w:val="24"/>
          <w:szCs w:val="24"/>
          <w:rtl w:val="0"/>
          <w:lang w:val="es-ES_tradnl"/>
        </w:rPr>
        <w:t>. Un modelo que sit</w:t>
      </w:r>
      <w:r>
        <w:rPr>
          <w:rFonts w:hAnsi="Garamond" w:hint="default"/>
          <w:sz w:val="24"/>
          <w:szCs w:val="24"/>
          <w:rtl w:val="0"/>
          <w:lang w:val="es-ES_tradnl"/>
        </w:rPr>
        <w:t>ú</w:t>
      </w:r>
      <w:r>
        <w:rPr>
          <w:rFonts w:ascii="Garamond"/>
          <w:sz w:val="24"/>
          <w:szCs w:val="24"/>
          <w:rtl w:val="0"/>
          <w:lang w:val="es-ES_tradnl"/>
        </w:rPr>
        <w:t>a la revoluci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n, por ejemplo, como ceremonia final de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tico, consistentemente presentar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que todas las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cticas anteriores a ese gran momento no son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ticas, sino </w:t>
      </w:r>
      <w:r>
        <w:rPr>
          <w:rFonts w:hAnsi="Garamond" w:hint="default"/>
          <w:sz w:val="24"/>
          <w:szCs w:val="24"/>
          <w:rtl w:val="0"/>
          <w:lang w:val="es-ES_tradnl"/>
        </w:rPr>
        <w:t>ú</w:t>
      </w:r>
      <w:r>
        <w:rPr>
          <w:rFonts w:ascii="Garamond"/>
          <w:sz w:val="24"/>
          <w:szCs w:val="24"/>
          <w:rtl w:val="0"/>
          <w:lang w:val="es-ES_tradnl"/>
        </w:rPr>
        <w:t>tiles para acercar la revoluci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n: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 es excepcional. Al contrario, un modelo como el de Foucault, que presenta las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cticas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ticas como gestos de desobediencia que no pueden ser guiados mediante un programa ni un horizonte,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 se presenta como ejemplo: cuando a Foucault le preguntan por los modos de emancipaci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tica, responde que es el sadomasoquismo y el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fist-fucking</w:t>
      </w:r>
      <w:r>
        <w:rPr>
          <w:rFonts w:ascii="Garamond"/>
          <w:sz w:val="24"/>
          <w:szCs w:val="24"/>
          <w:rtl w:val="0"/>
          <w:lang w:val="es-ES_tradnl"/>
        </w:rPr>
        <w:t xml:space="preserve">: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right="1134" w:firstLine="0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La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 del S/M desemboca en la creaci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del placer, y hay una identidad que va con esta creaci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n. Por eso el S/M es verdaderamente una sub-cultura. Es un proceso de invenci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n. El S/M es la utilizaci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 una relaci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estrat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gica como fuente de placer (de placer f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sico)</w:t>
      </w:r>
      <w:r>
        <w:rPr>
          <w:rFonts w:hAnsi="Garamond" w:hint="default"/>
          <w:sz w:val="24"/>
          <w:szCs w:val="24"/>
          <w:rtl w:val="0"/>
          <w:lang w:val="es-ES_tradnl"/>
        </w:rPr>
        <w:t>”</w:t>
      </w:r>
      <w:r>
        <w:rPr>
          <w:rFonts w:ascii="Garamond"/>
          <w:sz w:val="24"/>
          <w:szCs w:val="24"/>
          <w:rtl w:val="0"/>
          <w:lang w:val="es-ES_tradnl"/>
        </w:rPr>
        <w:t>.</w:t>
      </w:r>
      <w:r>
        <w:rPr>
          <w:rFonts w:ascii="Garamond" w:cs="Garamond" w:hAnsi="Garamond" w:eastAsia="Garamond"/>
          <w:sz w:val="24"/>
          <w:szCs w:val="24"/>
          <w:vertAlign w:val="superscript"/>
        </w:rPr>
        <w:footnoteReference w:id="2"/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  <w:t>Con ello, Foucault presenta un ejemplo espec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fico y localizado de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de resistencia que desarticulas ciertos 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rdenes heteronormativos, patriarcales y capitalistas de producci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del placer, pero no est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sugiriendo que todos seremos libres una vez que tengamos un pu</w:t>
      </w:r>
      <w:r>
        <w:rPr>
          <w:rFonts w:hAnsi="Garamond" w:hint="default"/>
          <w:sz w:val="24"/>
          <w:szCs w:val="24"/>
          <w:rtl w:val="0"/>
          <w:lang w:val="es-ES_tradnl"/>
        </w:rPr>
        <w:t>ñ</w:t>
      </w:r>
      <w:r>
        <w:rPr>
          <w:rFonts w:ascii="Garamond"/>
          <w:sz w:val="24"/>
          <w:szCs w:val="24"/>
          <w:rtl w:val="0"/>
          <w:lang w:val="es-ES_tradnl"/>
        </w:rPr>
        <w:t>o en el ano.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 como ejemplo mira las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cticas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ticas de resistencia exitosas de manera retrospectiva, sin hacer una profec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al respecto. Es por ello que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de J</w:t>
      </w:r>
      <w:r>
        <w:rPr>
          <w:rFonts w:hAnsi="Garamond" w:hint="default"/>
          <w:sz w:val="24"/>
          <w:szCs w:val="24"/>
          <w:rtl w:val="0"/>
          <w:lang w:val="es-ES_tradnl"/>
        </w:rPr>
        <w:t>ü</w:t>
      </w:r>
      <w:r>
        <w:rPr>
          <w:rFonts w:ascii="Garamond"/>
          <w:sz w:val="24"/>
          <w:szCs w:val="24"/>
          <w:rtl w:val="0"/>
          <w:lang w:val="es-ES_tradnl"/>
        </w:rPr>
        <w:t>rgen Habermas y compa</w:t>
      </w:r>
      <w:r>
        <w:rPr>
          <w:rFonts w:hAnsi="Garamond" w:hint="default"/>
          <w:sz w:val="24"/>
          <w:szCs w:val="24"/>
          <w:rtl w:val="0"/>
          <w:lang w:val="es-ES_tradnl"/>
        </w:rPr>
        <w:t>ñí</w:t>
      </w:r>
      <w:r>
        <w:rPr>
          <w:rFonts w:ascii="Garamond"/>
          <w:sz w:val="24"/>
          <w:szCs w:val="24"/>
          <w:rtl w:val="0"/>
          <w:lang w:val="es-ES_tradnl"/>
        </w:rPr>
        <w:t>a a Foucault (y compa</w:t>
      </w:r>
      <w:r>
        <w:rPr>
          <w:rFonts w:hAnsi="Garamond" w:hint="default"/>
          <w:sz w:val="24"/>
          <w:szCs w:val="24"/>
          <w:rtl w:val="0"/>
          <w:lang w:val="es-ES_tradnl"/>
        </w:rPr>
        <w:t>ñí</w:t>
      </w:r>
      <w:r>
        <w:rPr>
          <w:rFonts w:ascii="Garamond"/>
          <w:sz w:val="24"/>
          <w:szCs w:val="24"/>
          <w:rtl w:val="0"/>
          <w:lang w:val="es-ES_tradnl"/>
        </w:rPr>
        <w:t>a) consiste en que esta versi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no responde ante la pregunta </w:t>
      </w:r>
      <w:r>
        <w:rPr>
          <w:rFonts w:hAnsi="Garamond" w:hint="default"/>
          <w:sz w:val="24"/>
          <w:szCs w:val="24"/>
          <w:rtl w:val="0"/>
          <w:lang w:val="es-ES_tradnl"/>
        </w:rPr>
        <w:t>¿</w:t>
      </w:r>
      <w:r>
        <w:rPr>
          <w:rFonts w:ascii="Garamond"/>
          <w:sz w:val="24"/>
          <w:szCs w:val="24"/>
          <w:rtl w:val="0"/>
          <w:lang w:val="es-ES_tradnl"/>
        </w:rPr>
        <w:t>qu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Garamond"/>
          <w:sz w:val="24"/>
          <w:szCs w:val="24"/>
          <w:rtl w:val="0"/>
          <w:lang w:val="es-ES_tradnl"/>
        </w:rPr>
        <w:t>debemos hacer? Y claro, no responde, pero eso es porque el modo de producir una respuesta a esa pregunta no se puede explicitar: s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lo puede ser mostrada visualmente.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</w:rPr>
        <w:tab/>
      </w:r>
      <w:r>
        <w:rPr>
          <w:rFonts w:ascii="Garamond"/>
          <w:sz w:val="24"/>
          <w:szCs w:val="24"/>
          <w:rtl w:val="0"/>
          <w:lang w:val="es-ES_tradnl"/>
        </w:rPr>
        <w:t>En el a</w:t>
      </w:r>
      <w:r>
        <w:rPr>
          <w:rFonts w:hAnsi="Garamond" w:hint="default"/>
          <w:sz w:val="24"/>
          <w:szCs w:val="24"/>
          <w:rtl w:val="0"/>
          <w:lang w:val="es-ES_tradnl"/>
        </w:rPr>
        <w:t>ñ</w:t>
      </w:r>
      <w:r>
        <w:rPr>
          <w:rFonts w:ascii="Garamond"/>
          <w:sz w:val="24"/>
          <w:szCs w:val="24"/>
          <w:rtl w:val="0"/>
          <w:lang w:val="es-ES_tradnl"/>
        </w:rPr>
        <w:t>o 2000, Judith Butler pronunci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Garamond"/>
          <w:sz w:val="24"/>
          <w:szCs w:val="24"/>
          <w:rtl w:val="0"/>
          <w:lang w:val="es-ES_tradnl"/>
        </w:rPr>
        <w:t>una comunicaci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a prop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sito del texto de Foucault.</w:t>
      </w:r>
      <w:r>
        <w:rPr>
          <w:rFonts w:ascii="Garamond" w:cs="Garamond" w:hAnsi="Garamond" w:eastAsia="Garamond"/>
          <w:sz w:val="24"/>
          <w:szCs w:val="24"/>
          <w:vertAlign w:val="superscript"/>
        </w:rPr>
        <w:footnoteReference w:id="3"/>
      </w:r>
      <w:r>
        <w:rPr>
          <w:rFonts w:ascii="Garamond"/>
          <w:sz w:val="24"/>
          <w:szCs w:val="24"/>
          <w:rtl w:val="0"/>
          <w:lang w:val="es-ES_tradnl"/>
        </w:rPr>
        <w:t xml:space="preserve"> </w:t>
      </w:r>
      <w:r>
        <w:rPr>
          <w:rFonts w:ascii="Garamond"/>
          <w:sz w:val="24"/>
          <w:szCs w:val="24"/>
          <w:rtl w:val="0"/>
          <w:lang w:val="es-ES_tradnl"/>
        </w:rPr>
        <w:t>Butler tambi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n nombrar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a su presentaci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¿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Qu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 xml:space="preserve">é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es la cr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tica?</w:t>
      </w:r>
      <w:r>
        <w:rPr>
          <w:rFonts w:ascii="Garamond"/>
          <w:sz w:val="24"/>
          <w:szCs w:val="24"/>
          <w:rtl w:val="0"/>
          <w:lang w:val="es-ES_tradnl"/>
        </w:rPr>
        <w:t xml:space="preserve"> Proponi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ndose argumentar a favor de un punto clave en la lectura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de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tico: el estatus normativo de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tica. Ese problema es m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s claro cuando pensamos en autores liberales que conciben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 como algo asociado directamente al poder y que no conciben una teor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normativa distinta de aquella en que la relaci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entre sujeto y norma es de obediencia. Aquel modo de comprender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tico, el liberal</w:t>
      </w:r>
      <w:r>
        <w:rPr>
          <w:rFonts w:ascii="Garamond"/>
          <w:sz w:val="24"/>
          <w:szCs w:val="24"/>
          <w:rtl w:val="0"/>
          <w:lang w:val="es-ES_tradnl"/>
        </w:rPr>
        <w:t xml:space="preserve"> que sugiere Habermas</w:t>
      </w:r>
      <w:r>
        <w:rPr>
          <w:rFonts w:ascii="Garamond"/>
          <w:sz w:val="24"/>
          <w:szCs w:val="24"/>
          <w:rtl w:val="0"/>
          <w:lang w:val="es-ES_tradnl"/>
        </w:rPr>
        <w:t>, considera que pensar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 desde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s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lo permite pensar en negativo, sin producir una sociedad ordenada en base a la raz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n, con instituciones fuertes y categor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as claras. Butler, d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ndonos un paseo por el texto de Foucault, nos presenta la teor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normativa que permitir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leer exitosamente el proyecto de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como modo de comprender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tico, en base a la relaci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que existir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 entre moral y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  <w:t>Subtitula, Butler, su presentaci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n: </w:t>
      </w: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Un ensayo sobre la virtud de Foucault</w:t>
      </w:r>
      <w:r>
        <w:rPr>
          <w:rFonts w:hAnsi="Garamond" w:hint="default"/>
          <w:sz w:val="24"/>
          <w:szCs w:val="24"/>
          <w:rtl w:val="0"/>
          <w:lang w:val="es-ES_tradnl"/>
        </w:rPr>
        <w:t>”</w:t>
      </w:r>
      <w:r>
        <w:rPr>
          <w:rFonts w:ascii="Garamond"/>
          <w:sz w:val="24"/>
          <w:szCs w:val="24"/>
          <w:rtl w:val="0"/>
          <w:lang w:val="es-ES_tradnl"/>
        </w:rPr>
        <w:t>. Llamativa es la posici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que ocupa la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virtud</w:t>
      </w:r>
      <w:r>
        <w:rPr>
          <w:rFonts w:ascii="Garamond"/>
          <w:sz w:val="24"/>
          <w:szCs w:val="24"/>
          <w:rtl w:val="0"/>
          <w:lang w:val="es-ES_tradnl"/>
        </w:rPr>
        <w:t xml:space="preserve"> en este ensayo: la virtud es de Foucault en el sentido que el autor es virtuoso, pero tambi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n que es sobre el concepto de virtud del que hablar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la autora. La virtud de Foucault (</w:t>
      </w: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Foucault</w:t>
      </w:r>
      <w:r>
        <w:rPr>
          <w:rFonts w:hAnsi="Garamond" w:hint="default"/>
          <w:sz w:val="24"/>
          <w:szCs w:val="24"/>
          <w:rtl w:val="0"/>
          <w:lang w:val="es-ES_tradnl"/>
        </w:rPr>
        <w:t>’</w:t>
      </w:r>
      <w:r>
        <w:rPr>
          <w:rFonts w:ascii="Garamond"/>
          <w:sz w:val="24"/>
          <w:szCs w:val="24"/>
          <w:rtl w:val="0"/>
          <w:lang w:val="es-ES_tradnl"/>
        </w:rPr>
        <w:t>s virtue</w:t>
      </w:r>
      <w:r>
        <w:rPr>
          <w:rFonts w:hAnsi="Garamond" w:hint="default"/>
          <w:sz w:val="24"/>
          <w:szCs w:val="24"/>
          <w:rtl w:val="0"/>
          <w:lang w:val="es-ES_tradnl"/>
        </w:rPr>
        <w:t>”</w:t>
      </w:r>
      <w:r>
        <w:rPr>
          <w:rFonts w:ascii="Garamond"/>
          <w:sz w:val="24"/>
          <w:szCs w:val="24"/>
          <w:rtl w:val="0"/>
          <w:lang w:val="es-ES_tradnl"/>
        </w:rPr>
        <w:t xml:space="preserve">) es, al mismo tiempo, el darle una lectura 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tica a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tico, al comprender que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est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directamente relacionada con la virtud, que la resistencia es una cuesti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tica porque es producto de las decisiones en que los sujetos se construyen m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s all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de la obediencia a una norma.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  <w:t>Es as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Garamond"/>
          <w:sz w:val="24"/>
          <w:szCs w:val="24"/>
          <w:rtl w:val="0"/>
          <w:lang w:val="es-ES_tradnl"/>
        </w:rPr>
        <w:t>como la autora sit</w:t>
      </w:r>
      <w:r>
        <w:rPr>
          <w:rFonts w:hAnsi="Garamond" w:hint="default"/>
          <w:sz w:val="24"/>
          <w:szCs w:val="24"/>
          <w:rtl w:val="0"/>
          <w:lang w:val="es-ES_tradnl"/>
        </w:rPr>
        <w:t>ú</w:t>
      </w:r>
      <w:r>
        <w:rPr>
          <w:rFonts w:ascii="Garamond"/>
          <w:sz w:val="24"/>
          <w:szCs w:val="24"/>
          <w:rtl w:val="0"/>
          <w:lang w:val="es-ES_tradnl"/>
        </w:rPr>
        <w:t>a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como una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 no universal, sino localizada en funci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de los modos en que el poder se presente: </w:t>
      </w: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siempre es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de</w:t>
      </w:r>
      <w:r>
        <w:rPr>
          <w:rFonts w:ascii="Garamond"/>
          <w:sz w:val="24"/>
          <w:szCs w:val="24"/>
          <w:rtl w:val="0"/>
          <w:lang w:val="es-ES_tradnl"/>
        </w:rPr>
        <w:t xml:space="preserve"> alguna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ctica, discurso, episteme o instituci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instituidos, y pierde su car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cter en el momento en que se abstrae de esta forma de operar y se a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sla como una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 puramente generalizable</w:t>
      </w:r>
      <w:r>
        <w:rPr>
          <w:rFonts w:hAnsi="Garamond" w:hint="default"/>
          <w:sz w:val="24"/>
          <w:szCs w:val="24"/>
          <w:rtl w:val="0"/>
          <w:lang w:val="es-ES_tradnl"/>
        </w:rPr>
        <w:t>”</w:t>
      </w:r>
      <w:r>
        <w:rPr>
          <w:rFonts w:ascii="Garamond"/>
          <w:sz w:val="24"/>
          <w:szCs w:val="24"/>
          <w:rtl w:val="0"/>
          <w:lang w:val="es-ES_tradnl"/>
        </w:rPr>
        <w:t>.</w:t>
      </w:r>
      <w:r>
        <w:rPr>
          <w:rFonts w:ascii="Garamond" w:cs="Garamond" w:hAnsi="Garamond" w:eastAsia="Garamond"/>
          <w:sz w:val="24"/>
          <w:szCs w:val="24"/>
          <w:vertAlign w:val="superscript"/>
          <w:rtl w:val="0"/>
        </w:rPr>
        <w:footnoteReference w:id="4"/>
      </w:r>
      <w:r>
        <w:rPr>
          <w:rFonts w:ascii="Garamond"/>
          <w:sz w:val="24"/>
          <w:szCs w:val="24"/>
          <w:rtl w:val="0"/>
          <w:lang w:val="es-ES_tradnl"/>
        </w:rPr>
        <w:t xml:space="preserve"> Esta noci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la opone a lo que, junto con Raymond Williams y Theodor Adorno, podemos denominar </w:t>
      </w: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juicio</w:t>
      </w:r>
      <w:r>
        <w:rPr>
          <w:rFonts w:hAnsi="Garamond" w:hint="default"/>
          <w:sz w:val="24"/>
          <w:szCs w:val="24"/>
          <w:rtl w:val="0"/>
          <w:lang w:val="es-ES_tradnl"/>
        </w:rPr>
        <w:t>”</w:t>
      </w:r>
      <w:r>
        <w:rPr>
          <w:rFonts w:ascii="Garamond"/>
          <w:sz w:val="24"/>
          <w:szCs w:val="24"/>
          <w:rtl w:val="0"/>
          <w:lang w:val="es-ES_tradnl"/>
        </w:rPr>
        <w:t>: un modo de subsumir lo particular en una norma general ya instituida.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como juicio es el modo en que se validan categor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as ajenas para emitir un dictamen como propio, con la intenci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 de </w:t>
      </w: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cerrar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Garamond"/>
          <w:sz w:val="24"/>
          <w:szCs w:val="24"/>
          <w:rtl w:val="0"/>
          <w:lang w:val="es-ES_tradnl"/>
        </w:rPr>
        <w:t xml:space="preserve">una abertura. Sobre esto </w:t>
      </w:r>
      <w:r>
        <w:rPr>
          <w:rFonts w:hAnsi="Garamond" w:hint="default"/>
          <w:sz w:val="24"/>
          <w:szCs w:val="24"/>
          <w:rtl w:val="0"/>
          <w:lang w:val="es-ES_tradnl"/>
        </w:rPr>
        <w:t>ú</w:t>
      </w:r>
      <w:r>
        <w:rPr>
          <w:rFonts w:ascii="Garamond"/>
          <w:sz w:val="24"/>
          <w:szCs w:val="24"/>
          <w:rtl w:val="0"/>
          <w:lang w:val="es-ES_tradnl"/>
        </w:rPr>
        <w:t>ltimo, es interesante el verbo que utiliza Butler para caracterizar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como juicio: lo que hace el juicio no es cerrar, sino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ocluir</w:t>
      </w:r>
      <w:r>
        <w:rPr>
          <w:rFonts w:ascii="Garamond"/>
          <w:sz w:val="24"/>
          <w:szCs w:val="24"/>
          <w:rtl w:val="0"/>
          <w:lang w:val="es-ES_tradnl"/>
        </w:rPr>
        <w:t>, es decir un cierre artificial para algo que naturalmente est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abierto, como los p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rpados. La funci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del juicio es pegar los p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rpados, impidiendo la visi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del ojo; la funci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ser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a preguntarse: </w:t>
      </w:r>
      <w:r>
        <w:rPr>
          <w:rFonts w:hAnsi="Garamond" w:hint="default"/>
          <w:sz w:val="24"/>
          <w:szCs w:val="24"/>
          <w:rtl w:val="0"/>
          <w:lang w:val="es-ES_tradnl"/>
        </w:rPr>
        <w:t>¿</w:t>
      </w:r>
      <w:r>
        <w:rPr>
          <w:rFonts w:ascii="Garamond"/>
          <w:sz w:val="24"/>
          <w:szCs w:val="24"/>
          <w:rtl w:val="0"/>
          <w:lang w:val="es-ES_tradnl"/>
        </w:rPr>
        <w:t>ante qu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Garamond"/>
          <w:sz w:val="24"/>
          <w:szCs w:val="24"/>
          <w:rtl w:val="0"/>
          <w:lang w:val="es-ES_tradnl"/>
        </w:rPr>
        <w:t>im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genes el ojo se cierra, ante cu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les se abre?</w:t>
      </w:r>
      <w:r>
        <w:rPr>
          <w:rFonts w:ascii="Garamond"/>
          <w:sz w:val="24"/>
          <w:szCs w:val="24"/>
          <w:rtl w:val="0"/>
          <w:lang w:val="es-ES_tradnl"/>
        </w:rPr>
        <w:t xml:space="preserve"> Un ojo no est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>cerrado definitivamente, s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lo de manera temporal y es funci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estar consciente de eso.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  <w:t>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es un modo de comprender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 en que la resistencia es protagonista, esto quiere decir que lo relevante no es c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mo enfrentarse al poder y definir un horizonte claro hacia el cual encaminarse, respondiendo a la pregunta </w:t>
      </w:r>
      <w:r>
        <w:rPr>
          <w:rFonts w:hAnsi="Garamond" w:hint="default"/>
          <w:sz w:val="24"/>
          <w:szCs w:val="24"/>
          <w:rtl w:val="0"/>
          <w:lang w:val="es-ES_tradnl"/>
        </w:rPr>
        <w:t>¿</w:t>
      </w:r>
      <w:r>
        <w:rPr>
          <w:rFonts w:ascii="Garamond"/>
          <w:sz w:val="24"/>
          <w:szCs w:val="24"/>
          <w:rtl w:val="0"/>
          <w:lang w:val="es-ES_tradnl"/>
        </w:rPr>
        <w:t>qu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Garamond"/>
          <w:sz w:val="24"/>
          <w:szCs w:val="24"/>
          <w:rtl w:val="0"/>
          <w:lang w:val="es-ES_tradnl"/>
        </w:rPr>
        <w:t>hacer?, sino que consiste precisamente en hacer de nuestras propias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 xml:space="preserve">cticas una respuesta a la pregunta </w:t>
      </w:r>
      <w:r>
        <w:rPr>
          <w:rFonts w:hAnsi="Garamond" w:hint="default"/>
          <w:sz w:val="24"/>
          <w:szCs w:val="24"/>
          <w:rtl w:val="0"/>
          <w:lang w:val="es-ES_tradnl"/>
        </w:rPr>
        <w:t>¿</w:t>
      </w:r>
      <w:r>
        <w:rPr>
          <w:rFonts w:ascii="Garamond"/>
          <w:sz w:val="24"/>
          <w:szCs w:val="24"/>
          <w:rtl w:val="0"/>
          <w:lang w:val="es-ES_tradnl"/>
        </w:rPr>
        <w:t>qui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nes somos?. Mientras el liberalismo achaca a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 que no puede proponer un proyecto claro de acci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para la sociedad,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cuestiona el hecho de que aquellos den por sentado un </w:t>
      </w: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nosotros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Garamond"/>
          <w:sz w:val="24"/>
          <w:szCs w:val="24"/>
          <w:rtl w:val="0"/>
          <w:lang w:val="es-ES_tradnl"/>
        </w:rPr>
        <w:t>incuestionable. El modo en que participamos de aquello que tenemos en com</w:t>
      </w:r>
      <w:r>
        <w:rPr>
          <w:rFonts w:hAnsi="Garamond" w:hint="default"/>
          <w:sz w:val="24"/>
          <w:szCs w:val="24"/>
          <w:rtl w:val="0"/>
          <w:lang w:val="es-ES_tradnl"/>
        </w:rPr>
        <w:t>ú</w:t>
      </w:r>
      <w:r>
        <w:rPr>
          <w:rFonts w:ascii="Garamond"/>
          <w:sz w:val="24"/>
          <w:szCs w:val="24"/>
          <w:rtl w:val="0"/>
          <w:lang w:val="es-ES_tradnl"/>
        </w:rPr>
        <w:t xml:space="preserve">n es lo que llamamos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pol</w:t>
      </w:r>
      <w:r>
        <w:rPr>
          <w:rFonts w:hAnsi="Garamond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tica</w:t>
      </w:r>
      <w:r>
        <w:rPr>
          <w:rFonts w:ascii="Garamond"/>
          <w:sz w:val="24"/>
          <w:szCs w:val="24"/>
          <w:rtl w:val="0"/>
          <w:lang w:val="es-ES_tradnl"/>
        </w:rPr>
        <w:t>. Los primeros piensan la normatividad desde el punto de vista de la obediencia radical a la raz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subyacente a toda norma, mientras que los segundos sit</w:t>
      </w:r>
      <w:r>
        <w:rPr>
          <w:rFonts w:hAnsi="Garamond" w:hint="default"/>
          <w:sz w:val="24"/>
          <w:szCs w:val="24"/>
          <w:rtl w:val="0"/>
          <w:lang w:val="es-ES_tradnl"/>
        </w:rPr>
        <w:t>ú</w:t>
      </w:r>
      <w:r>
        <w:rPr>
          <w:rFonts w:ascii="Garamond"/>
          <w:sz w:val="24"/>
          <w:szCs w:val="24"/>
          <w:rtl w:val="0"/>
          <w:lang w:val="es-ES_tradnl"/>
        </w:rPr>
        <w:t>an al sujeto como aut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 xml:space="preserve">nomos respecto de esa norma, siguiendo el precepto kantiano: </w:t>
      </w:r>
      <w:r>
        <w:rPr>
          <w:rFonts w:ascii="Garamond"/>
          <w:i w:val="1"/>
          <w:iCs w:val="1"/>
          <w:sz w:val="24"/>
          <w:szCs w:val="24"/>
          <w:rtl w:val="0"/>
          <w:lang w:val="es-ES_tradnl"/>
        </w:rPr>
        <w:t>sapere aude!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cs="Garamond" w:hAnsi="Garamond" w:eastAsia="Garamond"/>
          <w:sz w:val="24"/>
          <w:szCs w:val="24"/>
          <w:rtl w:val="0"/>
        </w:rPr>
        <w:tab/>
        <w:t>La relaci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que Butler ofrece desde el punto de vista normativo, es que la relaci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en que el sujeto de hace de s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Garamond"/>
          <w:sz w:val="24"/>
          <w:szCs w:val="24"/>
          <w:rtl w:val="0"/>
          <w:lang w:val="es-ES_tradnl"/>
        </w:rPr>
        <w:t>mismo algo propio no puede responder a un modelo heter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nomo, en que la norma como entidad externa exige obediencia al sujeto. Precisamente, en la actitud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 xml:space="preserve">tica que caracteriza Foucault en su texto, se piensa de manera radical el hecho que la norma nos es interna y propia en el momento en que orden se pone en riesgo. Dice Butler: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134" w:right="1133" w:firstLine="0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hAnsi="Garamond" w:hint="default"/>
          <w:sz w:val="24"/>
          <w:szCs w:val="24"/>
          <w:rtl w:val="0"/>
          <w:lang w:val="es-ES_tradnl"/>
        </w:rPr>
        <w:t>“</w:t>
      </w:r>
      <w:r>
        <w:rPr>
          <w:rFonts w:ascii="Garamond"/>
          <w:sz w:val="24"/>
          <w:szCs w:val="24"/>
          <w:rtl w:val="0"/>
          <w:lang w:val="es-ES_tradnl"/>
        </w:rPr>
        <w:t>[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Garamond"/>
          <w:sz w:val="24"/>
          <w:szCs w:val="24"/>
          <w:rtl w:val="0"/>
          <w:lang w:val="es-ES_tradnl"/>
        </w:rPr>
        <w:t>E]l yo se crea a s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Garamond"/>
          <w:sz w:val="24"/>
          <w:szCs w:val="24"/>
          <w:rtl w:val="0"/>
          <w:lang w:val="es-ES_tradnl"/>
        </w:rPr>
        <w:t>mismo en los t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rminos que marca la norma, habita e incorpora la norma, pero la norma, en este sentido, no es externa al principio con el cual el yo se forma. Lo que est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Garamond"/>
          <w:sz w:val="24"/>
          <w:szCs w:val="24"/>
          <w:rtl w:val="0"/>
          <w:lang w:val="es-ES_tradnl"/>
        </w:rPr>
        <w:t xml:space="preserve">en juego para Foucault no son los comportamientos, las ideas, las sociedades o sus </w:t>
      </w:r>
      <w:r>
        <w:rPr>
          <w:rFonts w:hAnsi="Garamond" w:hint="default"/>
          <w:sz w:val="24"/>
          <w:szCs w:val="24"/>
          <w:rtl w:val="0"/>
          <w:lang w:val="es-ES_tradnl"/>
        </w:rPr>
        <w:t>‘</w:t>
      </w:r>
      <w:r>
        <w:rPr>
          <w:rFonts w:ascii="Garamond"/>
          <w:sz w:val="24"/>
          <w:szCs w:val="24"/>
          <w:rtl w:val="0"/>
          <w:lang w:val="es-ES_tradnl"/>
        </w:rPr>
        <w:t>ideolog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as</w:t>
      </w:r>
      <w:r>
        <w:rPr>
          <w:rFonts w:hAnsi="Garamond" w:hint="default"/>
          <w:sz w:val="24"/>
          <w:szCs w:val="24"/>
          <w:rtl w:val="0"/>
          <w:lang w:val="es-ES_tradnl"/>
        </w:rPr>
        <w:t>’</w:t>
      </w:r>
      <w:r>
        <w:rPr>
          <w:rFonts w:ascii="Garamond"/>
          <w:sz w:val="24"/>
          <w:szCs w:val="24"/>
          <w:rtl w:val="0"/>
          <w:lang w:val="es-ES_tradnl"/>
        </w:rPr>
        <w:t xml:space="preserve">, sino </w:t>
      </w:r>
      <w:r>
        <w:rPr>
          <w:rFonts w:hAnsi="Garamond" w:hint="default"/>
          <w:sz w:val="24"/>
          <w:szCs w:val="24"/>
          <w:rtl w:val="0"/>
          <w:lang w:val="es-ES_tradnl"/>
        </w:rPr>
        <w:t>‘</w:t>
      </w:r>
      <w:r>
        <w:rPr>
          <w:rFonts w:ascii="Garamond"/>
          <w:sz w:val="24"/>
          <w:szCs w:val="24"/>
          <w:rtl w:val="0"/>
          <w:lang w:val="es-ES_tradnl"/>
        </w:rPr>
        <w:t>las problematizaciones a cuyo trav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s el ser se da como poderse y deberse ser pensado y las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cticas a partir de las cuales se forman aqu</w:t>
      </w:r>
      <w:r>
        <w:rPr>
          <w:rFonts w:hAnsi="Garamond" w:hint="default"/>
          <w:sz w:val="24"/>
          <w:szCs w:val="24"/>
          <w:rtl w:val="0"/>
          <w:lang w:val="es-ES_tradnl"/>
        </w:rPr>
        <w:t>é</w:t>
      </w:r>
      <w:r>
        <w:rPr>
          <w:rFonts w:ascii="Garamond"/>
          <w:sz w:val="24"/>
          <w:szCs w:val="24"/>
          <w:rtl w:val="0"/>
          <w:lang w:val="es-ES_tradnl"/>
        </w:rPr>
        <w:t>llas</w:t>
      </w:r>
      <w:r>
        <w:rPr>
          <w:rFonts w:hAnsi="Garamond" w:hint="default"/>
          <w:sz w:val="24"/>
          <w:szCs w:val="24"/>
          <w:rtl w:val="0"/>
          <w:lang w:val="es-ES_tradnl"/>
        </w:rPr>
        <w:t>’”</w:t>
      </w:r>
      <w:r>
        <w:rPr>
          <w:rFonts w:ascii="Garamond"/>
          <w:sz w:val="24"/>
          <w:szCs w:val="24"/>
          <w:rtl w:val="0"/>
          <w:lang w:val="es-ES_tradnl"/>
        </w:rPr>
        <w:t>.</w:t>
      </w:r>
      <w:r>
        <w:rPr>
          <w:rFonts w:ascii="Garamond" w:cs="Garamond" w:hAnsi="Garamond" w:eastAsia="Garamond"/>
          <w:sz w:val="24"/>
          <w:szCs w:val="24"/>
          <w:vertAlign w:val="superscript"/>
          <w:rtl w:val="0"/>
        </w:rPr>
        <w:footnoteReference w:id="5"/>
      </w:r>
      <w:r>
        <w:rPr>
          <w:rFonts w:ascii="Garamond"/>
          <w:sz w:val="24"/>
          <w:szCs w:val="24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/>
          <w:sz w:val="24"/>
          <w:szCs w:val="24"/>
          <w:rtl w:val="0"/>
          <w:lang w:val="es-ES_tradnl"/>
        </w:rPr>
        <w:t>De esta manera, el objeto es la resistencia y no el poder: la puesta en riesgo o problematizaci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de lo que somos es el modo en que hacemos de la norma algo propio, algo que nos es parte y algo que podemos modificar mediante nuestras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cticas. No se piense que la problematizaci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o puesta en riesgo de la norma sea el proceso previo a un momento de anomia o apoliticidad: lo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 no deja de existir en la puesta en riesgo, al contrario es ah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Garamond"/>
          <w:sz w:val="24"/>
          <w:szCs w:val="24"/>
          <w:rtl w:val="0"/>
          <w:lang w:val="es-ES_tradnl"/>
        </w:rPr>
        <w:t>cuando aparece.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</w:pPr>
      <w:r>
        <w:rPr>
          <w:rFonts w:ascii="Garamond" w:cs="Garamond" w:hAnsi="Garamond" w:eastAsia="Garamond"/>
          <w:sz w:val="24"/>
          <w:szCs w:val="24"/>
          <w:rtl w:val="0"/>
        </w:rPr>
        <w:tab/>
        <w:t>El arte de la inservidumbre voluntaria que es la cr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tica, es la forma que la resistencia adopta ante el poder que exige obediencia. La desujeci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es la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 en que el sujeto hace de s</w:t>
      </w:r>
      <w:r>
        <w:rPr>
          <w:rFonts w:hAnsi="Garamond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Garamond"/>
          <w:sz w:val="24"/>
          <w:szCs w:val="24"/>
          <w:rtl w:val="0"/>
          <w:lang w:val="es-ES_tradnl"/>
        </w:rPr>
        <w:t>algo frente a la norma que lo sujeta, distinto de otras formas de resistencia que han adoptado la forma de la revoluci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n: la desujeci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es la manera en que cuestionamos el modo en que somos algo, para hacer con ello otra cosa, distinto de la revoluci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que pensaba todas nuestras pr</w:t>
      </w:r>
      <w:r>
        <w:rPr>
          <w:rFonts w:hAnsi="Garamond" w:hint="default"/>
          <w:sz w:val="24"/>
          <w:szCs w:val="24"/>
          <w:rtl w:val="0"/>
          <w:lang w:val="es-ES_tradnl"/>
        </w:rPr>
        <w:t>á</w:t>
      </w:r>
      <w:r>
        <w:rPr>
          <w:rFonts w:ascii="Garamond"/>
          <w:sz w:val="24"/>
          <w:szCs w:val="24"/>
          <w:rtl w:val="0"/>
          <w:lang w:val="es-ES_tradnl"/>
        </w:rPr>
        <w:t>cticas como anticipo del gran acto pol</w:t>
      </w:r>
      <w:r>
        <w:rPr>
          <w:rFonts w:hAnsi="Garamond" w:hint="default"/>
          <w:sz w:val="24"/>
          <w:szCs w:val="24"/>
          <w:rtl w:val="0"/>
          <w:lang w:val="es-ES_tradnl"/>
        </w:rPr>
        <w:t>í</w:t>
      </w:r>
      <w:r>
        <w:rPr>
          <w:rFonts w:ascii="Garamond"/>
          <w:sz w:val="24"/>
          <w:szCs w:val="24"/>
          <w:rtl w:val="0"/>
          <w:lang w:val="es-ES_tradnl"/>
        </w:rPr>
        <w:t>tico revolucionario. Mientras la desujeci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piensa la vida como una constante forma de producirse, la revoluci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pensaba la vida como sacrificio para la gran ceremonia. En un mundo en que la vida es controlada por dispositivos que regulan cada aspecto de nosotros, la desujeci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permanente desplaza a la revoluci</w:t>
      </w:r>
      <w:r>
        <w:rPr>
          <w:rFonts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/>
          <w:sz w:val="24"/>
          <w:szCs w:val="24"/>
          <w:rtl w:val="0"/>
          <w:lang w:val="es-ES_tradnl"/>
        </w:rPr>
        <w:t>n permanente.</w:t>
      </w:r>
      <w:r>
        <w:rPr>
          <w:rFonts w:ascii="Garamond" w:cs="Garamond" w:hAnsi="Garamond" w:eastAsia="Garamond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jc w:val="both"/>
      </w:pPr>
      <w:r>
        <w:rPr>
          <w:rFonts w:ascii="Garamond" w:cs="Garamond" w:hAnsi="Garamond" w:eastAsia="Garamond"/>
          <w:sz w:val="24"/>
          <w:szCs w:val="24"/>
          <w:vertAlign w:val="superscript"/>
          <w:rtl w:val="0"/>
        </w:rPr>
        <w:footnoteRef/>
      </w:r>
      <w:r>
        <w:rPr>
          <w:rFonts w:ascii="Garamond"/>
          <w:rtl w:val="0"/>
          <w:lang w:val="es-ES_tradnl"/>
        </w:rPr>
        <w:t xml:space="preserve"> </w:t>
      </w:r>
      <w:r>
        <w:rPr>
          <w:rFonts w:ascii="Garamond"/>
          <w:color w:val="222222"/>
          <w:u w:color="222222"/>
          <w:rtl w:val="0"/>
          <w:lang w:val="es-ES_tradnl"/>
        </w:rPr>
        <w:t xml:space="preserve">FOUCAULT, Michel. </w:t>
      </w:r>
      <w:r>
        <w:rPr>
          <w:rFonts w:hAnsi="Garamond" w:hint="default"/>
          <w:color w:val="222222"/>
          <w:u w:color="222222"/>
          <w:rtl w:val="0"/>
          <w:lang w:val="es-ES_tradnl"/>
        </w:rPr>
        <w:t>“¿</w:t>
      </w:r>
      <w:r>
        <w:rPr>
          <w:rFonts w:ascii="Garamond"/>
          <w:color w:val="222222"/>
          <w:u w:color="222222"/>
          <w:rtl w:val="0"/>
          <w:lang w:val="es-ES_tradnl"/>
        </w:rPr>
        <w:t>Qu</w:t>
      </w:r>
      <w:r>
        <w:rPr>
          <w:rFonts w:hAnsi="Garamond" w:hint="default"/>
          <w:color w:val="222222"/>
          <w:u w:color="222222"/>
          <w:rtl w:val="0"/>
          <w:lang w:val="es-ES_tradnl"/>
        </w:rPr>
        <w:t xml:space="preserve">é </w:t>
      </w:r>
      <w:r>
        <w:rPr>
          <w:rFonts w:ascii="Garamond"/>
          <w:color w:val="222222"/>
          <w:u w:color="222222"/>
          <w:rtl w:val="0"/>
          <w:lang w:val="es-ES_tradnl"/>
        </w:rPr>
        <w:t>es la cr</w:t>
      </w:r>
      <w:r>
        <w:rPr>
          <w:rFonts w:hAnsi="Garamond" w:hint="default"/>
          <w:color w:val="222222"/>
          <w:u w:color="222222"/>
          <w:rtl w:val="0"/>
          <w:lang w:val="es-ES_tradnl"/>
        </w:rPr>
        <w:t>í</w:t>
      </w:r>
      <w:r>
        <w:rPr>
          <w:rFonts w:ascii="Garamond"/>
          <w:color w:val="222222"/>
          <w:u w:color="222222"/>
          <w:rtl w:val="0"/>
          <w:lang w:val="es-ES_tradnl"/>
        </w:rPr>
        <w:t>tica?</w:t>
      </w:r>
      <w:r>
        <w:rPr>
          <w:rFonts w:hAnsi="Garamond" w:hint="default"/>
          <w:color w:val="222222"/>
          <w:u w:color="222222"/>
          <w:rtl w:val="0"/>
          <w:lang w:val="es-ES_tradnl"/>
        </w:rPr>
        <w:t>”</w:t>
      </w:r>
      <w:r>
        <w:rPr>
          <w:rFonts w:ascii="Garamond"/>
          <w:color w:val="222222"/>
          <w:u w:color="222222"/>
          <w:rtl w:val="0"/>
          <w:lang w:val="es-ES_tradnl"/>
        </w:rPr>
        <w:t xml:space="preserve">. En: </w:t>
      </w:r>
      <w:r>
        <w:rPr>
          <w:rFonts w:hAnsi="Garamond" w:hint="default"/>
          <w:color w:val="222222"/>
          <w:u w:color="222222"/>
          <w:rtl w:val="0"/>
          <w:lang w:val="es-ES_tradnl"/>
        </w:rPr>
        <w:t>Δαίμων</w:t>
      </w:r>
      <w:r>
        <w:rPr>
          <w:rFonts w:ascii="Garamond"/>
          <w:color w:val="222222"/>
          <w:u w:color="222222"/>
          <w:rtl w:val="0"/>
          <w:lang w:val="es-ES_tradnl"/>
        </w:rPr>
        <w:t>,</w:t>
      </w:r>
      <w:r>
        <w:rPr>
          <w:rFonts w:hAnsi="Garamond" w:hint="default"/>
          <w:color w:val="222222"/>
          <w:u w:color="222222"/>
          <w:rtl w:val="0"/>
          <w:lang w:val="es-ES_tradnl"/>
        </w:rPr>
        <w:t> </w:t>
      </w:r>
      <w:r>
        <w:rPr>
          <w:rFonts w:ascii="Garamond"/>
          <w:i w:val="1"/>
          <w:iCs w:val="1"/>
          <w:color w:val="222222"/>
          <w:u w:color="222222"/>
          <w:rtl w:val="0"/>
          <w:lang w:val="es-ES_tradnl"/>
        </w:rPr>
        <w:t>revista de filosof</w:t>
      </w:r>
      <w:r>
        <w:rPr>
          <w:rFonts w:hAnsi="Garamond" w:hint="default"/>
          <w:i w:val="1"/>
          <w:iCs w:val="1"/>
          <w:color w:val="222222"/>
          <w:u w:color="222222"/>
          <w:rtl w:val="0"/>
          <w:lang w:val="es-ES_tradnl"/>
        </w:rPr>
        <w:t>í</w:t>
      </w:r>
      <w:r>
        <w:rPr>
          <w:rFonts w:ascii="Garamond"/>
          <w:i w:val="1"/>
          <w:iCs w:val="1"/>
          <w:color w:val="222222"/>
          <w:u w:color="222222"/>
          <w:rtl w:val="0"/>
          <w:lang w:val="es-ES_tradnl"/>
        </w:rPr>
        <w:t>a</w:t>
      </w:r>
      <w:r>
        <w:rPr>
          <w:rFonts w:ascii="Garamond"/>
          <w:color w:val="222222"/>
          <w:u w:color="222222"/>
          <w:rtl w:val="0"/>
          <w:lang w:val="es-ES_tradnl"/>
        </w:rPr>
        <w:t>. N</w:t>
      </w:r>
      <w:r>
        <w:rPr>
          <w:rFonts w:hAnsi="Garamond" w:hint="default"/>
          <w:color w:val="222222"/>
          <w:u w:color="222222"/>
          <w:rtl w:val="0"/>
          <w:lang w:val="es-ES_tradnl"/>
        </w:rPr>
        <w:t xml:space="preserve">º </w:t>
      </w:r>
      <w:r>
        <w:rPr>
          <w:rFonts w:ascii="Garamond"/>
          <w:color w:val="222222"/>
          <w:u w:color="222222"/>
          <w:rtl w:val="0"/>
          <w:lang w:val="es-ES_tradnl"/>
        </w:rPr>
        <w:t>11. 1995 [1978], p. 8.</w:t>
      </w:r>
    </w:p>
  </w:footnote>
  <w:footnote w:id="2">
    <w:p>
      <w:pPr>
        <w:pStyle w:val="No Spacing"/>
        <w:jc w:val="both"/>
      </w:pPr>
      <w:r>
        <w:rPr>
          <w:rFonts w:ascii="Helvetica" w:cs="Helvetica" w:hAnsi="Helvetica" w:eastAsia="Helvetica"/>
          <w:sz w:val="20"/>
          <w:szCs w:val="20"/>
          <w:vertAlign w:val="superscript"/>
        </w:rPr>
        <w:footnoteRef/>
      </w:r>
      <w:r>
        <w:rPr>
          <w:rFonts w:ascii="Helvetica"/>
          <w:sz w:val="20"/>
          <w:szCs w:val="20"/>
          <w:rtl w:val="0"/>
          <w:lang w:val="es-ES_tradnl"/>
        </w:rPr>
        <w:t xml:space="preserve"> FOUCAULT, Michel. </w:t>
      </w:r>
      <w:r>
        <w:rPr>
          <w:rFonts w:hAnsi="Helvetica" w:hint="default"/>
          <w:sz w:val="20"/>
          <w:szCs w:val="20"/>
          <w:rtl w:val="0"/>
          <w:lang w:val="es-ES_tradnl"/>
        </w:rPr>
        <w:t>“</w:t>
      </w:r>
      <w:r>
        <w:rPr>
          <w:rFonts w:ascii="Helvetica"/>
          <w:sz w:val="20"/>
          <w:szCs w:val="20"/>
          <w:rtl w:val="0"/>
          <w:lang w:val="es-ES_tradnl"/>
        </w:rPr>
        <w:t>Michel Foucault, una entrevista: sexo, poder y pol</w:t>
      </w:r>
      <w:r>
        <w:rPr>
          <w:rFonts w:hAnsi="Helvetica" w:hint="default"/>
          <w:sz w:val="20"/>
          <w:szCs w:val="20"/>
          <w:rtl w:val="0"/>
          <w:lang w:val="es-ES_tradnl"/>
        </w:rPr>
        <w:t>í</w:t>
      </w:r>
      <w:r>
        <w:rPr>
          <w:rFonts w:ascii="Helvetica"/>
          <w:sz w:val="20"/>
          <w:szCs w:val="20"/>
          <w:rtl w:val="0"/>
          <w:lang w:val="es-ES_tradnl"/>
        </w:rPr>
        <w:t>tica de la identidad</w:t>
      </w:r>
      <w:r>
        <w:rPr>
          <w:rFonts w:hAnsi="Helvetica" w:hint="default"/>
          <w:sz w:val="20"/>
          <w:szCs w:val="20"/>
          <w:rtl w:val="0"/>
          <w:lang w:val="es-ES_tradnl"/>
        </w:rPr>
        <w:t>”</w:t>
      </w:r>
      <w:r>
        <w:rPr>
          <w:rFonts w:ascii="Helvetica"/>
          <w:sz w:val="20"/>
          <w:szCs w:val="20"/>
          <w:rtl w:val="0"/>
          <w:lang w:val="es-ES_tradnl"/>
        </w:rPr>
        <w:t>. En su: Obras esenciales. Barcelona, Espa</w:t>
      </w:r>
      <w:r>
        <w:rPr>
          <w:rFonts w:hAnsi="Helvetica" w:hint="default"/>
          <w:sz w:val="20"/>
          <w:szCs w:val="20"/>
          <w:rtl w:val="0"/>
          <w:lang w:val="es-ES_tradnl"/>
        </w:rPr>
        <w:t>ñ</w:t>
      </w:r>
      <w:r>
        <w:rPr>
          <w:rFonts w:ascii="Helvetica"/>
          <w:sz w:val="20"/>
          <w:szCs w:val="20"/>
          <w:rtl w:val="0"/>
          <w:lang w:val="es-ES_tradnl"/>
        </w:rPr>
        <w:t>a: Paid</w:t>
      </w:r>
      <w:r>
        <w:rPr>
          <w:rFonts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/>
          <w:sz w:val="20"/>
          <w:szCs w:val="20"/>
          <w:rtl w:val="0"/>
          <w:lang w:val="es-ES_tradnl"/>
        </w:rPr>
        <w:t>s. 2010a, p. 1054.</w:t>
      </w:r>
    </w:p>
  </w:footnote>
  <w:footnote w:id="3">
    <w:p>
      <w:pPr>
        <w:pStyle w:val="footnote text"/>
        <w:jc w:val="both"/>
      </w:pPr>
      <w:r>
        <w:rPr>
          <w:rFonts w:ascii="Helvetica" w:cs="Helvetica" w:hAnsi="Helvetica" w:eastAsia="Helvetica"/>
          <w:vertAlign w:val="superscript"/>
        </w:rPr>
        <w:footnoteRef/>
      </w:r>
      <w:r>
        <w:rPr>
          <w:rFonts w:ascii="Helvetica"/>
          <w:rtl w:val="0"/>
          <w:lang w:val="es-ES_tradnl"/>
        </w:rPr>
        <w:t xml:space="preserve"> </w:t>
      </w:r>
      <w:r>
        <w:rPr>
          <w:rFonts w:ascii="Helvetica"/>
          <w:rtl w:val="0"/>
          <w:lang w:val="es-ES_tradnl"/>
        </w:rPr>
        <w:t>Simb</w:t>
      </w:r>
      <w:r>
        <w:rPr>
          <w:rFonts w:hAnsi="Helvetica" w:hint="default"/>
          <w:rtl w:val="0"/>
          <w:lang w:val="es-ES_tradnl"/>
        </w:rPr>
        <w:t>ó</w:t>
      </w:r>
      <w:r>
        <w:rPr>
          <w:rFonts w:ascii="Helvetica"/>
          <w:rtl w:val="0"/>
          <w:lang w:val="es-ES_tradnl"/>
        </w:rPr>
        <w:t>lico el gesto de Butler, al decir que su labor como fil</w:t>
      </w:r>
      <w:r>
        <w:rPr>
          <w:rFonts w:hAnsi="Helvetica" w:hint="default"/>
          <w:rtl w:val="0"/>
          <w:lang w:val="es-ES_tradnl"/>
        </w:rPr>
        <w:t>ó</w:t>
      </w:r>
      <w:r>
        <w:rPr>
          <w:rFonts w:ascii="Helvetica"/>
          <w:rtl w:val="0"/>
          <w:lang w:val="es-ES_tradnl"/>
        </w:rPr>
        <w:t xml:space="preserve">sofa se reduce a leer otros textos. En: </w:t>
      </w:r>
      <w:hyperlink r:id="rId1" w:history="1">
        <w:r>
          <w:rPr>
            <w:rStyle w:val="Hyperlink.0"/>
            <w:rFonts w:ascii="Helvetica"/>
            <w:rtl w:val="0"/>
            <w:lang w:val="es-ES_tradnl"/>
          </w:rPr>
          <w:t>http://www.revistaanfibia.com/ensayo/lo-que-yo-hago-es-leer/</w:t>
        </w:r>
      </w:hyperlink>
    </w:p>
  </w:footnote>
  <w:footnote w:id="4">
    <w:p>
      <w:pPr>
        <w:pStyle w:val="footnote text"/>
        <w:jc w:val="both"/>
      </w:pPr>
      <w:r>
        <w:rPr>
          <w:rFonts w:ascii="Garamond" w:cs="Garamond" w:hAnsi="Garamond" w:eastAsia="Garamond"/>
          <w:sz w:val="24"/>
          <w:szCs w:val="24"/>
          <w:vertAlign w:val="superscript"/>
          <w:rtl w:val="0"/>
        </w:rPr>
        <w:footnoteRef/>
      </w:r>
      <w:r>
        <w:rPr>
          <w:rFonts w:ascii="Garamond"/>
          <w:rtl w:val="0"/>
          <w:lang w:val="es-ES_tradnl"/>
        </w:rPr>
        <w:t xml:space="preserve"> BUTLER, Judith. </w:t>
      </w:r>
      <w:r>
        <w:rPr>
          <w:rFonts w:hAnsi="Garamond" w:hint="default"/>
          <w:rtl w:val="0"/>
          <w:lang w:val="es-ES_tradnl"/>
        </w:rPr>
        <w:t>“¿</w:t>
      </w:r>
      <w:r>
        <w:rPr>
          <w:rFonts w:ascii="Garamond"/>
          <w:rtl w:val="0"/>
          <w:lang w:val="es-ES_tradnl"/>
        </w:rPr>
        <w:t>Qu</w:t>
      </w:r>
      <w:r>
        <w:rPr>
          <w:rFonts w:hAnsi="Garamond" w:hint="default"/>
          <w:rtl w:val="0"/>
          <w:lang w:val="es-ES_tradnl"/>
        </w:rPr>
        <w:t xml:space="preserve">é </w:t>
      </w:r>
      <w:r>
        <w:rPr>
          <w:rFonts w:ascii="Garamond"/>
          <w:rtl w:val="0"/>
          <w:lang w:val="es-ES_tradnl"/>
        </w:rPr>
        <w:t>es la cr</w:t>
      </w:r>
      <w:r>
        <w:rPr>
          <w:rFonts w:hAnsi="Garamond" w:hint="default"/>
          <w:rtl w:val="0"/>
          <w:lang w:val="es-ES_tradnl"/>
        </w:rPr>
        <w:t>í</w:t>
      </w:r>
      <w:r>
        <w:rPr>
          <w:rFonts w:ascii="Garamond"/>
          <w:rtl w:val="0"/>
          <w:lang w:val="es-ES_tradnl"/>
        </w:rPr>
        <w:t>tica? Un ensayo sobre la virtud de Foucault</w:t>
      </w:r>
      <w:r>
        <w:rPr>
          <w:rFonts w:hAnsi="Garamond" w:hint="default"/>
          <w:rtl w:val="0"/>
          <w:lang w:val="es-ES_tradnl"/>
        </w:rPr>
        <w:t>”</w:t>
      </w:r>
      <w:r>
        <w:rPr>
          <w:rFonts w:ascii="Garamond"/>
          <w:rtl w:val="0"/>
          <w:lang w:val="es-ES_tradnl"/>
        </w:rPr>
        <w:t xml:space="preserve">. En: </w:t>
      </w:r>
      <w:r>
        <w:rPr>
          <w:rFonts w:ascii="Garamond"/>
          <w:i w:val="1"/>
          <w:iCs w:val="1"/>
          <w:rtl w:val="0"/>
          <w:lang w:val="es-ES_tradnl"/>
        </w:rPr>
        <w:t>Producci</w:t>
      </w:r>
      <w:r>
        <w:rPr>
          <w:rFonts w:hAnsi="Garamond" w:hint="default"/>
          <w:i w:val="1"/>
          <w:iCs w:val="1"/>
          <w:rtl w:val="0"/>
          <w:lang w:val="es-ES_tradnl"/>
        </w:rPr>
        <w:t>ó</w:t>
      </w:r>
      <w:r>
        <w:rPr>
          <w:rFonts w:ascii="Garamond"/>
          <w:i w:val="1"/>
          <w:iCs w:val="1"/>
          <w:rtl w:val="0"/>
          <w:lang w:val="es-ES_tradnl"/>
        </w:rPr>
        <w:t>n cultural y pr</w:t>
      </w:r>
      <w:r>
        <w:rPr>
          <w:rFonts w:hAnsi="Garamond" w:hint="default"/>
          <w:i w:val="1"/>
          <w:iCs w:val="1"/>
          <w:rtl w:val="0"/>
          <w:lang w:val="es-ES_tradnl"/>
        </w:rPr>
        <w:t>á</w:t>
      </w:r>
      <w:r>
        <w:rPr>
          <w:rFonts w:ascii="Garamond"/>
          <w:i w:val="1"/>
          <w:iCs w:val="1"/>
          <w:rtl w:val="0"/>
          <w:lang w:val="es-ES_tradnl"/>
        </w:rPr>
        <w:t>cticas instituyentes. L</w:t>
      </w:r>
      <w:r>
        <w:rPr>
          <w:rFonts w:hAnsi="Garamond" w:hint="default"/>
          <w:i w:val="1"/>
          <w:iCs w:val="1"/>
          <w:rtl w:val="0"/>
          <w:lang w:val="es-ES_tradnl"/>
        </w:rPr>
        <w:t>í</w:t>
      </w:r>
      <w:r>
        <w:rPr>
          <w:rFonts w:ascii="Garamond"/>
          <w:i w:val="1"/>
          <w:iCs w:val="1"/>
          <w:rtl w:val="0"/>
          <w:lang w:val="es-ES_tradnl"/>
        </w:rPr>
        <w:t>neas de ruptura de la cr</w:t>
      </w:r>
      <w:r>
        <w:rPr>
          <w:rFonts w:hAnsi="Garamond" w:hint="default"/>
          <w:i w:val="1"/>
          <w:iCs w:val="1"/>
          <w:rtl w:val="0"/>
          <w:lang w:val="es-ES_tradnl"/>
        </w:rPr>
        <w:t>í</w:t>
      </w:r>
      <w:r>
        <w:rPr>
          <w:rFonts w:ascii="Garamond"/>
          <w:i w:val="1"/>
          <w:iCs w:val="1"/>
          <w:rtl w:val="0"/>
          <w:lang w:val="es-ES_tradnl"/>
        </w:rPr>
        <w:t>tica institucional</w:t>
      </w:r>
      <w:r>
        <w:rPr>
          <w:rFonts w:ascii="Garamond"/>
          <w:rtl w:val="0"/>
          <w:lang w:val="es-ES_tradnl"/>
        </w:rPr>
        <w:t>. Madrid, Espa</w:t>
      </w:r>
      <w:r>
        <w:rPr>
          <w:rFonts w:hAnsi="Garamond" w:hint="default"/>
          <w:rtl w:val="0"/>
          <w:lang w:val="es-ES_tradnl"/>
        </w:rPr>
        <w:t>ñ</w:t>
      </w:r>
      <w:r>
        <w:rPr>
          <w:rFonts w:ascii="Garamond"/>
          <w:rtl w:val="0"/>
          <w:lang w:val="es-ES_tradnl"/>
        </w:rPr>
        <w:t>a: Traficantes de sue</w:t>
      </w:r>
      <w:r>
        <w:rPr>
          <w:rFonts w:hAnsi="Garamond" w:hint="default"/>
          <w:rtl w:val="0"/>
          <w:lang w:val="es-ES_tradnl"/>
        </w:rPr>
        <w:t>ñ</w:t>
      </w:r>
      <w:r>
        <w:rPr>
          <w:rFonts w:ascii="Garamond"/>
          <w:rtl w:val="0"/>
          <w:lang w:val="es-ES_tradnl"/>
        </w:rPr>
        <w:t>os. 2008 [2002], p. 141.</w:t>
      </w:r>
    </w:p>
  </w:footnote>
  <w:footnote w:id="5">
    <w:p>
      <w:pPr>
        <w:pStyle w:val="footnote text"/>
        <w:jc w:val="both"/>
      </w:pPr>
      <w:r>
        <w:rPr>
          <w:rFonts w:ascii="Garamond" w:cs="Garamond" w:hAnsi="Garamond" w:eastAsia="Garamond"/>
          <w:sz w:val="24"/>
          <w:szCs w:val="24"/>
          <w:vertAlign w:val="superscript"/>
          <w:rtl w:val="0"/>
        </w:rPr>
        <w:footnoteRef/>
      </w:r>
      <w:r>
        <w:rPr>
          <w:rFonts w:ascii="Garamond"/>
          <w:rtl w:val="0"/>
          <w:lang w:val="es-ES_tradnl"/>
        </w:rPr>
        <w:t xml:space="preserve"> BUTLER, Judith. </w:t>
      </w:r>
      <w:r>
        <w:rPr>
          <w:rFonts w:hAnsi="Garamond" w:hint="default"/>
          <w:rtl w:val="0"/>
          <w:lang w:val="es-ES_tradnl"/>
        </w:rPr>
        <w:t>“¿</w:t>
      </w:r>
      <w:r>
        <w:rPr>
          <w:rFonts w:ascii="Garamond"/>
          <w:rtl w:val="0"/>
          <w:lang w:val="es-ES_tradnl"/>
        </w:rPr>
        <w:t>Qu</w:t>
      </w:r>
      <w:r>
        <w:rPr>
          <w:rFonts w:hAnsi="Garamond" w:hint="default"/>
          <w:rtl w:val="0"/>
          <w:lang w:val="es-ES_tradnl"/>
        </w:rPr>
        <w:t xml:space="preserve">é </w:t>
      </w:r>
      <w:r>
        <w:rPr>
          <w:rFonts w:ascii="Garamond"/>
          <w:rtl w:val="0"/>
          <w:lang w:val="es-ES_tradnl"/>
        </w:rPr>
        <w:t>es la cr</w:t>
      </w:r>
      <w:r>
        <w:rPr>
          <w:rFonts w:hAnsi="Garamond" w:hint="default"/>
          <w:rtl w:val="0"/>
          <w:lang w:val="es-ES_tradnl"/>
        </w:rPr>
        <w:t>í</w:t>
      </w:r>
      <w:r>
        <w:rPr>
          <w:rFonts w:ascii="Garamond"/>
          <w:rtl w:val="0"/>
          <w:lang w:val="es-ES_tradnl"/>
        </w:rPr>
        <w:t>tica? Un ensayo sobre la virtud de Foucault</w:t>
      </w:r>
      <w:r>
        <w:rPr>
          <w:rFonts w:hAnsi="Garamond" w:hint="default"/>
          <w:rtl w:val="0"/>
          <w:lang w:val="es-ES_tradnl"/>
        </w:rPr>
        <w:t>”</w:t>
      </w:r>
      <w:r>
        <w:rPr>
          <w:rFonts w:ascii="Garamond"/>
          <w:rtl w:val="0"/>
          <w:lang w:val="es-ES_tradnl"/>
        </w:rPr>
        <w:t xml:space="preserve">. En: </w:t>
      </w:r>
      <w:r>
        <w:rPr>
          <w:rFonts w:ascii="Garamond"/>
          <w:i w:val="1"/>
          <w:iCs w:val="1"/>
          <w:rtl w:val="0"/>
          <w:lang w:val="es-ES_tradnl"/>
        </w:rPr>
        <w:t>Producci</w:t>
      </w:r>
      <w:r>
        <w:rPr>
          <w:rFonts w:hAnsi="Garamond" w:hint="default"/>
          <w:i w:val="1"/>
          <w:iCs w:val="1"/>
          <w:rtl w:val="0"/>
          <w:lang w:val="es-ES_tradnl"/>
        </w:rPr>
        <w:t>ó</w:t>
      </w:r>
      <w:r>
        <w:rPr>
          <w:rFonts w:ascii="Garamond"/>
          <w:i w:val="1"/>
          <w:iCs w:val="1"/>
          <w:rtl w:val="0"/>
          <w:lang w:val="es-ES_tradnl"/>
        </w:rPr>
        <w:t>n cultural y pr</w:t>
      </w:r>
      <w:r>
        <w:rPr>
          <w:rFonts w:hAnsi="Garamond" w:hint="default"/>
          <w:i w:val="1"/>
          <w:iCs w:val="1"/>
          <w:rtl w:val="0"/>
          <w:lang w:val="es-ES_tradnl"/>
        </w:rPr>
        <w:t>á</w:t>
      </w:r>
      <w:r>
        <w:rPr>
          <w:rFonts w:ascii="Garamond"/>
          <w:i w:val="1"/>
          <w:iCs w:val="1"/>
          <w:rtl w:val="0"/>
          <w:lang w:val="es-ES_tradnl"/>
        </w:rPr>
        <w:t>cticas instituyentes. L</w:t>
      </w:r>
      <w:r>
        <w:rPr>
          <w:rFonts w:hAnsi="Garamond" w:hint="default"/>
          <w:i w:val="1"/>
          <w:iCs w:val="1"/>
          <w:rtl w:val="0"/>
          <w:lang w:val="es-ES_tradnl"/>
        </w:rPr>
        <w:t>í</w:t>
      </w:r>
      <w:r>
        <w:rPr>
          <w:rFonts w:ascii="Garamond"/>
          <w:i w:val="1"/>
          <w:iCs w:val="1"/>
          <w:rtl w:val="0"/>
          <w:lang w:val="es-ES_tradnl"/>
        </w:rPr>
        <w:t>neas de ruptura de la cr</w:t>
      </w:r>
      <w:r>
        <w:rPr>
          <w:rFonts w:hAnsi="Garamond" w:hint="default"/>
          <w:i w:val="1"/>
          <w:iCs w:val="1"/>
          <w:rtl w:val="0"/>
          <w:lang w:val="es-ES_tradnl"/>
        </w:rPr>
        <w:t>í</w:t>
      </w:r>
      <w:r>
        <w:rPr>
          <w:rFonts w:ascii="Garamond"/>
          <w:i w:val="1"/>
          <w:iCs w:val="1"/>
          <w:rtl w:val="0"/>
          <w:lang w:val="es-ES_tradnl"/>
        </w:rPr>
        <w:t>tica institucional</w:t>
      </w:r>
      <w:r>
        <w:rPr>
          <w:rFonts w:ascii="Garamond"/>
          <w:rtl w:val="0"/>
          <w:lang w:val="es-ES_tradnl"/>
        </w:rPr>
        <w:t>. Madrid, Espa</w:t>
      </w:r>
      <w:r>
        <w:rPr>
          <w:rFonts w:hAnsi="Garamond" w:hint="default"/>
          <w:rtl w:val="0"/>
          <w:lang w:val="es-ES_tradnl"/>
        </w:rPr>
        <w:t>ñ</w:t>
      </w:r>
      <w:r>
        <w:rPr>
          <w:rFonts w:ascii="Garamond"/>
          <w:rtl w:val="0"/>
          <w:lang w:val="es-ES_tradnl"/>
        </w:rPr>
        <w:t>a: Traficantes de sue</w:t>
      </w:r>
      <w:r>
        <w:rPr>
          <w:rFonts w:hAnsi="Garamond" w:hint="default"/>
          <w:rtl w:val="0"/>
          <w:lang w:val="es-ES_tradnl"/>
        </w:rPr>
        <w:t>ñ</w:t>
      </w:r>
      <w:r>
        <w:rPr>
          <w:rFonts w:ascii="Garamond"/>
          <w:rtl w:val="0"/>
          <w:lang w:val="es-ES_tradnl"/>
        </w:rPr>
        <w:t>os. 2008 [2002], p. 149.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revistaanfibia.com/ensayo/lo-que-yo-hago-es-leer/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