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48" w:rsidRDefault="00130050" w:rsidP="00130050">
      <w:pPr>
        <w:jc w:val="center"/>
        <w:rPr>
          <w:b/>
          <w:u w:val="single"/>
        </w:rPr>
      </w:pPr>
      <w:r>
        <w:rPr>
          <w:b/>
          <w:u w:val="single"/>
        </w:rPr>
        <w:t>CLASE COUNTRY RISK</w:t>
      </w:r>
    </w:p>
    <w:p w:rsidR="00130050" w:rsidRDefault="00130050" w:rsidP="00130050">
      <w:pPr>
        <w:jc w:val="center"/>
      </w:pPr>
      <w:r>
        <w:rPr>
          <w:b/>
          <w:u w:val="single"/>
        </w:rPr>
        <w:t>25 DE MARZO DE 2014</w:t>
      </w:r>
    </w:p>
    <w:p w:rsidR="00130050" w:rsidRDefault="00130050" w:rsidP="00130050"/>
    <w:p w:rsidR="00130050" w:rsidRDefault="00130050" w:rsidP="00130050">
      <w:pPr>
        <w:pStyle w:val="Prrafodelista"/>
        <w:numPr>
          <w:ilvl w:val="0"/>
          <w:numId w:val="1"/>
        </w:numPr>
      </w:pPr>
      <w:proofErr w:type="spellStart"/>
      <w:r>
        <w:t>Independent</w:t>
      </w:r>
      <w:proofErr w:type="spellEnd"/>
      <w:r>
        <w:t xml:space="preserve"> </w:t>
      </w:r>
      <w:proofErr w:type="spellStart"/>
      <w:r>
        <w:t>analysis</w:t>
      </w:r>
      <w:proofErr w:type="spellEnd"/>
      <w:r>
        <w:t xml:space="preserve"> in International </w:t>
      </w:r>
      <w:proofErr w:type="spellStart"/>
      <w:r>
        <w:t>business</w:t>
      </w:r>
      <w:proofErr w:type="spellEnd"/>
      <w:r>
        <w:t>.</w:t>
      </w:r>
    </w:p>
    <w:p w:rsidR="00130050" w:rsidRDefault="00130050" w:rsidP="00130050">
      <w:pPr>
        <w:pStyle w:val="Prrafodelista"/>
        <w:numPr>
          <w:ilvl w:val="0"/>
          <w:numId w:val="2"/>
        </w:numPr>
      </w:pPr>
      <w:r>
        <w:t xml:space="preserve">To </w:t>
      </w:r>
      <w:proofErr w:type="spellStart"/>
      <w:r>
        <w:t>provide</w:t>
      </w:r>
      <w:proofErr w:type="spellEnd"/>
      <w:r>
        <w:t xml:space="preserve"> </w:t>
      </w:r>
      <w:proofErr w:type="spellStart"/>
      <w:r>
        <w:t>proper</w:t>
      </w:r>
      <w:proofErr w:type="spellEnd"/>
      <w:r>
        <w:t xml:space="preserve"> </w:t>
      </w:r>
      <w:proofErr w:type="spellStart"/>
      <w:r>
        <w:t>consel</w:t>
      </w:r>
      <w:proofErr w:type="spellEnd"/>
      <w:r>
        <w:t xml:space="preserve">, </w:t>
      </w:r>
      <w:proofErr w:type="spellStart"/>
      <w:r>
        <w:t>the</w:t>
      </w:r>
      <w:proofErr w:type="spellEnd"/>
      <w:r>
        <w:t xml:space="preserve"> </w:t>
      </w:r>
      <w:proofErr w:type="spellStart"/>
      <w:r>
        <w:t>professionals</w:t>
      </w:r>
      <w:proofErr w:type="spellEnd"/>
      <w:r>
        <w:t xml:space="preserve"> and </w:t>
      </w:r>
      <w:proofErr w:type="spellStart"/>
      <w:r>
        <w:t>advisers</w:t>
      </w:r>
      <w:proofErr w:type="spellEnd"/>
      <w:r>
        <w:t xml:space="preserve"> </w:t>
      </w:r>
      <w:proofErr w:type="spellStart"/>
      <w:r>
        <w:t>must</w:t>
      </w:r>
      <w:proofErr w:type="spellEnd"/>
      <w:r>
        <w:t xml:space="preserve"> </w:t>
      </w:r>
      <w:proofErr w:type="spellStart"/>
      <w:r>
        <w:t>make</w:t>
      </w:r>
      <w:proofErr w:type="spellEnd"/>
      <w:r>
        <w:t xml:space="preserve"> </w:t>
      </w:r>
      <w:proofErr w:type="spellStart"/>
      <w:r>
        <w:t>independent</w:t>
      </w:r>
      <w:proofErr w:type="spellEnd"/>
      <w:r>
        <w:t xml:space="preserve"> </w:t>
      </w:r>
      <w:proofErr w:type="spellStart"/>
      <w:r>
        <w:t>analysis</w:t>
      </w:r>
      <w:proofErr w:type="spellEnd"/>
      <w:r>
        <w:t xml:space="preserve"> of </w:t>
      </w:r>
      <w:proofErr w:type="spellStart"/>
      <w:r>
        <w:t>the</w:t>
      </w:r>
      <w:proofErr w:type="spellEnd"/>
      <w:r>
        <w:t xml:space="preserve"> </w:t>
      </w:r>
      <w:proofErr w:type="spellStart"/>
      <w:r>
        <w:t>situation</w:t>
      </w:r>
      <w:proofErr w:type="spellEnd"/>
      <w:r>
        <w:t xml:space="preserve"> to be </w:t>
      </w:r>
      <w:proofErr w:type="spellStart"/>
      <w:r>
        <w:t>considered</w:t>
      </w:r>
      <w:proofErr w:type="spellEnd"/>
      <w:r>
        <w:t>.</w:t>
      </w:r>
    </w:p>
    <w:p w:rsidR="00130050" w:rsidRDefault="00130050" w:rsidP="00130050">
      <w:pPr>
        <w:pStyle w:val="Prrafodelista"/>
        <w:numPr>
          <w:ilvl w:val="0"/>
          <w:numId w:val="2"/>
        </w:numPr>
      </w:pPr>
      <w:proofErr w:type="spellStart"/>
      <w:r>
        <w:t>We</w:t>
      </w:r>
      <w:proofErr w:type="spellEnd"/>
      <w:r>
        <w:t xml:space="preserve"> </w:t>
      </w:r>
      <w:proofErr w:type="spellStart"/>
      <w:r>
        <w:t>must</w:t>
      </w:r>
      <w:proofErr w:type="spellEnd"/>
      <w:r>
        <w:t xml:space="preserve"> be </w:t>
      </w:r>
      <w:proofErr w:type="spellStart"/>
      <w:r>
        <w:t>over</w:t>
      </w:r>
      <w:proofErr w:type="spellEnd"/>
      <w:r>
        <w:t xml:space="preserve"> and </w:t>
      </w:r>
      <w:proofErr w:type="spellStart"/>
      <w:r>
        <w:t>above</w:t>
      </w:r>
      <w:proofErr w:type="spellEnd"/>
      <w:r>
        <w:t xml:space="preserve"> of </w:t>
      </w:r>
      <w:proofErr w:type="spellStart"/>
      <w:r>
        <w:t>our</w:t>
      </w:r>
      <w:proofErr w:type="spellEnd"/>
      <w:r>
        <w:t xml:space="preserve"> personal </w:t>
      </w:r>
      <w:proofErr w:type="spellStart"/>
      <w:r>
        <w:t>feelings</w:t>
      </w:r>
      <w:proofErr w:type="spellEnd"/>
      <w:r>
        <w:t xml:space="preserve"> and </w:t>
      </w:r>
      <w:proofErr w:type="spellStart"/>
      <w:r>
        <w:t>passions</w:t>
      </w:r>
      <w:proofErr w:type="spellEnd"/>
      <w:r>
        <w:t>.</w:t>
      </w:r>
    </w:p>
    <w:p w:rsidR="00130050" w:rsidRDefault="00130050" w:rsidP="00130050">
      <w:pPr>
        <w:pStyle w:val="Prrafodelista"/>
        <w:numPr>
          <w:ilvl w:val="0"/>
          <w:numId w:val="2"/>
        </w:numPr>
      </w:pPr>
      <w:proofErr w:type="spellStart"/>
      <w:r>
        <w:t>We</w:t>
      </w:r>
      <w:proofErr w:type="spellEnd"/>
      <w:r>
        <w:t xml:space="preserve"> </w:t>
      </w:r>
      <w:proofErr w:type="spellStart"/>
      <w:r>
        <w:t>must</w:t>
      </w:r>
      <w:proofErr w:type="spellEnd"/>
      <w:r>
        <w:t xml:space="preserve"> </w:t>
      </w:r>
      <w:proofErr w:type="spellStart"/>
      <w:r>
        <w:t>overcome</w:t>
      </w:r>
      <w:proofErr w:type="spellEnd"/>
      <w:r>
        <w:t xml:space="preserve"> </w:t>
      </w:r>
      <w:proofErr w:type="spellStart"/>
      <w:r>
        <w:t>our</w:t>
      </w:r>
      <w:proofErr w:type="spellEnd"/>
      <w:r>
        <w:t xml:space="preserve"> </w:t>
      </w:r>
      <w:proofErr w:type="spellStart"/>
      <w:r>
        <w:t>own</w:t>
      </w:r>
      <w:proofErr w:type="spellEnd"/>
      <w:r>
        <w:t xml:space="preserve"> personal </w:t>
      </w:r>
      <w:proofErr w:type="spellStart"/>
      <w:r>
        <w:t>views</w:t>
      </w:r>
      <w:proofErr w:type="spellEnd"/>
      <w:r>
        <w:t xml:space="preserve"> and </w:t>
      </w:r>
      <w:proofErr w:type="spellStart"/>
      <w:r>
        <w:t>opinnion</w:t>
      </w:r>
      <w:proofErr w:type="spellEnd"/>
      <w:r>
        <w:t>.</w:t>
      </w:r>
    </w:p>
    <w:p w:rsidR="00130050" w:rsidRDefault="00130050" w:rsidP="00130050">
      <w:pPr>
        <w:pStyle w:val="Prrafodelista"/>
        <w:numPr>
          <w:ilvl w:val="0"/>
          <w:numId w:val="2"/>
        </w:numPr>
      </w:pPr>
      <w:r>
        <w:t xml:space="preserve">Tools to be </w:t>
      </w:r>
      <w:proofErr w:type="spellStart"/>
      <w:r>
        <w:t>considered</w:t>
      </w:r>
      <w:proofErr w:type="spellEnd"/>
      <w:r>
        <w:t>:</w:t>
      </w:r>
    </w:p>
    <w:p w:rsidR="00130050" w:rsidRDefault="00130050" w:rsidP="00130050">
      <w:pPr>
        <w:pStyle w:val="Prrafodelista"/>
        <w:numPr>
          <w:ilvl w:val="1"/>
          <w:numId w:val="2"/>
        </w:numPr>
      </w:pPr>
      <w:proofErr w:type="spellStart"/>
      <w:r>
        <w:t>Jump</w:t>
      </w:r>
      <w:proofErr w:type="spellEnd"/>
      <w:r>
        <w:t xml:space="preserve"> </w:t>
      </w:r>
      <w:proofErr w:type="spellStart"/>
      <w:r>
        <w:t>high</w:t>
      </w:r>
      <w:proofErr w:type="spellEnd"/>
      <w:r>
        <w:t>.</w:t>
      </w:r>
    </w:p>
    <w:p w:rsidR="00130050" w:rsidRDefault="00130050" w:rsidP="00130050">
      <w:pPr>
        <w:pStyle w:val="Prrafodelista"/>
        <w:numPr>
          <w:ilvl w:val="1"/>
          <w:numId w:val="2"/>
        </w:numPr>
      </w:pPr>
      <w:proofErr w:type="spellStart"/>
      <w:r>
        <w:t>Duc</w:t>
      </w:r>
      <w:proofErr w:type="spellEnd"/>
      <w:r>
        <w:t xml:space="preserve"> in </w:t>
      </w:r>
      <w:proofErr w:type="spellStart"/>
      <w:r>
        <w:t>altum</w:t>
      </w:r>
      <w:proofErr w:type="spellEnd"/>
      <w:r>
        <w:t>.</w:t>
      </w:r>
    </w:p>
    <w:p w:rsidR="00130050" w:rsidRDefault="00130050" w:rsidP="00130050">
      <w:pPr>
        <w:pStyle w:val="Prrafodelista"/>
        <w:numPr>
          <w:ilvl w:val="1"/>
          <w:numId w:val="2"/>
        </w:numPr>
      </w:pPr>
      <w:r>
        <w:t xml:space="preserve">Art 1444 </w:t>
      </w:r>
      <w:proofErr w:type="spellStart"/>
      <w:r>
        <w:t>Chilean</w:t>
      </w:r>
      <w:proofErr w:type="spellEnd"/>
      <w:r>
        <w:t xml:space="preserve"> Civil </w:t>
      </w:r>
      <w:proofErr w:type="spellStart"/>
      <w:r>
        <w:t>Code</w:t>
      </w:r>
      <w:proofErr w:type="spellEnd"/>
      <w:r>
        <w:t>.</w:t>
      </w:r>
    </w:p>
    <w:p w:rsidR="00130050" w:rsidRDefault="00130050" w:rsidP="00130050">
      <w:pPr>
        <w:pStyle w:val="Prrafodelista"/>
        <w:ind w:left="1080"/>
      </w:pPr>
    </w:p>
    <w:p w:rsidR="00130050" w:rsidRDefault="00130050" w:rsidP="00130050">
      <w:pPr>
        <w:pStyle w:val="Prrafodelista"/>
        <w:numPr>
          <w:ilvl w:val="0"/>
          <w:numId w:val="1"/>
        </w:numPr>
      </w:pPr>
      <w:r>
        <w:t xml:space="preserve">A case to be </w:t>
      </w:r>
      <w:proofErr w:type="spellStart"/>
      <w:r>
        <w:t>considered</w:t>
      </w:r>
      <w:proofErr w:type="spellEnd"/>
      <w:r>
        <w:t xml:space="preserve">: </w:t>
      </w:r>
      <w:proofErr w:type="spellStart"/>
      <w:r>
        <w:t>Sentence</w:t>
      </w:r>
      <w:proofErr w:type="spellEnd"/>
      <w:r>
        <w:t xml:space="preserve"> </w:t>
      </w:r>
      <w:proofErr w:type="spellStart"/>
      <w:r>
        <w:t>Intenational</w:t>
      </w:r>
      <w:proofErr w:type="spellEnd"/>
      <w:r>
        <w:t xml:space="preserve"> </w:t>
      </w:r>
      <w:proofErr w:type="spellStart"/>
      <w:r>
        <w:t>Court</w:t>
      </w:r>
      <w:proofErr w:type="spellEnd"/>
      <w:r>
        <w:t xml:space="preserve"> of </w:t>
      </w:r>
      <w:proofErr w:type="spellStart"/>
      <w:r>
        <w:t>Justice</w:t>
      </w:r>
      <w:proofErr w:type="spellEnd"/>
      <w:r>
        <w:t>.</w:t>
      </w:r>
      <w:r w:rsidR="005D3468">
        <w:t xml:space="preserve"> </w:t>
      </w:r>
      <w:proofErr w:type="spellStart"/>
      <w:r w:rsidR="005D3468">
        <w:t>Peru</w:t>
      </w:r>
      <w:proofErr w:type="spellEnd"/>
      <w:r w:rsidR="005D3468">
        <w:t xml:space="preserve"> v/s Chile.</w:t>
      </w:r>
    </w:p>
    <w:p w:rsidR="00130050" w:rsidRDefault="00130050" w:rsidP="00130050">
      <w:pPr>
        <w:pStyle w:val="Prrafodelista"/>
        <w:numPr>
          <w:ilvl w:val="0"/>
          <w:numId w:val="2"/>
        </w:numPr>
      </w:pPr>
      <w:proofErr w:type="spellStart"/>
      <w:r>
        <w:t>The</w:t>
      </w:r>
      <w:proofErr w:type="spellEnd"/>
      <w:r>
        <w:t xml:space="preserve"> </w:t>
      </w:r>
      <w:proofErr w:type="spellStart"/>
      <w:r>
        <w:t>Court</w:t>
      </w:r>
      <w:proofErr w:type="spellEnd"/>
      <w:r>
        <w:t xml:space="preserve"> </w:t>
      </w:r>
      <w:proofErr w:type="spellStart"/>
      <w:r>
        <w:t>admitted</w:t>
      </w:r>
      <w:proofErr w:type="spellEnd"/>
      <w:r>
        <w:t xml:space="preserve"> </w:t>
      </w:r>
      <w:proofErr w:type="spellStart"/>
      <w:r>
        <w:t>the</w:t>
      </w:r>
      <w:proofErr w:type="spellEnd"/>
      <w:r>
        <w:t xml:space="preserve"> </w:t>
      </w:r>
      <w:proofErr w:type="spellStart"/>
      <w:r>
        <w:t>basic</w:t>
      </w:r>
      <w:proofErr w:type="spellEnd"/>
      <w:r>
        <w:t xml:space="preserve"> </w:t>
      </w:r>
      <w:proofErr w:type="spellStart"/>
      <w:r>
        <w:t>principles</w:t>
      </w:r>
      <w:proofErr w:type="spellEnd"/>
      <w:r>
        <w:t xml:space="preserve"> </w:t>
      </w:r>
      <w:proofErr w:type="spellStart"/>
      <w:r>
        <w:t>sustained</w:t>
      </w:r>
      <w:proofErr w:type="spellEnd"/>
      <w:r>
        <w:t xml:space="preserve"> </w:t>
      </w:r>
      <w:proofErr w:type="spellStart"/>
      <w:r>
        <w:t>by</w:t>
      </w:r>
      <w:proofErr w:type="spellEnd"/>
      <w:r>
        <w:t xml:space="preserve"> Chile.</w:t>
      </w:r>
    </w:p>
    <w:p w:rsidR="00130050" w:rsidRDefault="00130050" w:rsidP="00130050">
      <w:pPr>
        <w:pStyle w:val="Prrafodelista"/>
        <w:numPr>
          <w:ilvl w:val="0"/>
          <w:numId w:val="2"/>
        </w:numPr>
      </w:pPr>
      <w:proofErr w:type="spellStart"/>
      <w:r>
        <w:t>Basically</w:t>
      </w:r>
      <w:proofErr w:type="spellEnd"/>
      <w:r>
        <w:t xml:space="preserve">, </w:t>
      </w:r>
      <w:proofErr w:type="spellStart"/>
      <w:r>
        <w:t>the</w:t>
      </w:r>
      <w:proofErr w:type="spellEnd"/>
      <w:r>
        <w:t xml:space="preserve"> </w:t>
      </w:r>
      <w:proofErr w:type="spellStart"/>
      <w:r>
        <w:t>limit</w:t>
      </w:r>
      <w:proofErr w:type="spellEnd"/>
      <w:r>
        <w:t xml:space="preserve"> </w:t>
      </w:r>
      <w:proofErr w:type="spellStart"/>
      <w:r>
        <w:t>is</w:t>
      </w:r>
      <w:proofErr w:type="spellEnd"/>
      <w:r>
        <w:t xml:space="preserve"> in </w:t>
      </w:r>
      <w:proofErr w:type="spellStart"/>
      <w:r>
        <w:t>the</w:t>
      </w:r>
      <w:proofErr w:type="spellEnd"/>
      <w:r>
        <w:t xml:space="preserve"> </w:t>
      </w:r>
      <w:proofErr w:type="spellStart"/>
      <w:r>
        <w:t>paralel</w:t>
      </w:r>
      <w:proofErr w:type="spellEnd"/>
      <w:r>
        <w:t>.</w:t>
      </w:r>
    </w:p>
    <w:p w:rsidR="00130050" w:rsidRDefault="00130050" w:rsidP="00130050">
      <w:pPr>
        <w:pStyle w:val="Prrafodelista"/>
        <w:numPr>
          <w:ilvl w:val="0"/>
          <w:numId w:val="2"/>
        </w:numPr>
      </w:pPr>
      <w:proofErr w:type="spellStart"/>
      <w:r>
        <w:t>However</w:t>
      </w:r>
      <w:proofErr w:type="spellEnd"/>
      <w:r>
        <w:t xml:space="preserve">, </w:t>
      </w:r>
      <w:proofErr w:type="spellStart"/>
      <w:r>
        <w:t>the</w:t>
      </w:r>
      <w:proofErr w:type="spellEnd"/>
      <w:r>
        <w:t xml:space="preserve"> </w:t>
      </w:r>
      <w:proofErr w:type="spellStart"/>
      <w:r>
        <w:t>Court</w:t>
      </w:r>
      <w:proofErr w:type="spellEnd"/>
      <w:r>
        <w:t xml:space="preserve"> </w:t>
      </w:r>
      <w:proofErr w:type="spellStart"/>
      <w:r>
        <w:t>ruled</w:t>
      </w:r>
      <w:proofErr w:type="spellEnd"/>
      <w:r>
        <w:t xml:space="preserve"> </w:t>
      </w:r>
      <w:proofErr w:type="spellStart"/>
      <w:r>
        <w:t>that</w:t>
      </w:r>
      <w:proofErr w:type="spellEnd"/>
      <w:r>
        <w:t xml:space="preserve"> </w:t>
      </w:r>
      <w:proofErr w:type="spellStart"/>
      <w:r>
        <w:t>it</w:t>
      </w:r>
      <w:proofErr w:type="spellEnd"/>
      <w:r>
        <w:t xml:space="preserve"> has </w:t>
      </w:r>
      <w:proofErr w:type="spellStart"/>
      <w:r>
        <w:t>an</w:t>
      </w:r>
      <w:proofErr w:type="spellEnd"/>
      <w:r>
        <w:t xml:space="preserve"> </w:t>
      </w:r>
      <w:proofErr w:type="spellStart"/>
      <w:r>
        <w:t>extension</w:t>
      </w:r>
      <w:proofErr w:type="spellEnd"/>
      <w:r>
        <w:t xml:space="preserve"> of </w:t>
      </w:r>
      <w:proofErr w:type="spellStart"/>
      <w:r>
        <w:t>only</w:t>
      </w:r>
      <w:proofErr w:type="spellEnd"/>
      <w:r>
        <w:t xml:space="preserve"> 80 miles </w:t>
      </w:r>
      <w:proofErr w:type="spellStart"/>
      <w:r>
        <w:t>instead</w:t>
      </w:r>
      <w:proofErr w:type="spellEnd"/>
      <w:r>
        <w:t xml:space="preserve"> of 200 miles.</w:t>
      </w:r>
    </w:p>
    <w:p w:rsidR="008B550D" w:rsidRDefault="00130050" w:rsidP="00130050">
      <w:pPr>
        <w:pStyle w:val="Prrafodelista"/>
        <w:numPr>
          <w:ilvl w:val="0"/>
          <w:numId w:val="2"/>
        </w:numPr>
      </w:pPr>
      <w:r>
        <w:t>¿</w:t>
      </w:r>
      <w:proofErr w:type="spellStart"/>
      <w:r>
        <w:t>Why</w:t>
      </w:r>
      <w:proofErr w:type="spellEnd"/>
      <w:r w:rsidR="008B550D">
        <w:t>?</w:t>
      </w:r>
    </w:p>
    <w:p w:rsidR="00130050" w:rsidRDefault="00130050" w:rsidP="00130050">
      <w:pPr>
        <w:pStyle w:val="Prrafodelista"/>
        <w:numPr>
          <w:ilvl w:val="0"/>
          <w:numId w:val="2"/>
        </w:numPr>
      </w:pPr>
      <w:r>
        <w:t xml:space="preserve"> </w:t>
      </w:r>
      <w:proofErr w:type="spellStart"/>
      <w:r>
        <w:t>Peru</w:t>
      </w:r>
      <w:proofErr w:type="spellEnd"/>
      <w:r>
        <w:t xml:space="preserve"> </w:t>
      </w:r>
      <w:proofErr w:type="spellStart"/>
      <w:r>
        <w:t>is</w:t>
      </w:r>
      <w:proofErr w:type="spellEnd"/>
      <w:r>
        <w:t xml:space="preserve"> </w:t>
      </w:r>
      <w:proofErr w:type="spellStart"/>
      <w:r>
        <w:t>partner</w:t>
      </w:r>
      <w:proofErr w:type="spellEnd"/>
      <w:r>
        <w:t xml:space="preserve"> </w:t>
      </w:r>
      <w:r w:rsidR="008B550D">
        <w:t xml:space="preserve">of Chile in </w:t>
      </w:r>
      <w:proofErr w:type="spellStart"/>
      <w:r w:rsidR="008B550D">
        <w:t>the</w:t>
      </w:r>
      <w:proofErr w:type="spellEnd"/>
      <w:r w:rsidR="008B550D">
        <w:t xml:space="preserve"> </w:t>
      </w:r>
      <w:proofErr w:type="spellStart"/>
      <w:r w:rsidR="008B550D">
        <w:t>Pacific</w:t>
      </w:r>
      <w:proofErr w:type="spellEnd"/>
      <w:r w:rsidR="008B550D">
        <w:t xml:space="preserve"> Alliance.</w:t>
      </w:r>
    </w:p>
    <w:p w:rsidR="008B550D" w:rsidRDefault="008B550D" w:rsidP="00130050">
      <w:pPr>
        <w:pStyle w:val="Prrafodelista"/>
        <w:numPr>
          <w:ilvl w:val="0"/>
          <w:numId w:val="2"/>
        </w:numPr>
      </w:pPr>
      <w:proofErr w:type="spellStart"/>
      <w:r>
        <w:t>However</w:t>
      </w:r>
      <w:proofErr w:type="spellEnd"/>
      <w:r>
        <w:t xml:space="preserve">, </w:t>
      </w:r>
      <w:proofErr w:type="spellStart"/>
      <w:r>
        <w:t>the</w:t>
      </w:r>
      <w:proofErr w:type="spellEnd"/>
      <w:r>
        <w:t xml:space="preserve"> </w:t>
      </w:r>
      <w:proofErr w:type="spellStart"/>
      <w:r>
        <w:t>claim</w:t>
      </w:r>
      <w:proofErr w:type="spellEnd"/>
      <w:r>
        <w:t xml:space="preserve"> </w:t>
      </w:r>
      <w:proofErr w:type="spellStart"/>
      <w:r>
        <w:t>against</w:t>
      </w:r>
      <w:proofErr w:type="spellEnd"/>
      <w:r>
        <w:t xml:space="preserve"> Chile </w:t>
      </w:r>
      <w:proofErr w:type="spellStart"/>
      <w:r>
        <w:t>had</w:t>
      </w:r>
      <w:proofErr w:type="spellEnd"/>
      <w:r>
        <w:t xml:space="preserve"> a </w:t>
      </w:r>
      <w:proofErr w:type="spellStart"/>
      <w:r>
        <w:t>tint</w:t>
      </w:r>
      <w:proofErr w:type="spellEnd"/>
      <w:r>
        <w:t xml:space="preserve"> of </w:t>
      </w:r>
      <w:proofErr w:type="spellStart"/>
      <w:r>
        <w:t>aggressivness</w:t>
      </w:r>
      <w:proofErr w:type="spellEnd"/>
      <w:r>
        <w:t>.</w:t>
      </w:r>
    </w:p>
    <w:p w:rsidR="008B550D" w:rsidRDefault="008B550D" w:rsidP="008B550D">
      <w:pPr>
        <w:pStyle w:val="Prrafodelista"/>
        <w:numPr>
          <w:ilvl w:val="1"/>
          <w:numId w:val="2"/>
        </w:numPr>
      </w:pPr>
      <w:proofErr w:type="spellStart"/>
      <w:r>
        <w:t>The</w:t>
      </w:r>
      <w:proofErr w:type="spellEnd"/>
      <w:r>
        <w:t xml:space="preserve"> </w:t>
      </w:r>
      <w:proofErr w:type="spellStart"/>
      <w:r>
        <w:t>claim</w:t>
      </w:r>
      <w:proofErr w:type="spellEnd"/>
      <w:r>
        <w:t xml:space="preserve"> </w:t>
      </w:r>
      <w:proofErr w:type="spellStart"/>
      <w:r>
        <w:t>started</w:t>
      </w:r>
      <w:proofErr w:type="spellEnd"/>
      <w:r>
        <w:t xml:space="preserve"> </w:t>
      </w:r>
      <w:proofErr w:type="spellStart"/>
      <w:r>
        <w:t>with</w:t>
      </w:r>
      <w:proofErr w:type="spellEnd"/>
      <w:r>
        <w:t xml:space="preserve"> a </w:t>
      </w:r>
      <w:proofErr w:type="spellStart"/>
      <w:r>
        <w:t>very</w:t>
      </w:r>
      <w:proofErr w:type="spellEnd"/>
      <w:r>
        <w:t xml:space="preserve"> </w:t>
      </w:r>
      <w:proofErr w:type="spellStart"/>
      <w:r>
        <w:t>strong</w:t>
      </w:r>
      <w:proofErr w:type="spellEnd"/>
      <w:r>
        <w:t xml:space="preserve"> </w:t>
      </w:r>
      <w:proofErr w:type="spellStart"/>
      <w:r>
        <w:t>description</w:t>
      </w:r>
      <w:proofErr w:type="spellEnd"/>
      <w:r>
        <w:t xml:space="preserve"> of </w:t>
      </w:r>
      <w:proofErr w:type="spellStart"/>
      <w:r>
        <w:t>the</w:t>
      </w:r>
      <w:proofErr w:type="spellEnd"/>
      <w:r>
        <w:t xml:space="preserve"> </w:t>
      </w:r>
      <w:proofErr w:type="spellStart"/>
      <w:r>
        <w:t>Pacific</w:t>
      </w:r>
      <w:proofErr w:type="spellEnd"/>
      <w:r>
        <w:t xml:space="preserve"> </w:t>
      </w:r>
      <w:proofErr w:type="spellStart"/>
      <w:r>
        <w:t>War</w:t>
      </w:r>
      <w:proofErr w:type="spellEnd"/>
      <w:r>
        <w:t>.</w:t>
      </w:r>
    </w:p>
    <w:p w:rsidR="008B550D" w:rsidRDefault="008B550D" w:rsidP="008B550D">
      <w:pPr>
        <w:pStyle w:val="Prrafodelista"/>
        <w:numPr>
          <w:ilvl w:val="1"/>
          <w:numId w:val="2"/>
        </w:numPr>
      </w:pPr>
      <w:proofErr w:type="spellStart"/>
      <w:r>
        <w:t>The</w:t>
      </w:r>
      <w:proofErr w:type="spellEnd"/>
      <w:r>
        <w:t xml:space="preserve"> </w:t>
      </w:r>
      <w:proofErr w:type="spellStart"/>
      <w:r>
        <w:t>northern</w:t>
      </w:r>
      <w:proofErr w:type="spellEnd"/>
      <w:r>
        <w:t xml:space="preserve"> </w:t>
      </w:r>
      <w:proofErr w:type="spellStart"/>
      <w:r>
        <w:t>part</w:t>
      </w:r>
      <w:proofErr w:type="spellEnd"/>
      <w:r>
        <w:t xml:space="preserve"> of </w:t>
      </w:r>
      <w:proofErr w:type="spellStart"/>
      <w:r>
        <w:t>the</w:t>
      </w:r>
      <w:proofErr w:type="spellEnd"/>
      <w:r>
        <w:t xml:space="preserve"> </w:t>
      </w:r>
      <w:proofErr w:type="spellStart"/>
      <w:r>
        <w:t>Chilean</w:t>
      </w:r>
      <w:proofErr w:type="spellEnd"/>
      <w:r>
        <w:t xml:space="preserve"> </w:t>
      </w:r>
      <w:proofErr w:type="spellStart"/>
      <w:r>
        <w:t>territory</w:t>
      </w:r>
      <w:proofErr w:type="spellEnd"/>
      <w:r>
        <w:t xml:space="preserve"> </w:t>
      </w:r>
      <w:proofErr w:type="spellStart"/>
      <w:r>
        <w:t>was</w:t>
      </w:r>
      <w:proofErr w:type="spellEnd"/>
      <w:r>
        <w:t xml:space="preserve"> a </w:t>
      </w:r>
      <w:proofErr w:type="spellStart"/>
      <w:r>
        <w:t>acquired</w:t>
      </w:r>
      <w:proofErr w:type="spellEnd"/>
      <w:r>
        <w:t xml:space="preserve"> as a </w:t>
      </w:r>
      <w:proofErr w:type="spellStart"/>
      <w:r>
        <w:t>consecuen</w:t>
      </w:r>
      <w:r w:rsidR="005D3468">
        <w:t>c</w:t>
      </w:r>
      <w:r>
        <w:t>e</w:t>
      </w:r>
      <w:proofErr w:type="spellEnd"/>
      <w:r>
        <w:t xml:space="preserve"> of </w:t>
      </w:r>
      <w:proofErr w:type="spellStart"/>
      <w:r>
        <w:t>the</w:t>
      </w:r>
      <w:proofErr w:type="spellEnd"/>
      <w:r>
        <w:t xml:space="preserve"> </w:t>
      </w:r>
      <w:proofErr w:type="spellStart"/>
      <w:r>
        <w:t>Pacific</w:t>
      </w:r>
      <w:proofErr w:type="spellEnd"/>
      <w:r>
        <w:t xml:space="preserve"> </w:t>
      </w:r>
      <w:proofErr w:type="spellStart"/>
      <w:r>
        <w:t>War</w:t>
      </w:r>
      <w:proofErr w:type="spellEnd"/>
      <w:r>
        <w:t>.</w:t>
      </w:r>
    </w:p>
    <w:p w:rsidR="008B550D" w:rsidRDefault="008B550D" w:rsidP="008B550D">
      <w:pPr>
        <w:pStyle w:val="Prrafodelista"/>
        <w:numPr>
          <w:ilvl w:val="1"/>
          <w:numId w:val="2"/>
        </w:numPr>
      </w:pPr>
      <w:proofErr w:type="spellStart"/>
      <w:r>
        <w:t>Peru</w:t>
      </w:r>
      <w:proofErr w:type="spellEnd"/>
      <w:r>
        <w:t xml:space="preserve"> </w:t>
      </w:r>
      <w:proofErr w:type="spellStart"/>
      <w:r>
        <w:t>tried</w:t>
      </w:r>
      <w:proofErr w:type="spellEnd"/>
      <w:r>
        <w:t xml:space="preserve"> to </w:t>
      </w:r>
      <w:proofErr w:type="spellStart"/>
      <w:r>
        <w:t>demostrate</w:t>
      </w:r>
      <w:proofErr w:type="spellEnd"/>
      <w:r>
        <w:t xml:space="preserve"> </w:t>
      </w:r>
      <w:proofErr w:type="spellStart"/>
      <w:r>
        <w:t>that</w:t>
      </w:r>
      <w:proofErr w:type="spellEnd"/>
      <w:r>
        <w:t xml:space="preserve"> Chile </w:t>
      </w:r>
      <w:proofErr w:type="spellStart"/>
      <w:r>
        <w:t>is</w:t>
      </w:r>
      <w:proofErr w:type="spellEnd"/>
      <w:r>
        <w:t xml:space="preserve"> a </w:t>
      </w:r>
      <w:proofErr w:type="spellStart"/>
      <w:r>
        <w:t>very</w:t>
      </w:r>
      <w:proofErr w:type="spellEnd"/>
      <w:r>
        <w:t xml:space="preserve"> </w:t>
      </w:r>
      <w:proofErr w:type="spellStart"/>
      <w:r>
        <w:t>strong</w:t>
      </w:r>
      <w:proofErr w:type="spellEnd"/>
      <w:r>
        <w:t xml:space="preserve"> </w:t>
      </w:r>
      <w:proofErr w:type="spellStart"/>
      <w:r>
        <w:t>commercial</w:t>
      </w:r>
      <w:proofErr w:type="spellEnd"/>
      <w:r>
        <w:t xml:space="preserve"> and </w:t>
      </w:r>
      <w:proofErr w:type="spellStart"/>
      <w:r>
        <w:t>military</w:t>
      </w:r>
      <w:proofErr w:type="spellEnd"/>
      <w:r>
        <w:t xml:space="preserve"> </w:t>
      </w:r>
      <w:proofErr w:type="spellStart"/>
      <w:r>
        <w:t>power</w:t>
      </w:r>
      <w:proofErr w:type="spellEnd"/>
      <w:r>
        <w:t>.</w:t>
      </w:r>
    </w:p>
    <w:p w:rsidR="008B550D" w:rsidRDefault="008B550D" w:rsidP="008B550D">
      <w:pPr>
        <w:pStyle w:val="Prrafodelista"/>
        <w:numPr>
          <w:ilvl w:val="1"/>
          <w:numId w:val="2"/>
        </w:numPr>
      </w:pPr>
      <w:proofErr w:type="spellStart"/>
      <w:r>
        <w:t>Peru</w:t>
      </w:r>
      <w:proofErr w:type="spellEnd"/>
      <w:r>
        <w:t xml:space="preserve"> </w:t>
      </w:r>
      <w:proofErr w:type="spellStart"/>
      <w:r>
        <w:t>based</w:t>
      </w:r>
      <w:proofErr w:type="spellEnd"/>
      <w:r>
        <w:t xml:space="preserve"> </w:t>
      </w:r>
      <w:proofErr w:type="spellStart"/>
      <w:r>
        <w:t>its</w:t>
      </w:r>
      <w:proofErr w:type="spellEnd"/>
      <w:r>
        <w:t xml:space="preserve"> </w:t>
      </w:r>
      <w:proofErr w:type="spellStart"/>
      <w:r>
        <w:t>claim</w:t>
      </w:r>
      <w:proofErr w:type="spellEnd"/>
      <w:r>
        <w:t xml:space="preserve"> in </w:t>
      </w:r>
      <w:proofErr w:type="spellStart"/>
      <w:r>
        <w:t>the</w:t>
      </w:r>
      <w:proofErr w:type="spellEnd"/>
      <w:r>
        <w:t xml:space="preserve"> </w:t>
      </w:r>
      <w:proofErr w:type="spellStart"/>
      <w:r>
        <w:t>application</w:t>
      </w:r>
      <w:proofErr w:type="spellEnd"/>
      <w:r>
        <w:t xml:space="preserve"> of </w:t>
      </w:r>
      <w:proofErr w:type="spellStart"/>
      <w:r>
        <w:t>principles</w:t>
      </w:r>
      <w:proofErr w:type="spellEnd"/>
      <w:r>
        <w:t xml:space="preserve"> of </w:t>
      </w:r>
      <w:proofErr w:type="spellStart"/>
      <w:r>
        <w:t>equity</w:t>
      </w:r>
      <w:proofErr w:type="spellEnd"/>
      <w:r>
        <w:t xml:space="preserve"> and legal </w:t>
      </w:r>
      <w:proofErr w:type="spellStart"/>
      <w:r>
        <w:t>imagination</w:t>
      </w:r>
      <w:proofErr w:type="spellEnd"/>
      <w:r>
        <w:t>.</w:t>
      </w:r>
    </w:p>
    <w:p w:rsidR="008B550D" w:rsidRDefault="008B550D" w:rsidP="008B550D">
      <w:pPr>
        <w:pStyle w:val="Prrafodelista"/>
        <w:numPr>
          <w:ilvl w:val="0"/>
          <w:numId w:val="2"/>
        </w:numPr>
      </w:pPr>
      <w:proofErr w:type="spellStart"/>
      <w:r>
        <w:t>The</w:t>
      </w:r>
      <w:proofErr w:type="spellEnd"/>
      <w:r>
        <w:t xml:space="preserve"> </w:t>
      </w:r>
      <w:proofErr w:type="spellStart"/>
      <w:r>
        <w:t>sentence</w:t>
      </w:r>
      <w:proofErr w:type="spellEnd"/>
      <w:r>
        <w:t xml:space="preserve"> of </w:t>
      </w:r>
      <w:proofErr w:type="spellStart"/>
      <w:r>
        <w:t>the</w:t>
      </w:r>
      <w:proofErr w:type="spellEnd"/>
      <w:r>
        <w:t xml:space="preserve"> </w:t>
      </w:r>
      <w:proofErr w:type="spellStart"/>
      <w:r>
        <w:t>Court</w:t>
      </w:r>
      <w:proofErr w:type="spellEnd"/>
      <w:r>
        <w:t xml:space="preserve"> </w:t>
      </w:r>
      <w:proofErr w:type="spellStart"/>
      <w:r>
        <w:t>starts</w:t>
      </w:r>
      <w:proofErr w:type="spellEnd"/>
      <w:r>
        <w:t xml:space="preserve"> </w:t>
      </w:r>
      <w:proofErr w:type="spellStart"/>
      <w:r>
        <w:t>with</w:t>
      </w:r>
      <w:proofErr w:type="spellEnd"/>
      <w:r>
        <w:t xml:space="preserve"> a </w:t>
      </w:r>
      <w:proofErr w:type="spellStart"/>
      <w:r>
        <w:t>mention</w:t>
      </w:r>
      <w:proofErr w:type="spellEnd"/>
      <w:r>
        <w:t xml:space="preserve"> to </w:t>
      </w:r>
      <w:proofErr w:type="spellStart"/>
      <w:r>
        <w:t>the</w:t>
      </w:r>
      <w:proofErr w:type="spellEnd"/>
      <w:r>
        <w:t xml:space="preserve"> </w:t>
      </w:r>
      <w:proofErr w:type="spellStart"/>
      <w:r>
        <w:t>Pacific</w:t>
      </w:r>
      <w:proofErr w:type="spellEnd"/>
      <w:r>
        <w:t xml:space="preserve"> </w:t>
      </w:r>
      <w:proofErr w:type="spellStart"/>
      <w:r>
        <w:t>War</w:t>
      </w:r>
      <w:proofErr w:type="spellEnd"/>
      <w:r>
        <w:t>.</w:t>
      </w:r>
    </w:p>
    <w:p w:rsidR="008B550D" w:rsidRDefault="008B550D" w:rsidP="008B550D">
      <w:pPr>
        <w:pStyle w:val="Prrafodelista"/>
        <w:numPr>
          <w:ilvl w:val="0"/>
          <w:numId w:val="2"/>
        </w:numPr>
      </w:pPr>
      <w:proofErr w:type="spellStart"/>
      <w:r>
        <w:t>Many</w:t>
      </w:r>
      <w:proofErr w:type="spellEnd"/>
      <w:r>
        <w:t xml:space="preserve"> of </w:t>
      </w:r>
      <w:proofErr w:type="spellStart"/>
      <w:r>
        <w:t>the</w:t>
      </w:r>
      <w:proofErr w:type="spellEnd"/>
      <w:r>
        <w:t xml:space="preserve"> </w:t>
      </w:r>
      <w:proofErr w:type="spellStart"/>
      <w:r>
        <w:t>justices</w:t>
      </w:r>
      <w:proofErr w:type="spellEnd"/>
      <w:r>
        <w:t xml:space="preserve"> of </w:t>
      </w:r>
      <w:proofErr w:type="spellStart"/>
      <w:r>
        <w:t>the</w:t>
      </w:r>
      <w:proofErr w:type="spellEnd"/>
      <w:r>
        <w:t xml:space="preserve"> </w:t>
      </w:r>
      <w:proofErr w:type="spellStart"/>
      <w:r>
        <w:t>Court</w:t>
      </w:r>
      <w:proofErr w:type="spellEnd"/>
      <w:r>
        <w:t xml:space="preserve"> </w:t>
      </w:r>
      <w:proofErr w:type="spellStart"/>
      <w:r>
        <w:t>based</w:t>
      </w:r>
      <w:proofErr w:type="spellEnd"/>
      <w:r>
        <w:t xml:space="preserve"> </w:t>
      </w:r>
      <w:proofErr w:type="spellStart"/>
      <w:r>
        <w:t>their</w:t>
      </w:r>
      <w:proofErr w:type="spellEnd"/>
      <w:r>
        <w:t xml:space="preserve"> </w:t>
      </w:r>
      <w:proofErr w:type="spellStart"/>
      <w:r>
        <w:t>rulings</w:t>
      </w:r>
      <w:proofErr w:type="spellEnd"/>
      <w:r>
        <w:t xml:space="preserve"> </w:t>
      </w:r>
      <w:proofErr w:type="spellStart"/>
      <w:r>
        <w:t>upon</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principles</w:t>
      </w:r>
      <w:proofErr w:type="spellEnd"/>
      <w:r>
        <w:t xml:space="preserve"> of </w:t>
      </w:r>
      <w:proofErr w:type="spellStart"/>
      <w:r>
        <w:t>equity</w:t>
      </w:r>
      <w:proofErr w:type="spellEnd"/>
      <w:r>
        <w:t>.</w:t>
      </w:r>
    </w:p>
    <w:p w:rsidR="008B550D" w:rsidRDefault="008B550D" w:rsidP="008B550D">
      <w:pPr>
        <w:pStyle w:val="Prrafodelista"/>
        <w:numPr>
          <w:ilvl w:val="0"/>
          <w:numId w:val="2"/>
        </w:numPr>
      </w:pPr>
      <w:proofErr w:type="spellStart"/>
      <w:r>
        <w:t>Conclusion</w:t>
      </w:r>
      <w:proofErr w:type="spellEnd"/>
      <w:r>
        <w:t>:</w:t>
      </w:r>
    </w:p>
    <w:p w:rsidR="008B550D" w:rsidRDefault="008B550D" w:rsidP="008B550D">
      <w:pPr>
        <w:pStyle w:val="Prrafodelista"/>
        <w:numPr>
          <w:ilvl w:val="1"/>
          <w:numId w:val="2"/>
        </w:numPr>
      </w:pPr>
      <w:proofErr w:type="spellStart"/>
      <w:r>
        <w:t>Beware</w:t>
      </w:r>
      <w:proofErr w:type="spellEnd"/>
      <w:r>
        <w:t xml:space="preserve"> of International </w:t>
      </w:r>
      <w:proofErr w:type="spellStart"/>
      <w:r>
        <w:t>partners</w:t>
      </w:r>
      <w:proofErr w:type="spellEnd"/>
      <w:r>
        <w:t>.</w:t>
      </w:r>
    </w:p>
    <w:p w:rsidR="008B550D" w:rsidRDefault="008B550D" w:rsidP="008B550D">
      <w:pPr>
        <w:pStyle w:val="Prrafodelista"/>
        <w:numPr>
          <w:ilvl w:val="1"/>
          <w:numId w:val="2"/>
        </w:numPr>
      </w:pPr>
      <w:proofErr w:type="spellStart"/>
      <w:r>
        <w:t>Beware</w:t>
      </w:r>
      <w:proofErr w:type="spellEnd"/>
      <w:r>
        <w:t xml:space="preserve"> of International </w:t>
      </w:r>
      <w:proofErr w:type="spellStart"/>
      <w:r>
        <w:t>justices</w:t>
      </w:r>
      <w:proofErr w:type="spellEnd"/>
      <w:r>
        <w:t>.</w:t>
      </w:r>
    </w:p>
    <w:p w:rsidR="008B550D" w:rsidRDefault="008B550D" w:rsidP="008B550D">
      <w:pPr>
        <w:pStyle w:val="Prrafodelista"/>
        <w:numPr>
          <w:ilvl w:val="1"/>
          <w:numId w:val="2"/>
        </w:numPr>
      </w:pPr>
      <w:proofErr w:type="spellStart"/>
      <w:r>
        <w:t>Reinforce</w:t>
      </w:r>
      <w:proofErr w:type="spellEnd"/>
      <w:r>
        <w:t xml:space="preserve"> </w:t>
      </w:r>
      <w:proofErr w:type="spellStart"/>
      <w:r>
        <w:t>independant</w:t>
      </w:r>
      <w:proofErr w:type="spellEnd"/>
      <w:r>
        <w:t xml:space="preserve"> and </w:t>
      </w:r>
      <w:proofErr w:type="spellStart"/>
      <w:r>
        <w:t>cool</w:t>
      </w:r>
      <w:proofErr w:type="spellEnd"/>
      <w:r>
        <w:t xml:space="preserve"> </w:t>
      </w:r>
      <w:proofErr w:type="spellStart"/>
      <w:r>
        <w:t>analysis</w:t>
      </w:r>
      <w:proofErr w:type="spellEnd"/>
      <w:r>
        <w:t xml:space="preserve"> in </w:t>
      </w:r>
      <w:proofErr w:type="spellStart"/>
      <w:r>
        <w:t>front</w:t>
      </w:r>
      <w:proofErr w:type="spellEnd"/>
      <w:r>
        <w:t xml:space="preserve"> of </w:t>
      </w:r>
      <w:proofErr w:type="spellStart"/>
      <w:r>
        <w:t>any</w:t>
      </w:r>
      <w:proofErr w:type="spellEnd"/>
      <w:r>
        <w:t xml:space="preserve"> International </w:t>
      </w:r>
      <w:proofErr w:type="spellStart"/>
      <w:r>
        <w:t>scenario</w:t>
      </w:r>
      <w:proofErr w:type="spellEnd"/>
      <w:r>
        <w:t>.</w:t>
      </w:r>
    </w:p>
    <w:p w:rsidR="005D3468" w:rsidRDefault="005D3468" w:rsidP="008B550D">
      <w:pPr>
        <w:pStyle w:val="Prrafodelista"/>
        <w:numPr>
          <w:ilvl w:val="1"/>
          <w:numId w:val="2"/>
        </w:numPr>
      </w:pPr>
      <w:r>
        <w:t xml:space="preserve">Be </w:t>
      </w:r>
      <w:proofErr w:type="spellStart"/>
      <w:r>
        <w:t>prepared</w:t>
      </w:r>
      <w:proofErr w:type="spellEnd"/>
      <w:r>
        <w:t xml:space="preserve"> to be </w:t>
      </w:r>
      <w:proofErr w:type="spellStart"/>
      <w:r>
        <w:t>judged</w:t>
      </w:r>
      <w:proofErr w:type="spellEnd"/>
      <w:r>
        <w:t xml:space="preserve"> </w:t>
      </w:r>
      <w:proofErr w:type="spellStart"/>
      <w:r>
        <w:t>by</w:t>
      </w:r>
      <w:proofErr w:type="spellEnd"/>
      <w:r>
        <w:t xml:space="preserve"> </w:t>
      </w:r>
      <w:proofErr w:type="spellStart"/>
      <w:r>
        <w:t>different</w:t>
      </w:r>
      <w:proofErr w:type="spellEnd"/>
      <w:r>
        <w:t xml:space="preserve"> </w:t>
      </w:r>
      <w:proofErr w:type="spellStart"/>
      <w:r>
        <w:t>criteria</w:t>
      </w:r>
      <w:proofErr w:type="spellEnd"/>
      <w:r>
        <w:t>.</w:t>
      </w:r>
    </w:p>
    <w:p w:rsidR="008B550D" w:rsidRDefault="008B550D" w:rsidP="008B550D">
      <w:pPr>
        <w:pStyle w:val="Prrafodelista"/>
        <w:ind w:left="1800"/>
      </w:pPr>
    </w:p>
    <w:p w:rsidR="00DA6B1C" w:rsidRDefault="00DA6B1C" w:rsidP="00DA6B1C">
      <w:pPr>
        <w:pStyle w:val="Prrafodelista"/>
      </w:pPr>
    </w:p>
    <w:p w:rsidR="00DA6B1C" w:rsidRDefault="00DA6B1C" w:rsidP="00DA6B1C">
      <w:pPr>
        <w:pStyle w:val="Prrafodelista"/>
      </w:pPr>
    </w:p>
    <w:p w:rsidR="00DA6B1C" w:rsidRDefault="00DA6B1C" w:rsidP="00DA6B1C">
      <w:pPr>
        <w:pStyle w:val="Prrafodelista"/>
      </w:pPr>
    </w:p>
    <w:p w:rsidR="00DA6B1C" w:rsidRDefault="00DA6B1C" w:rsidP="00DA6B1C">
      <w:pPr>
        <w:pStyle w:val="Prrafodelista"/>
      </w:pPr>
    </w:p>
    <w:p w:rsidR="008B550D" w:rsidRDefault="008B550D" w:rsidP="008B550D">
      <w:pPr>
        <w:pStyle w:val="Prrafodelista"/>
        <w:numPr>
          <w:ilvl w:val="0"/>
          <w:numId w:val="1"/>
        </w:numPr>
      </w:pPr>
      <w:r>
        <w:t xml:space="preserve">Country </w:t>
      </w:r>
      <w:proofErr w:type="spellStart"/>
      <w:r>
        <w:t>risk</w:t>
      </w:r>
      <w:proofErr w:type="spellEnd"/>
      <w:r>
        <w:t xml:space="preserve"> </w:t>
      </w:r>
      <w:proofErr w:type="spellStart"/>
      <w:r>
        <w:t>analysis</w:t>
      </w:r>
      <w:proofErr w:type="spellEnd"/>
    </w:p>
    <w:p w:rsidR="008B550D" w:rsidRDefault="008B550D" w:rsidP="008B550D">
      <w:pPr>
        <w:pStyle w:val="Prrafodelista"/>
        <w:numPr>
          <w:ilvl w:val="0"/>
          <w:numId w:val="2"/>
        </w:numPr>
      </w:pPr>
      <w:proofErr w:type="spellStart"/>
      <w:r>
        <w:t>Countries</w:t>
      </w:r>
      <w:proofErr w:type="spellEnd"/>
      <w:r>
        <w:t xml:space="preserve">, </w:t>
      </w:r>
      <w:proofErr w:type="spellStart"/>
      <w:r>
        <w:t>like</w:t>
      </w:r>
      <w:proofErr w:type="spellEnd"/>
      <w:r>
        <w:t xml:space="preserve"> </w:t>
      </w:r>
      <w:proofErr w:type="spellStart"/>
      <w:r>
        <w:t>students</w:t>
      </w:r>
      <w:proofErr w:type="spellEnd"/>
      <w:r>
        <w:t xml:space="preserve">, are </w:t>
      </w:r>
      <w:proofErr w:type="spellStart"/>
      <w:r>
        <w:t>subject</w:t>
      </w:r>
      <w:proofErr w:type="spellEnd"/>
      <w:r>
        <w:t xml:space="preserve"> to </w:t>
      </w:r>
      <w:proofErr w:type="spellStart"/>
      <w:r>
        <w:t>classification</w:t>
      </w:r>
      <w:proofErr w:type="spellEnd"/>
      <w:r w:rsidR="00DA6B1C">
        <w:t>.</w:t>
      </w:r>
    </w:p>
    <w:p w:rsidR="00DA6B1C" w:rsidRDefault="00DA6B1C" w:rsidP="008B550D">
      <w:pPr>
        <w:pStyle w:val="Prrafodelista"/>
        <w:numPr>
          <w:ilvl w:val="0"/>
          <w:numId w:val="2"/>
        </w:numPr>
      </w:pPr>
      <w:proofErr w:type="spellStart"/>
      <w:r>
        <w:t>Some</w:t>
      </w:r>
      <w:proofErr w:type="spellEnd"/>
      <w:r>
        <w:t xml:space="preserve"> of </w:t>
      </w:r>
      <w:proofErr w:type="spellStart"/>
      <w:r>
        <w:t>them</w:t>
      </w:r>
      <w:proofErr w:type="spellEnd"/>
      <w:r>
        <w:t xml:space="preserve"> </w:t>
      </w:r>
      <w:proofErr w:type="spellStart"/>
      <w:r>
        <w:t>perform</w:t>
      </w:r>
      <w:proofErr w:type="spellEnd"/>
      <w:r>
        <w:t xml:space="preserve"> </w:t>
      </w:r>
      <w:proofErr w:type="spellStart"/>
      <w:r>
        <w:t>well</w:t>
      </w:r>
      <w:proofErr w:type="spellEnd"/>
      <w:r>
        <w:t xml:space="preserve">, </w:t>
      </w:r>
      <w:proofErr w:type="spellStart"/>
      <w:r>
        <w:t>some</w:t>
      </w:r>
      <w:proofErr w:type="spellEnd"/>
      <w:r>
        <w:t xml:space="preserve"> do </w:t>
      </w:r>
      <w:proofErr w:type="spellStart"/>
      <w:r>
        <w:t>not</w:t>
      </w:r>
      <w:proofErr w:type="spellEnd"/>
      <w:r>
        <w:t>.</w:t>
      </w:r>
    </w:p>
    <w:p w:rsidR="00DA6B1C" w:rsidRDefault="005D3468" w:rsidP="008B550D">
      <w:pPr>
        <w:pStyle w:val="Prrafodelista"/>
        <w:numPr>
          <w:ilvl w:val="0"/>
          <w:numId w:val="2"/>
        </w:numPr>
      </w:pPr>
      <w:r>
        <w:t>¿</w:t>
      </w:r>
      <w:proofErr w:type="spellStart"/>
      <w:r w:rsidR="00DA6B1C">
        <w:t>What</w:t>
      </w:r>
      <w:proofErr w:type="spellEnd"/>
      <w:r w:rsidR="00DA6B1C">
        <w:t xml:space="preserve"> </w:t>
      </w:r>
      <w:proofErr w:type="spellStart"/>
      <w:r w:rsidR="00DA6B1C">
        <w:t>is</w:t>
      </w:r>
      <w:proofErr w:type="spellEnd"/>
      <w:r w:rsidR="00DA6B1C">
        <w:t xml:space="preserve"> a</w:t>
      </w:r>
      <w:r>
        <w:t xml:space="preserve"> </w:t>
      </w:r>
      <w:proofErr w:type="spellStart"/>
      <w:r>
        <w:t>good</w:t>
      </w:r>
      <w:proofErr w:type="spellEnd"/>
      <w:r>
        <w:t xml:space="preserve"> performance </w:t>
      </w:r>
      <w:proofErr w:type="spellStart"/>
      <w:r>
        <w:t>for</w:t>
      </w:r>
      <w:proofErr w:type="spellEnd"/>
      <w:r>
        <w:t xml:space="preserve"> a country?</w:t>
      </w:r>
    </w:p>
    <w:p w:rsidR="00DA6B1C" w:rsidRDefault="00DA6B1C" w:rsidP="00DA6B1C">
      <w:pPr>
        <w:pStyle w:val="Prrafodelista"/>
        <w:numPr>
          <w:ilvl w:val="1"/>
          <w:numId w:val="2"/>
        </w:numPr>
      </w:pPr>
      <w:proofErr w:type="spellStart"/>
      <w:r>
        <w:t>There</w:t>
      </w:r>
      <w:proofErr w:type="spellEnd"/>
      <w:r>
        <w:t xml:space="preserve"> </w:t>
      </w:r>
      <w:proofErr w:type="spellStart"/>
      <w:r>
        <w:t>may</w:t>
      </w:r>
      <w:proofErr w:type="spellEnd"/>
      <w:r>
        <w:t xml:space="preserve"> be </w:t>
      </w:r>
      <w:proofErr w:type="spellStart"/>
      <w:r>
        <w:t>opinnions</w:t>
      </w:r>
      <w:proofErr w:type="spellEnd"/>
      <w:r>
        <w:t>.</w:t>
      </w:r>
    </w:p>
    <w:p w:rsidR="00DA6B1C" w:rsidRDefault="00DA6B1C" w:rsidP="00DA6B1C">
      <w:pPr>
        <w:pStyle w:val="Prrafodelista"/>
        <w:numPr>
          <w:ilvl w:val="1"/>
          <w:numId w:val="2"/>
        </w:numPr>
      </w:pPr>
      <w:proofErr w:type="spellStart"/>
      <w:r>
        <w:t>Opinnions</w:t>
      </w:r>
      <w:proofErr w:type="spellEnd"/>
      <w:r>
        <w:t xml:space="preserve"> </w:t>
      </w:r>
      <w:proofErr w:type="spellStart"/>
      <w:r>
        <w:t>may</w:t>
      </w:r>
      <w:proofErr w:type="spellEnd"/>
      <w:r>
        <w:t xml:space="preserve"> </w:t>
      </w:r>
      <w:proofErr w:type="spellStart"/>
      <w:r>
        <w:t>vary</w:t>
      </w:r>
      <w:proofErr w:type="gramStart"/>
      <w:r>
        <w:t>,depending</w:t>
      </w:r>
      <w:proofErr w:type="spellEnd"/>
      <w:proofErr w:type="gramEnd"/>
      <w:r>
        <w:t xml:space="preserve"> on </w:t>
      </w:r>
      <w:proofErr w:type="spellStart"/>
      <w:r>
        <w:t>political</w:t>
      </w:r>
      <w:proofErr w:type="spellEnd"/>
      <w:r>
        <w:t xml:space="preserve">, </w:t>
      </w:r>
      <w:proofErr w:type="spellStart"/>
      <w:r>
        <w:t>religious</w:t>
      </w:r>
      <w:proofErr w:type="spellEnd"/>
      <w:r>
        <w:t xml:space="preserve">, </w:t>
      </w:r>
      <w:proofErr w:type="spellStart"/>
      <w:r>
        <w:t>military</w:t>
      </w:r>
      <w:proofErr w:type="spellEnd"/>
      <w:r>
        <w:t xml:space="preserve"> and </w:t>
      </w:r>
      <w:proofErr w:type="spellStart"/>
      <w:r>
        <w:t>other</w:t>
      </w:r>
      <w:proofErr w:type="spellEnd"/>
      <w:r>
        <w:t xml:space="preserve"> </w:t>
      </w:r>
      <w:proofErr w:type="spellStart"/>
      <w:r>
        <w:t>factors</w:t>
      </w:r>
      <w:proofErr w:type="spellEnd"/>
      <w:r>
        <w:t>.</w:t>
      </w:r>
    </w:p>
    <w:p w:rsidR="00DA6B1C" w:rsidRDefault="00DA6B1C" w:rsidP="00DA6B1C">
      <w:pPr>
        <w:pStyle w:val="Prrafodelista"/>
        <w:numPr>
          <w:ilvl w:val="0"/>
          <w:numId w:val="2"/>
        </w:numPr>
      </w:pPr>
      <w:proofErr w:type="spellStart"/>
      <w:r>
        <w:t>The</w:t>
      </w:r>
      <w:proofErr w:type="spellEnd"/>
      <w:r>
        <w:t xml:space="preserve"> </w:t>
      </w:r>
      <w:proofErr w:type="spellStart"/>
      <w:r>
        <w:t>most</w:t>
      </w:r>
      <w:proofErr w:type="spellEnd"/>
      <w:r>
        <w:t xml:space="preserve"> </w:t>
      </w:r>
      <w:proofErr w:type="spellStart"/>
      <w:r>
        <w:t>considered</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obligations</w:t>
      </w:r>
      <w:proofErr w:type="spellEnd"/>
      <w:r>
        <w:t>.</w:t>
      </w:r>
    </w:p>
    <w:p w:rsidR="00DA6B1C" w:rsidRDefault="00DA6B1C" w:rsidP="00DA6B1C">
      <w:pPr>
        <w:pStyle w:val="Prrafodelista"/>
        <w:numPr>
          <w:ilvl w:val="0"/>
          <w:numId w:val="2"/>
        </w:numPr>
      </w:pPr>
      <w:proofErr w:type="spellStart"/>
      <w:r>
        <w:t>Another</w:t>
      </w:r>
      <w:proofErr w:type="spellEnd"/>
      <w:r>
        <w:t xml:space="preserve">, </w:t>
      </w:r>
      <w:proofErr w:type="spellStart"/>
      <w:r>
        <w:t>repayment</w:t>
      </w:r>
      <w:proofErr w:type="spellEnd"/>
      <w:r>
        <w:t xml:space="preserve"> of </w:t>
      </w:r>
      <w:proofErr w:type="spellStart"/>
      <w:r>
        <w:t>debts</w:t>
      </w:r>
      <w:proofErr w:type="spellEnd"/>
      <w:r>
        <w:t>.</w:t>
      </w:r>
    </w:p>
    <w:p w:rsidR="00DA6B1C" w:rsidRDefault="00DA6B1C" w:rsidP="00DA6B1C">
      <w:pPr>
        <w:pStyle w:val="Prrafodelista"/>
        <w:numPr>
          <w:ilvl w:val="0"/>
          <w:numId w:val="2"/>
        </w:numPr>
      </w:pPr>
      <w:proofErr w:type="spellStart"/>
      <w:r>
        <w:t>Other</w:t>
      </w:r>
      <w:proofErr w:type="spellEnd"/>
      <w:r>
        <w:t xml:space="preserve"> </w:t>
      </w:r>
      <w:proofErr w:type="spellStart"/>
      <w:r>
        <w:t>considerations</w:t>
      </w:r>
      <w:proofErr w:type="spellEnd"/>
      <w:r>
        <w:t>.</w:t>
      </w:r>
    </w:p>
    <w:p w:rsidR="00DA6B1C" w:rsidRDefault="00DA6B1C" w:rsidP="00DA6B1C">
      <w:pPr>
        <w:pStyle w:val="Prrafodelista"/>
        <w:numPr>
          <w:ilvl w:val="1"/>
          <w:numId w:val="2"/>
        </w:numPr>
      </w:pPr>
      <w:proofErr w:type="spellStart"/>
      <w:r>
        <w:t>Policital</w:t>
      </w:r>
      <w:proofErr w:type="spellEnd"/>
      <w:r>
        <w:t xml:space="preserve"> </w:t>
      </w:r>
      <w:proofErr w:type="spellStart"/>
      <w:r>
        <w:t>stability</w:t>
      </w:r>
      <w:proofErr w:type="spellEnd"/>
      <w:r>
        <w:t>.</w:t>
      </w:r>
    </w:p>
    <w:p w:rsidR="00DA6B1C" w:rsidRDefault="00DA6B1C" w:rsidP="00DA6B1C">
      <w:pPr>
        <w:pStyle w:val="Prrafodelista"/>
        <w:numPr>
          <w:ilvl w:val="1"/>
          <w:numId w:val="2"/>
        </w:numPr>
      </w:pPr>
      <w:r>
        <w:t xml:space="preserve">Free </w:t>
      </w:r>
      <w:proofErr w:type="spellStart"/>
      <w:r>
        <w:t>elections</w:t>
      </w:r>
      <w:proofErr w:type="spellEnd"/>
      <w:r>
        <w:t>.</w:t>
      </w:r>
    </w:p>
    <w:p w:rsidR="00DA6B1C" w:rsidRDefault="00DA6B1C" w:rsidP="00DA6B1C">
      <w:pPr>
        <w:pStyle w:val="Prrafodelista"/>
        <w:numPr>
          <w:ilvl w:val="1"/>
          <w:numId w:val="2"/>
        </w:numPr>
      </w:pPr>
      <w:proofErr w:type="spellStart"/>
      <w:r>
        <w:t>Alternance</w:t>
      </w:r>
      <w:proofErr w:type="spellEnd"/>
      <w:r>
        <w:t xml:space="preserve"> in </w:t>
      </w:r>
      <w:proofErr w:type="spellStart"/>
      <w:r>
        <w:t>Government</w:t>
      </w:r>
      <w:proofErr w:type="spellEnd"/>
      <w:r>
        <w:t>.</w:t>
      </w:r>
    </w:p>
    <w:p w:rsidR="00DA6B1C" w:rsidRDefault="00DA6B1C" w:rsidP="00DA6B1C">
      <w:pPr>
        <w:pStyle w:val="Prrafodelista"/>
        <w:numPr>
          <w:ilvl w:val="1"/>
          <w:numId w:val="2"/>
        </w:numPr>
      </w:pPr>
      <w:proofErr w:type="spellStart"/>
      <w:r>
        <w:t>Liberty</w:t>
      </w:r>
      <w:proofErr w:type="spellEnd"/>
      <w:r>
        <w:t xml:space="preserve"> of </w:t>
      </w:r>
      <w:proofErr w:type="spellStart"/>
      <w:r>
        <w:t>speach</w:t>
      </w:r>
      <w:proofErr w:type="spellEnd"/>
      <w:r>
        <w:t>.</w:t>
      </w:r>
    </w:p>
    <w:p w:rsidR="00DA6B1C" w:rsidRDefault="00DA6B1C" w:rsidP="00DA6B1C">
      <w:pPr>
        <w:pStyle w:val="Prrafodelista"/>
        <w:numPr>
          <w:ilvl w:val="1"/>
          <w:numId w:val="2"/>
        </w:numPr>
      </w:pPr>
      <w:r>
        <w:t xml:space="preserve">Open </w:t>
      </w:r>
      <w:proofErr w:type="spellStart"/>
      <w:r>
        <w:t>markets</w:t>
      </w:r>
      <w:proofErr w:type="spellEnd"/>
      <w:r>
        <w:t xml:space="preserve"> and free </w:t>
      </w:r>
      <w:proofErr w:type="spellStart"/>
      <w:r>
        <w:t>competition</w:t>
      </w:r>
      <w:proofErr w:type="spellEnd"/>
      <w:r>
        <w:t>.</w:t>
      </w:r>
    </w:p>
    <w:p w:rsidR="00DA6B1C" w:rsidRDefault="00DA6B1C" w:rsidP="00DA6B1C">
      <w:pPr>
        <w:pStyle w:val="Prrafodelista"/>
        <w:numPr>
          <w:ilvl w:val="1"/>
          <w:numId w:val="2"/>
        </w:numPr>
      </w:pPr>
      <w:proofErr w:type="spellStart"/>
      <w:r>
        <w:t>Economic</w:t>
      </w:r>
      <w:proofErr w:type="spellEnd"/>
      <w:r>
        <w:t xml:space="preserve"> </w:t>
      </w:r>
      <w:proofErr w:type="spellStart"/>
      <w:r>
        <w:t>growth</w:t>
      </w:r>
      <w:proofErr w:type="spellEnd"/>
      <w:r>
        <w:t>.</w:t>
      </w:r>
    </w:p>
    <w:p w:rsidR="00DA6B1C" w:rsidRDefault="00DA6B1C" w:rsidP="00DA6B1C">
      <w:pPr>
        <w:pStyle w:val="Prrafodelista"/>
        <w:numPr>
          <w:ilvl w:val="1"/>
          <w:numId w:val="2"/>
        </w:numPr>
      </w:pPr>
      <w:proofErr w:type="spellStart"/>
      <w:r>
        <w:t>Inflation</w:t>
      </w:r>
      <w:proofErr w:type="spellEnd"/>
      <w:r>
        <w:t>.</w:t>
      </w:r>
    </w:p>
    <w:p w:rsidR="00DA6B1C" w:rsidRDefault="00DA6B1C" w:rsidP="00DA6B1C">
      <w:pPr>
        <w:pStyle w:val="Prrafodelista"/>
        <w:numPr>
          <w:ilvl w:val="1"/>
          <w:numId w:val="2"/>
        </w:numPr>
      </w:pPr>
      <w:proofErr w:type="spellStart"/>
      <w:r>
        <w:t>Unemployement</w:t>
      </w:r>
      <w:proofErr w:type="spellEnd"/>
      <w:r>
        <w:t>.</w:t>
      </w:r>
    </w:p>
    <w:p w:rsidR="00DA6B1C" w:rsidRDefault="00DA6B1C" w:rsidP="00DA6B1C">
      <w:pPr>
        <w:pStyle w:val="Prrafodelista"/>
        <w:numPr>
          <w:ilvl w:val="1"/>
          <w:numId w:val="2"/>
        </w:numPr>
      </w:pPr>
      <w:proofErr w:type="spellStart"/>
      <w:r>
        <w:t>Distribution</w:t>
      </w:r>
      <w:proofErr w:type="spellEnd"/>
      <w:r>
        <w:t xml:space="preserve"> of </w:t>
      </w:r>
      <w:proofErr w:type="spellStart"/>
      <w:r>
        <w:t>wealth</w:t>
      </w:r>
      <w:proofErr w:type="spellEnd"/>
      <w:r>
        <w:t>.</w:t>
      </w:r>
    </w:p>
    <w:p w:rsidR="00DA6B1C" w:rsidRDefault="00DA6B1C" w:rsidP="00DA6B1C">
      <w:pPr>
        <w:pStyle w:val="Prrafodelista"/>
        <w:ind w:left="1800"/>
      </w:pPr>
    </w:p>
    <w:p w:rsidR="00DA6B1C" w:rsidRDefault="00DA6B1C" w:rsidP="00DA6B1C">
      <w:pPr>
        <w:pStyle w:val="Prrafodelista"/>
        <w:numPr>
          <w:ilvl w:val="0"/>
          <w:numId w:val="1"/>
        </w:numPr>
      </w:pPr>
      <w:r>
        <w:t xml:space="preserve">Concept of country </w:t>
      </w:r>
      <w:proofErr w:type="spellStart"/>
      <w:r>
        <w:t>risk</w:t>
      </w:r>
      <w:proofErr w:type="spellEnd"/>
      <w:r>
        <w:t>.</w:t>
      </w:r>
    </w:p>
    <w:p w:rsidR="00DA6B1C" w:rsidRDefault="00DA6B1C" w:rsidP="00DA6B1C">
      <w:pPr>
        <w:pStyle w:val="Prrafodelista"/>
        <w:numPr>
          <w:ilvl w:val="0"/>
          <w:numId w:val="2"/>
        </w:numPr>
        <w:jc w:val="both"/>
      </w:pPr>
      <w:proofErr w:type="spellStart"/>
      <w:r>
        <w:t>It</w:t>
      </w:r>
      <w:proofErr w:type="spellEnd"/>
      <w:r>
        <w:t xml:space="preserve"> </w:t>
      </w:r>
      <w:proofErr w:type="spellStart"/>
      <w:r>
        <w:t>considers</w:t>
      </w:r>
      <w:proofErr w:type="spellEnd"/>
      <w:r>
        <w:t xml:space="preserve"> </w:t>
      </w:r>
      <w:proofErr w:type="spellStart"/>
      <w:r>
        <w:t>the</w:t>
      </w:r>
      <w:proofErr w:type="spellEnd"/>
      <w:r>
        <w:t xml:space="preserve"> </w:t>
      </w:r>
      <w:proofErr w:type="spellStart"/>
      <w:r>
        <w:t>posibility</w:t>
      </w:r>
      <w:proofErr w:type="spellEnd"/>
      <w:r>
        <w:t xml:space="preserve"> of </w:t>
      </w:r>
      <w:proofErr w:type="spellStart"/>
      <w:r>
        <w:t>damages</w:t>
      </w:r>
      <w:proofErr w:type="spellEnd"/>
      <w:r>
        <w:t xml:space="preserve"> </w:t>
      </w:r>
      <w:proofErr w:type="spellStart"/>
      <w:r>
        <w:t>or</w:t>
      </w:r>
      <w:proofErr w:type="spellEnd"/>
      <w:r>
        <w:t xml:space="preserve"> loses </w:t>
      </w:r>
      <w:proofErr w:type="spellStart"/>
      <w:r>
        <w:t>that</w:t>
      </w:r>
      <w:proofErr w:type="spellEnd"/>
      <w:r>
        <w:t xml:space="preserve"> </w:t>
      </w:r>
      <w:proofErr w:type="spellStart"/>
      <w:r>
        <w:t>may</w:t>
      </w:r>
      <w:proofErr w:type="spellEnd"/>
      <w:r>
        <w:t xml:space="preserve"> </w:t>
      </w:r>
      <w:proofErr w:type="spellStart"/>
      <w:r>
        <w:t>arise</w:t>
      </w:r>
      <w:proofErr w:type="spellEnd"/>
      <w:r>
        <w:t xml:space="preserve"> </w:t>
      </w:r>
      <w:proofErr w:type="spellStart"/>
      <w:r>
        <w:t>out</w:t>
      </w:r>
      <w:proofErr w:type="spellEnd"/>
      <w:r>
        <w:t xml:space="preserve"> of </w:t>
      </w:r>
      <w:proofErr w:type="spellStart"/>
      <w:r>
        <w:t>any</w:t>
      </w:r>
      <w:proofErr w:type="spellEnd"/>
      <w:r>
        <w:t xml:space="preserve"> International </w:t>
      </w:r>
      <w:proofErr w:type="spellStart"/>
      <w:r>
        <w:t>transaction</w:t>
      </w:r>
      <w:proofErr w:type="spellEnd"/>
      <w:r>
        <w:t xml:space="preserve"> to </w:t>
      </w:r>
      <w:proofErr w:type="spellStart"/>
      <w:r>
        <w:t>take</w:t>
      </w:r>
      <w:proofErr w:type="spellEnd"/>
      <w:r>
        <w:t xml:space="preserve"> place </w:t>
      </w:r>
      <w:proofErr w:type="spellStart"/>
      <w:r>
        <w:t>with</w:t>
      </w:r>
      <w:proofErr w:type="spellEnd"/>
      <w:r>
        <w:t xml:space="preserve"> a </w:t>
      </w:r>
      <w:proofErr w:type="spellStart"/>
      <w:r>
        <w:t>party</w:t>
      </w:r>
      <w:proofErr w:type="spellEnd"/>
      <w:r>
        <w:t xml:space="preserve"> </w:t>
      </w:r>
      <w:proofErr w:type="spellStart"/>
      <w:r>
        <w:t>domiciled</w:t>
      </w:r>
      <w:proofErr w:type="spellEnd"/>
      <w:r>
        <w:t xml:space="preserve"> in </w:t>
      </w:r>
      <w:proofErr w:type="spellStart"/>
      <w:r>
        <w:t>any</w:t>
      </w:r>
      <w:proofErr w:type="spellEnd"/>
      <w:r>
        <w:t xml:space="preserve"> </w:t>
      </w:r>
      <w:proofErr w:type="spellStart"/>
      <w:r>
        <w:t>different</w:t>
      </w:r>
      <w:proofErr w:type="spellEnd"/>
      <w:r>
        <w:t xml:space="preserve"> country, </w:t>
      </w:r>
      <w:proofErr w:type="spellStart"/>
      <w:r>
        <w:t>where</w:t>
      </w:r>
      <w:proofErr w:type="spellEnd"/>
      <w:r>
        <w:t xml:space="preserve"> </w:t>
      </w:r>
      <w:proofErr w:type="spellStart"/>
      <w:r>
        <w:t>the</w:t>
      </w:r>
      <w:proofErr w:type="spellEnd"/>
      <w:r>
        <w:t xml:space="preserve"> </w:t>
      </w:r>
      <w:proofErr w:type="spellStart"/>
      <w:r>
        <w:t>compliance</w:t>
      </w:r>
      <w:proofErr w:type="spellEnd"/>
      <w:r>
        <w:t xml:space="preserve"> to </w:t>
      </w:r>
      <w:proofErr w:type="spellStart"/>
      <w:r>
        <w:t>the</w:t>
      </w:r>
      <w:proofErr w:type="spellEnd"/>
      <w:r>
        <w:t xml:space="preserve"> </w:t>
      </w:r>
      <w:proofErr w:type="spellStart"/>
      <w:r>
        <w:t>obligations</w:t>
      </w:r>
      <w:proofErr w:type="spellEnd"/>
      <w:r>
        <w:t xml:space="preserve"> </w:t>
      </w:r>
      <w:proofErr w:type="spellStart"/>
      <w:r>
        <w:t>generated</w:t>
      </w:r>
      <w:proofErr w:type="spellEnd"/>
      <w:r>
        <w:t xml:space="preserve"> </w:t>
      </w:r>
      <w:proofErr w:type="spellStart"/>
      <w:r>
        <w:t>by</w:t>
      </w:r>
      <w:proofErr w:type="spellEnd"/>
      <w:r>
        <w:t xml:space="preserve"> </w:t>
      </w:r>
      <w:proofErr w:type="spellStart"/>
      <w:r>
        <w:t>that</w:t>
      </w:r>
      <w:proofErr w:type="spellEnd"/>
      <w:r>
        <w:t xml:space="preserve"> </w:t>
      </w:r>
      <w:proofErr w:type="spellStart"/>
      <w:r>
        <w:t>transaction</w:t>
      </w:r>
      <w:proofErr w:type="spellEnd"/>
      <w:r>
        <w:t xml:space="preserve"> (International </w:t>
      </w:r>
      <w:proofErr w:type="spellStart"/>
      <w:r>
        <w:t>contract</w:t>
      </w:r>
      <w:proofErr w:type="spellEnd"/>
      <w:r>
        <w:t xml:space="preserve">) </w:t>
      </w:r>
      <w:proofErr w:type="spellStart"/>
      <w:r>
        <w:t>may</w:t>
      </w:r>
      <w:proofErr w:type="spellEnd"/>
      <w:r>
        <w:t xml:space="preserve"> be </w:t>
      </w:r>
      <w:proofErr w:type="spellStart"/>
      <w:r>
        <w:t>subject</w:t>
      </w:r>
      <w:proofErr w:type="spellEnd"/>
      <w:r>
        <w:t xml:space="preserve"> to </w:t>
      </w:r>
      <w:proofErr w:type="spellStart"/>
      <w:r>
        <w:t>different</w:t>
      </w:r>
      <w:proofErr w:type="spellEnd"/>
      <w:r>
        <w:t xml:space="preserve"> </w:t>
      </w:r>
      <w:proofErr w:type="spellStart"/>
      <w:r>
        <w:t>legislation</w:t>
      </w:r>
      <w:proofErr w:type="spellEnd"/>
      <w:r>
        <w:t xml:space="preserve">, </w:t>
      </w:r>
      <w:proofErr w:type="spellStart"/>
      <w:r>
        <w:t>language</w:t>
      </w:r>
      <w:proofErr w:type="spellEnd"/>
      <w:r>
        <w:t xml:space="preserve">, </w:t>
      </w:r>
      <w:proofErr w:type="spellStart"/>
      <w:r>
        <w:t>Courts</w:t>
      </w:r>
      <w:proofErr w:type="spellEnd"/>
      <w:r>
        <w:t xml:space="preserve"> </w:t>
      </w:r>
      <w:proofErr w:type="spellStart"/>
      <w:r>
        <w:t>or</w:t>
      </w:r>
      <w:proofErr w:type="spellEnd"/>
      <w:r>
        <w:t xml:space="preserve"> </w:t>
      </w:r>
      <w:proofErr w:type="spellStart"/>
      <w:r>
        <w:t>any</w:t>
      </w:r>
      <w:proofErr w:type="spellEnd"/>
      <w:r>
        <w:t xml:space="preserve"> </w:t>
      </w:r>
      <w:proofErr w:type="spellStart"/>
      <w:r>
        <w:t>other</w:t>
      </w:r>
      <w:proofErr w:type="spellEnd"/>
      <w:r>
        <w:t xml:space="preserve"> particular </w:t>
      </w:r>
      <w:proofErr w:type="spellStart"/>
      <w:r>
        <w:t>institution</w:t>
      </w:r>
      <w:proofErr w:type="spellEnd"/>
      <w:r>
        <w:t xml:space="preserve"> </w:t>
      </w:r>
      <w:proofErr w:type="spellStart"/>
      <w:r>
        <w:t>that</w:t>
      </w:r>
      <w:proofErr w:type="spellEnd"/>
      <w:r>
        <w:t xml:space="preserve"> </w:t>
      </w:r>
      <w:proofErr w:type="spellStart"/>
      <w:r>
        <w:t>may</w:t>
      </w:r>
      <w:proofErr w:type="spellEnd"/>
      <w:r>
        <w:t xml:space="preserve"> impide </w:t>
      </w:r>
      <w:proofErr w:type="spellStart"/>
      <w:r>
        <w:t>such</w:t>
      </w:r>
      <w:proofErr w:type="spellEnd"/>
      <w:r>
        <w:t xml:space="preserve"> </w:t>
      </w:r>
      <w:proofErr w:type="spellStart"/>
      <w:r>
        <w:t>compliance</w:t>
      </w:r>
      <w:proofErr w:type="spellEnd"/>
      <w:r>
        <w:t xml:space="preserve">, </w:t>
      </w:r>
      <w:proofErr w:type="spellStart"/>
      <w:r>
        <w:t>totally</w:t>
      </w:r>
      <w:proofErr w:type="spellEnd"/>
      <w:r>
        <w:t xml:space="preserve"> </w:t>
      </w:r>
      <w:proofErr w:type="spellStart"/>
      <w:r>
        <w:t>or</w:t>
      </w:r>
      <w:proofErr w:type="spellEnd"/>
      <w:r>
        <w:t xml:space="preserve"> </w:t>
      </w:r>
      <w:proofErr w:type="spellStart"/>
      <w:r>
        <w:t>partially</w:t>
      </w:r>
      <w:proofErr w:type="spellEnd"/>
      <w:r>
        <w:t>.</w:t>
      </w:r>
    </w:p>
    <w:p w:rsidR="005D3468" w:rsidRDefault="005D3468" w:rsidP="00DA6B1C">
      <w:pPr>
        <w:pStyle w:val="Prrafodelista"/>
        <w:numPr>
          <w:ilvl w:val="0"/>
          <w:numId w:val="2"/>
        </w:numPr>
        <w:jc w:val="both"/>
      </w:pPr>
      <w:proofErr w:type="spellStart"/>
      <w:r>
        <w:t>The</w:t>
      </w:r>
      <w:proofErr w:type="spellEnd"/>
      <w:r>
        <w:t xml:space="preserve"> country </w:t>
      </w:r>
      <w:proofErr w:type="spellStart"/>
      <w:r>
        <w:t>risk</w:t>
      </w:r>
      <w:proofErr w:type="spellEnd"/>
      <w:r>
        <w:t xml:space="preserve"> </w:t>
      </w:r>
      <w:proofErr w:type="spellStart"/>
      <w:r>
        <w:t>clasification</w:t>
      </w:r>
      <w:proofErr w:type="spellEnd"/>
      <w:r>
        <w:t xml:space="preserve"> </w:t>
      </w:r>
      <w:proofErr w:type="spellStart"/>
      <w:r>
        <w:t>tryes</w:t>
      </w:r>
      <w:proofErr w:type="spellEnd"/>
      <w:r>
        <w:t xml:space="preserve"> to </w:t>
      </w:r>
      <w:proofErr w:type="spellStart"/>
      <w:r>
        <w:t>measure</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damages</w:t>
      </w:r>
      <w:proofErr w:type="spellEnd"/>
      <w:r>
        <w:t xml:space="preserve"> </w:t>
      </w:r>
      <w:proofErr w:type="spellStart"/>
      <w:r>
        <w:t>that</w:t>
      </w:r>
      <w:proofErr w:type="spellEnd"/>
      <w:r>
        <w:t xml:space="preserve"> </w:t>
      </w:r>
      <w:proofErr w:type="spellStart"/>
      <w:r>
        <w:t>may</w:t>
      </w:r>
      <w:proofErr w:type="spellEnd"/>
      <w:r>
        <w:t xml:space="preserve"> </w:t>
      </w:r>
      <w:proofErr w:type="spellStart"/>
      <w:r>
        <w:t>face</w:t>
      </w:r>
      <w:proofErr w:type="spellEnd"/>
      <w:r>
        <w:t xml:space="preserve"> a </w:t>
      </w:r>
      <w:proofErr w:type="spellStart"/>
      <w:r>
        <w:t>party</w:t>
      </w:r>
      <w:proofErr w:type="spellEnd"/>
      <w:r>
        <w:t xml:space="preserve"> </w:t>
      </w:r>
      <w:proofErr w:type="spellStart"/>
      <w:r>
        <w:t>when</w:t>
      </w:r>
      <w:proofErr w:type="spellEnd"/>
      <w:r>
        <w:t xml:space="preserve"> </w:t>
      </w:r>
      <w:proofErr w:type="spellStart"/>
      <w:r>
        <w:t>entering</w:t>
      </w:r>
      <w:proofErr w:type="spellEnd"/>
      <w:r>
        <w:t xml:space="preserve"> </w:t>
      </w:r>
      <w:proofErr w:type="spellStart"/>
      <w:r>
        <w:t>into</w:t>
      </w:r>
      <w:proofErr w:type="spellEnd"/>
      <w:r>
        <w:t xml:space="preserve"> </w:t>
      </w:r>
      <w:proofErr w:type="spellStart"/>
      <w:r>
        <w:t>that</w:t>
      </w:r>
      <w:proofErr w:type="spellEnd"/>
      <w:r>
        <w:t xml:space="preserve"> </w:t>
      </w:r>
      <w:proofErr w:type="spellStart"/>
      <w:r>
        <w:t>type</w:t>
      </w:r>
      <w:proofErr w:type="spellEnd"/>
      <w:r>
        <w:t xml:space="preserve"> of International </w:t>
      </w:r>
      <w:proofErr w:type="spellStart"/>
      <w:r>
        <w:t>contract</w:t>
      </w:r>
      <w:proofErr w:type="spellEnd"/>
      <w:r>
        <w:t>.</w:t>
      </w:r>
    </w:p>
    <w:p w:rsidR="005D3468" w:rsidRDefault="005D3468" w:rsidP="00DA6B1C">
      <w:pPr>
        <w:pStyle w:val="Prrafodelista"/>
        <w:numPr>
          <w:ilvl w:val="0"/>
          <w:numId w:val="2"/>
        </w:numPr>
        <w:jc w:val="both"/>
      </w:pPr>
      <w:r>
        <w:t xml:space="preserve">A </w:t>
      </w:r>
      <w:proofErr w:type="spellStart"/>
      <w:r>
        <w:t>low</w:t>
      </w:r>
      <w:proofErr w:type="spellEnd"/>
      <w:r>
        <w:t xml:space="preserve"> </w:t>
      </w:r>
      <w:proofErr w:type="spellStart"/>
      <w:r>
        <w:t>risk</w:t>
      </w:r>
      <w:proofErr w:type="spellEnd"/>
      <w:r>
        <w:t xml:space="preserve"> </w:t>
      </w:r>
      <w:proofErr w:type="spellStart"/>
      <w:r>
        <w:t>means</w:t>
      </w:r>
      <w:proofErr w:type="spellEnd"/>
      <w:r>
        <w:t xml:space="preserve"> </w:t>
      </w:r>
      <w:proofErr w:type="spellStart"/>
      <w:r>
        <w:t>that</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damages</w:t>
      </w:r>
      <w:proofErr w:type="spellEnd"/>
      <w:r>
        <w:t xml:space="preserve"> of </w:t>
      </w:r>
      <w:proofErr w:type="spellStart"/>
      <w:r>
        <w:t>making</w:t>
      </w:r>
      <w:proofErr w:type="spellEnd"/>
      <w:r>
        <w:t xml:space="preserve"> </w:t>
      </w:r>
      <w:proofErr w:type="spellStart"/>
      <w:r>
        <w:t>contracts</w:t>
      </w:r>
      <w:proofErr w:type="spellEnd"/>
      <w:r>
        <w:t xml:space="preserve"> in a country are </w:t>
      </w:r>
      <w:proofErr w:type="spellStart"/>
      <w:r>
        <w:t>rather</w:t>
      </w:r>
      <w:proofErr w:type="spellEnd"/>
      <w:r>
        <w:t xml:space="preserve"> </w:t>
      </w:r>
      <w:proofErr w:type="spellStart"/>
      <w:r>
        <w:t>low</w:t>
      </w:r>
      <w:proofErr w:type="spellEnd"/>
      <w:r>
        <w:t>.</w:t>
      </w:r>
    </w:p>
    <w:p w:rsidR="0030147C" w:rsidRDefault="0030147C" w:rsidP="0030147C">
      <w:pPr>
        <w:pStyle w:val="Prrafodelista"/>
        <w:ind w:left="1080"/>
        <w:jc w:val="both"/>
      </w:pPr>
    </w:p>
    <w:p w:rsidR="0030147C" w:rsidRDefault="0030147C" w:rsidP="0030147C">
      <w:pPr>
        <w:pStyle w:val="Prrafodelista"/>
        <w:numPr>
          <w:ilvl w:val="0"/>
          <w:numId w:val="1"/>
        </w:numPr>
        <w:jc w:val="both"/>
      </w:pPr>
      <w:r>
        <w:t xml:space="preserve">Country </w:t>
      </w:r>
      <w:proofErr w:type="spellStart"/>
      <w:r>
        <w:t>risk</w:t>
      </w:r>
      <w:proofErr w:type="spellEnd"/>
      <w:r>
        <w:t xml:space="preserve"> </w:t>
      </w:r>
      <w:proofErr w:type="spellStart"/>
      <w:r>
        <w:t>classification</w:t>
      </w:r>
      <w:proofErr w:type="spellEnd"/>
      <w:r>
        <w:t>.</w:t>
      </w:r>
    </w:p>
    <w:p w:rsidR="0030147C" w:rsidRDefault="0030147C" w:rsidP="0030147C">
      <w:pPr>
        <w:pStyle w:val="Prrafodelista"/>
        <w:numPr>
          <w:ilvl w:val="0"/>
          <w:numId w:val="2"/>
        </w:numPr>
        <w:jc w:val="both"/>
      </w:pPr>
      <w:r>
        <w:t>International agencies.</w:t>
      </w:r>
    </w:p>
    <w:p w:rsidR="0030147C" w:rsidRDefault="0030147C" w:rsidP="0030147C">
      <w:pPr>
        <w:pStyle w:val="Prrafodelista"/>
        <w:numPr>
          <w:ilvl w:val="0"/>
          <w:numId w:val="2"/>
        </w:numPr>
        <w:jc w:val="both"/>
      </w:pPr>
      <w:r>
        <w:t>International Banks.</w:t>
      </w:r>
    </w:p>
    <w:p w:rsidR="0030147C" w:rsidRDefault="0030147C" w:rsidP="0030147C">
      <w:pPr>
        <w:pStyle w:val="Prrafodelista"/>
        <w:numPr>
          <w:ilvl w:val="0"/>
          <w:numId w:val="2"/>
        </w:numPr>
        <w:jc w:val="both"/>
      </w:pPr>
      <w:proofErr w:type="spellStart"/>
      <w:r>
        <w:t>Governments</w:t>
      </w:r>
      <w:proofErr w:type="spellEnd"/>
      <w:r>
        <w:t>.</w:t>
      </w:r>
    </w:p>
    <w:p w:rsidR="0030147C" w:rsidRDefault="0030147C" w:rsidP="0030147C">
      <w:pPr>
        <w:pStyle w:val="Prrafodelista"/>
        <w:numPr>
          <w:ilvl w:val="0"/>
          <w:numId w:val="2"/>
        </w:numPr>
        <w:jc w:val="both"/>
      </w:pPr>
      <w:r>
        <w:t xml:space="preserve">International </w:t>
      </w:r>
      <w:proofErr w:type="spellStart"/>
      <w:r>
        <w:t>organizations</w:t>
      </w:r>
      <w:proofErr w:type="spellEnd"/>
      <w:r>
        <w:t>.</w:t>
      </w:r>
    </w:p>
    <w:p w:rsidR="005D3468" w:rsidRDefault="005D3468" w:rsidP="005D3468">
      <w:pPr>
        <w:jc w:val="both"/>
      </w:pPr>
    </w:p>
    <w:p w:rsidR="005D3468" w:rsidRDefault="005D3468" w:rsidP="005D3468">
      <w:pPr>
        <w:jc w:val="both"/>
      </w:pPr>
    </w:p>
    <w:p w:rsidR="005D3468" w:rsidRDefault="005D3468" w:rsidP="005D3468">
      <w:pPr>
        <w:jc w:val="both"/>
      </w:pPr>
    </w:p>
    <w:p w:rsidR="00DA6B1C" w:rsidRDefault="005D3468" w:rsidP="005D3468">
      <w:pPr>
        <w:pStyle w:val="Prrafodelista"/>
        <w:numPr>
          <w:ilvl w:val="0"/>
          <w:numId w:val="1"/>
        </w:numPr>
        <w:jc w:val="both"/>
      </w:pPr>
      <w:r w:rsidRPr="0012568E">
        <w:lastRenderedPageBreak/>
        <w:t xml:space="preserve">OECD </w:t>
      </w:r>
      <w:proofErr w:type="spellStart"/>
      <w:r w:rsidRPr="0012568E">
        <w:t>Clasification</w:t>
      </w:r>
      <w:proofErr w:type="spellEnd"/>
      <w:r w:rsidRPr="0012568E">
        <w:t>.</w:t>
      </w:r>
      <w:r w:rsidR="0012568E">
        <w:t xml:space="preserve"> </w:t>
      </w:r>
      <w:proofErr w:type="spellStart"/>
      <w:r w:rsidR="0012568E">
        <w:t>Published</w:t>
      </w:r>
      <w:proofErr w:type="spellEnd"/>
      <w:r w:rsidR="0012568E">
        <w:t xml:space="preserve"> in </w:t>
      </w:r>
      <w:proofErr w:type="spellStart"/>
      <w:r w:rsidR="0012568E">
        <w:t>the</w:t>
      </w:r>
      <w:proofErr w:type="spellEnd"/>
      <w:r w:rsidR="0012568E">
        <w:t xml:space="preserve"> web page of OECD.</w:t>
      </w:r>
      <w:bookmarkStart w:id="0" w:name="_GoBack"/>
      <w:bookmarkEnd w:id="0"/>
    </w:p>
    <w:p w:rsidR="0012568E" w:rsidRPr="0012568E" w:rsidRDefault="0012568E" w:rsidP="0012568E">
      <w:pPr>
        <w:pStyle w:val="Prrafodelista"/>
        <w:jc w:val="both"/>
      </w:pPr>
    </w:p>
    <w:p w:rsidR="005D3468" w:rsidRPr="0012568E" w:rsidRDefault="005D3468" w:rsidP="005D3468">
      <w:pPr>
        <w:pStyle w:val="Prrafodelista"/>
        <w:spacing w:after="0" w:line="240" w:lineRule="auto"/>
        <w:ind w:right="150"/>
        <w:outlineLvl w:val="1"/>
        <w:rPr>
          <w:rFonts w:eastAsia="Times New Roman" w:cs="Arial"/>
          <w:bCs/>
          <w:color w:val="111111"/>
          <w:kern w:val="36"/>
          <w:lang w:val="en" w:eastAsia="es-CL"/>
        </w:rPr>
      </w:pPr>
      <w:r w:rsidRPr="0012568E">
        <w:rPr>
          <w:rFonts w:eastAsia="Times New Roman" w:cs="Arial"/>
          <w:bCs/>
          <w:color w:val="111111"/>
          <w:kern w:val="36"/>
          <w:lang w:val="en" w:eastAsia="es-CL"/>
        </w:rPr>
        <w:t>Country Risk Classification</w:t>
      </w:r>
    </w:p>
    <w:p w:rsidR="005D3468" w:rsidRPr="0012568E" w:rsidRDefault="005D3468" w:rsidP="0012568E">
      <w:pPr>
        <w:pStyle w:val="Prrafodelista"/>
        <w:shd w:val="clear" w:color="auto" w:fill="F9F9F9"/>
        <w:spacing w:before="240" w:after="75" w:line="240" w:lineRule="auto"/>
        <w:ind w:right="150"/>
        <w:rPr>
          <w:rFonts w:eastAsia="Times New Roman" w:cs="Arial"/>
          <w:color w:val="222222"/>
          <w:lang w:val="en" w:eastAsia="es-CL"/>
        </w:rPr>
      </w:pPr>
      <w:r w:rsidRPr="0012568E">
        <w:rPr>
          <w:rFonts w:eastAsia="Times New Roman" w:cs="Arial"/>
          <w:color w:val="222222"/>
          <w:lang w:val="en" w:eastAsia="es-CL"/>
        </w:rPr>
        <w:t> </w:t>
      </w:r>
    </w:p>
    <w:p w:rsidR="005D3468" w:rsidRPr="0012568E" w:rsidRDefault="005D3468" w:rsidP="005D3468">
      <w:pPr>
        <w:pStyle w:val="Prrafodelista"/>
        <w:shd w:val="clear" w:color="auto" w:fill="F9F9F9"/>
        <w:spacing w:before="240" w:after="75" w:line="240" w:lineRule="auto"/>
        <w:ind w:right="150"/>
        <w:rPr>
          <w:rFonts w:eastAsia="Times New Roman" w:cs="Arial"/>
          <w:color w:val="222222"/>
          <w:lang w:val="en" w:eastAsia="es-CL"/>
        </w:rPr>
      </w:pPr>
      <w:r w:rsidRPr="0012568E">
        <w:rPr>
          <w:rFonts w:eastAsia="Times New Roman" w:cs="Arial"/>
          <w:color w:val="222222"/>
          <w:lang w:val="en" w:eastAsia="es-CL"/>
        </w:rPr>
        <w:t>Last Updated: 18 October 2013</w:t>
      </w:r>
    </w:p>
    <w:p w:rsidR="005D3468" w:rsidRPr="0012568E" w:rsidRDefault="005D3468" w:rsidP="005D3468">
      <w:pPr>
        <w:pStyle w:val="Prrafodelista"/>
        <w:shd w:val="clear" w:color="auto" w:fill="F9F9F9"/>
        <w:spacing w:before="240" w:after="348" w:line="240" w:lineRule="auto"/>
        <w:ind w:right="150"/>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The country risk classifications of the Participants to the Arrangement on Officially Supported Export Credits (the "</w:t>
      </w:r>
      <w:hyperlink r:id="rId6" w:history="1">
        <w:r w:rsidRPr="0012568E">
          <w:rPr>
            <w:rFonts w:eastAsia="Times New Roman" w:cs="Arial"/>
            <w:color w:val="2973BD"/>
            <w:u w:val="single"/>
            <w:lang w:val="en" w:eastAsia="es-CL"/>
          </w:rPr>
          <w:t>Arrangement</w:t>
        </w:r>
      </w:hyperlink>
      <w:r w:rsidRPr="0012568E">
        <w:rPr>
          <w:rFonts w:eastAsia="Times New Roman" w:cs="Arial"/>
          <w:color w:val="222222"/>
          <w:lang w:val="en" w:eastAsia="es-CL"/>
        </w:rPr>
        <w:t>") are one of the most fundamental building blocks of the Arrangement rules on minimum premium rates for credit risk. They are produced solely for the purpose of setting minimum premium rates for transactions supported according to the Arrangement and they are made public so that any country that is not an OECD Member or a Participant to the Arrangement may observe the rules of the Arrangement if they so choose. Neither the Participants to the Arrangement or the OECD Secretariat endorse nor encourage their use for any other purpose.</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The country risk classifications are meant to reflect </w:t>
      </w:r>
      <w:r w:rsidRPr="0012568E">
        <w:rPr>
          <w:rFonts w:eastAsia="Times New Roman" w:cs="Arial"/>
          <w:b/>
          <w:bCs/>
          <w:color w:val="222222"/>
          <w:u w:val="single"/>
          <w:lang w:val="en" w:eastAsia="es-CL"/>
        </w:rPr>
        <w:t>country risk</w:t>
      </w:r>
      <w:r w:rsidRPr="0012568E">
        <w:rPr>
          <w:rFonts w:eastAsia="Times New Roman" w:cs="Arial"/>
          <w:color w:val="222222"/>
          <w:lang w:val="en" w:eastAsia="es-CL"/>
        </w:rPr>
        <w:t>. Under the Participants’ system, country risk is composed of transfer and convertibility risk (</w:t>
      </w:r>
      <w:r w:rsidRPr="0012568E">
        <w:rPr>
          <w:rFonts w:eastAsia="Times New Roman" w:cs="Arial"/>
          <w:i/>
          <w:iCs/>
          <w:color w:val="222222"/>
          <w:lang w:val="en" w:eastAsia="es-CL"/>
        </w:rPr>
        <w:t>i.e.</w:t>
      </w:r>
      <w:r w:rsidRPr="0012568E">
        <w:rPr>
          <w:rFonts w:eastAsia="Times New Roman" w:cs="Arial"/>
          <w:color w:val="222222"/>
          <w:lang w:val="en" w:eastAsia="es-CL"/>
        </w:rPr>
        <w:t> the risk a government imposes capital or exchange controls that prevent an entity from converting local currency into foreign currency and/or transferring funds to creditors located outside the country) and cases of force majeure (</w:t>
      </w:r>
      <w:r w:rsidRPr="0012568E">
        <w:rPr>
          <w:rFonts w:eastAsia="Times New Roman" w:cs="Arial"/>
          <w:i/>
          <w:iCs/>
          <w:color w:val="222222"/>
          <w:lang w:val="en" w:eastAsia="es-CL"/>
        </w:rPr>
        <w:t>e.g.</w:t>
      </w:r>
      <w:r w:rsidRPr="0012568E">
        <w:rPr>
          <w:rFonts w:eastAsia="Times New Roman" w:cs="Arial"/>
          <w:color w:val="222222"/>
          <w:lang w:val="en" w:eastAsia="es-CL"/>
        </w:rPr>
        <w:t> war, expropriation, revolution, civil disturbance, floods, earthquakes).</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The country risk classifications </w:t>
      </w:r>
      <w:r w:rsidRPr="0012568E">
        <w:rPr>
          <w:rFonts w:eastAsia="Times New Roman" w:cs="Arial"/>
          <w:b/>
          <w:bCs/>
          <w:color w:val="222222"/>
          <w:u w:val="single"/>
          <w:lang w:val="en" w:eastAsia="es-CL"/>
        </w:rPr>
        <w:t>are not</w:t>
      </w:r>
      <w:r w:rsidRPr="0012568E">
        <w:rPr>
          <w:rFonts w:eastAsia="Times New Roman" w:cs="Arial"/>
          <w:color w:val="222222"/>
          <w:lang w:val="en" w:eastAsia="es-CL"/>
        </w:rPr>
        <w:t> sovereign risk classifications and should not, therefore, be compared with the sovereign risk classifications of private credit rating agencies (CRAs). Conceptually, they are more similar to the "country ceilings" that are produced by some of the major CRAs.</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According to the rules of the Arrangement, two groups of countries are not classified. The first group is not classified for administrative purposes and is comprised of very small countries that do not generally receive official export credit support. For such countries, Participants are free to apply the country risk classification which they deem appropriate.</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The second group of countries is comprised of High Income OECD countries and other High Income Euro-zone countries. Transactions involving obligors in these countries (and any countries classified in Category 0) are subject to the market pricing disciplines set out in Article 24c) and Annex XIII of the Arrangement.</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All other countries (and a limited number of supranational multilateral/regional financial institutions) are classified into one of eight categories (0-7) through the application of a two-step methodology:</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1.      The Country Risk Assessment Model (CRAM) produces a quantitative assessment of country credit risk based on three groups of risk indicators (the payment experience of the Participants, the financial situation and the economic situation).</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lastRenderedPageBreak/>
        <w:t>2.      A qualitative assessment of the CRAM results by country risk experts from OECD members, considered country-by-country to integrate political risk and/or other risk factors not taken (fully) into account by the CRAM.</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Accordingly, the final country risk classifications are achieved through a thorough discussion amongst experts and a consensus-building process.</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 xml:space="preserve">The country risk experts meet several times a year. These meetings are </w:t>
      </w:r>
      <w:proofErr w:type="spellStart"/>
      <w:r w:rsidRPr="0012568E">
        <w:rPr>
          <w:rFonts w:eastAsia="Times New Roman" w:cs="Arial"/>
          <w:color w:val="222222"/>
          <w:lang w:val="en" w:eastAsia="es-CL"/>
        </w:rPr>
        <w:t>organised</w:t>
      </w:r>
      <w:proofErr w:type="spellEnd"/>
      <w:r w:rsidRPr="0012568E">
        <w:rPr>
          <w:rFonts w:eastAsia="Times New Roman" w:cs="Arial"/>
          <w:color w:val="222222"/>
          <w:lang w:val="en" w:eastAsia="es-CL"/>
        </w:rPr>
        <w:t xml:space="preserve"> so as to guarantee that every country is reviewed whenever a fundamental change is observed and at least once a year. Although the meetings and details of the CRAM are confidential and no official reports of the deliberations are made publicly available, the list of country risk classifications is published after each meeting.</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 xml:space="preserve">Please note that the Participants’ Country Risk Classifications came into existence in 1999 when the </w:t>
      </w:r>
      <w:proofErr w:type="spellStart"/>
      <w:r w:rsidRPr="0012568E">
        <w:rPr>
          <w:rFonts w:eastAsia="Times New Roman" w:cs="Arial"/>
          <w:color w:val="222222"/>
          <w:lang w:val="en" w:eastAsia="es-CL"/>
        </w:rPr>
        <w:t>Knaepen</w:t>
      </w:r>
      <w:proofErr w:type="spellEnd"/>
      <w:r w:rsidRPr="0012568E">
        <w:rPr>
          <w:rFonts w:eastAsia="Times New Roman" w:cs="Arial"/>
          <w:color w:val="222222"/>
          <w:lang w:val="en" w:eastAsia="es-CL"/>
        </w:rPr>
        <w:t xml:space="preserve"> Package on minimum premium rates was agreed; accordingly no historical classifications are available for prior years.</w:t>
      </w:r>
    </w:p>
    <w:p w:rsidR="005D3468" w:rsidRPr="0012568E" w:rsidRDefault="005D3468" w:rsidP="0012568E">
      <w:pPr>
        <w:pStyle w:val="Prrafodelista"/>
        <w:shd w:val="clear" w:color="auto" w:fill="F9F9F9"/>
        <w:spacing w:before="100" w:beforeAutospacing="1" w:after="240" w:line="240" w:lineRule="auto"/>
        <w:ind w:right="150"/>
        <w:jc w:val="both"/>
        <w:outlineLvl w:val="2"/>
        <w:rPr>
          <w:rFonts w:eastAsia="Times New Roman" w:cs="Arial"/>
          <w:color w:val="111111"/>
          <w:lang w:val="en" w:eastAsia="es-CL"/>
        </w:rPr>
      </w:pPr>
    </w:p>
    <w:p w:rsidR="005D3468" w:rsidRPr="0012568E" w:rsidRDefault="005D3468" w:rsidP="0012568E">
      <w:pPr>
        <w:pStyle w:val="Prrafodelista"/>
        <w:shd w:val="clear" w:color="auto" w:fill="F9F9F9"/>
        <w:spacing w:before="100" w:beforeAutospacing="1" w:after="240" w:line="240" w:lineRule="auto"/>
        <w:ind w:right="150"/>
        <w:jc w:val="both"/>
        <w:outlineLvl w:val="2"/>
        <w:rPr>
          <w:rFonts w:eastAsia="Times New Roman" w:cs="Arial"/>
          <w:color w:val="111111"/>
          <w:lang w:val="en" w:eastAsia="es-CL"/>
        </w:rPr>
      </w:pPr>
    </w:p>
    <w:p w:rsidR="005D3468" w:rsidRPr="0012568E" w:rsidRDefault="005D3468" w:rsidP="0012568E">
      <w:pPr>
        <w:pStyle w:val="Prrafodelista"/>
        <w:shd w:val="clear" w:color="auto" w:fill="F9F9F9"/>
        <w:spacing w:before="100" w:beforeAutospacing="1" w:after="240" w:line="240" w:lineRule="auto"/>
        <w:ind w:right="150"/>
        <w:jc w:val="both"/>
        <w:outlineLvl w:val="2"/>
        <w:rPr>
          <w:rFonts w:eastAsia="Times New Roman" w:cs="Arial"/>
          <w:color w:val="111111"/>
          <w:lang w:val="en" w:eastAsia="es-CL"/>
        </w:rPr>
      </w:pPr>
    </w:p>
    <w:p w:rsidR="005D3468" w:rsidRPr="0012568E" w:rsidRDefault="005D3468" w:rsidP="0012568E">
      <w:pPr>
        <w:pStyle w:val="Prrafodelista"/>
        <w:shd w:val="clear" w:color="auto" w:fill="F9F9F9"/>
        <w:spacing w:before="100" w:beforeAutospacing="1" w:after="240" w:line="240" w:lineRule="auto"/>
        <w:ind w:right="150"/>
        <w:jc w:val="both"/>
        <w:outlineLvl w:val="2"/>
        <w:rPr>
          <w:rFonts w:eastAsia="Times New Roman" w:cs="Arial"/>
          <w:color w:val="111111"/>
          <w:lang w:val="en" w:eastAsia="es-CL"/>
        </w:rPr>
      </w:pPr>
      <w:r w:rsidRPr="0012568E">
        <w:rPr>
          <w:rFonts w:eastAsia="Times New Roman" w:cs="Arial"/>
          <w:color w:val="111111"/>
          <w:lang w:val="en" w:eastAsia="es-CL"/>
        </w:rPr>
        <w:t>Current Country Risk Classifications</w:t>
      </w:r>
    </w:p>
    <w:p w:rsidR="0012568E" w:rsidRPr="0012568E" w:rsidRDefault="0012568E"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hyperlink r:id="rId7" w:tooltip="Home%20%BB%20OECD.org%20%BB%20Directorates%20%BB%20Trade%20and%20Agriculture%20Directorate%20%BB%20Export%20credits%3A%20Country%20Risk%20Classification%20%28CRE%29%3A%20Prevailing%20" w:history="1">
        <w:r w:rsidRPr="0012568E">
          <w:rPr>
            <w:rFonts w:eastAsia="Times New Roman" w:cs="Arial"/>
            <w:color w:val="2973BD"/>
            <w:u w:val="single"/>
            <w:lang w:val="en" w:eastAsia="es-CL"/>
          </w:rPr>
          <w:t>Prevailing Country Risk Classification (PDF)</w:t>
        </w:r>
      </w:hyperlink>
    </w:p>
    <w:p w:rsidR="0012568E" w:rsidRPr="0012568E" w:rsidRDefault="0012568E"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hyperlink r:id="rId8" w:tooltip="Home%20%BB%20OECD.org%20%BB%20Directorates%20%BB%20Trade%20and%20Agriculture%20Directorate%20%BB%20Export%20credits%3A%20Classifications%20of%20Multilateral/Regional%20Financial%20Institutions" w:history="1">
        <w:r w:rsidRPr="0012568E">
          <w:rPr>
            <w:rFonts w:eastAsia="Times New Roman" w:cs="Arial"/>
            <w:color w:val="2973BD"/>
            <w:u w:val="single"/>
            <w:lang w:val="en" w:eastAsia="es-CL"/>
          </w:rPr>
          <w:t xml:space="preserve">Prevailing Classifications of Multilateral/Regional Financial Institutions </w:t>
        </w:r>
      </w:hyperlink>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 </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r w:rsidRPr="0012568E">
        <w:rPr>
          <w:rFonts w:eastAsia="Times New Roman" w:cs="Arial"/>
          <w:color w:val="222222"/>
          <w:lang w:val="en" w:eastAsia="es-CL"/>
        </w:rPr>
        <w:t> </w:t>
      </w: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hyperlink r:id="rId9" w:history="1">
        <w:r w:rsidRPr="0012568E">
          <w:rPr>
            <w:rFonts w:eastAsia="Times New Roman" w:cs="Arial"/>
            <w:color w:val="2973BD"/>
            <w:u w:val="single"/>
            <w:lang w:val="en" w:eastAsia="es-CL"/>
          </w:rPr>
          <w:t>Historical Country Risk Classification</w:t>
        </w:r>
      </w:hyperlink>
    </w:p>
    <w:p w:rsidR="0012568E" w:rsidRPr="0012568E" w:rsidRDefault="0012568E" w:rsidP="0012568E">
      <w:pPr>
        <w:pStyle w:val="Prrafodelista"/>
        <w:shd w:val="clear" w:color="auto" w:fill="F9F9F9"/>
        <w:spacing w:before="240" w:after="75" w:line="240" w:lineRule="auto"/>
        <w:ind w:right="150"/>
        <w:jc w:val="both"/>
        <w:rPr>
          <w:rFonts w:eastAsia="Times New Roman" w:cs="Arial"/>
          <w:color w:val="222222"/>
          <w:lang w:val="en" w:eastAsia="es-CL"/>
        </w:rPr>
      </w:pPr>
    </w:p>
    <w:p w:rsidR="005D3468" w:rsidRPr="0012568E" w:rsidRDefault="005D3468" w:rsidP="0012568E">
      <w:pPr>
        <w:pStyle w:val="Prrafodelista"/>
        <w:shd w:val="clear" w:color="auto" w:fill="F9F9F9"/>
        <w:spacing w:before="240" w:after="75" w:line="240" w:lineRule="auto"/>
        <w:ind w:right="150"/>
        <w:jc w:val="both"/>
        <w:rPr>
          <w:rFonts w:eastAsia="Times New Roman" w:cs="Arial"/>
          <w:color w:val="222222"/>
          <w:lang w:val="en" w:eastAsia="es-CL"/>
        </w:rPr>
      </w:pPr>
      <w:hyperlink r:id="rId10" w:history="1">
        <w:r w:rsidRPr="0012568E">
          <w:rPr>
            <w:rFonts w:eastAsia="Times New Roman" w:cs="Arial"/>
            <w:color w:val="2973BD"/>
            <w:u w:val="single"/>
            <w:lang w:val="en" w:eastAsia="es-CL"/>
          </w:rPr>
          <w:t>Historical Risk Classifications of Multilateral/Regional Financial Institutions</w:t>
        </w:r>
      </w:hyperlink>
    </w:p>
    <w:p w:rsidR="005D3468" w:rsidRDefault="005D3468" w:rsidP="0012568E">
      <w:pPr>
        <w:pStyle w:val="Prrafodelista"/>
        <w:jc w:val="both"/>
      </w:pPr>
    </w:p>
    <w:p w:rsidR="008B550D" w:rsidRPr="00130050" w:rsidRDefault="008B550D" w:rsidP="0012568E">
      <w:pPr>
        <w:pStyle w:val="Prrafodelista"/>
        <w:ind w:left="1800"/>
        <w:jc w:val="both"/>
      </w:pPr>
    </w:p>
    <w:sectPr w:rsidR="008B550D" w:rsidRPr="001300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27A4"/>
    <w:multiLevelType w:val="hybridMultilevel"/>
    <w:tmpl w:val="0A8A9B5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6DC1F94"/>
    <w:multiLevelType w:val="hybridMultilevel"/>
    <w:tmpl w:val="3FCCD4B8"/>
    <w:lvl w:ilvl="0" w:tplc="B3E6098A">
      <w:start w:val="25"/>
      <w:numFmt w:val="bullet"/>
      <w:lvlText w:val="-"/>
      <w:lvlJc w:val="left"/>
      <w:pPr>
        <w:ind w:left="1080" w:hanging="360"/>
      </w:pPr>
      <w:rPr>
        <w:rFonts w:ascii="Calibri" w:eastAsiaTheme="minorHAnsi" w:hAnsi="Calibri" w:cstheme="minorBidi"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50"/>
    <w:rsid w:val="0012568E"/>
    <w:rsid w:val="00130050"/>
    <w:rsid w:val="00184348"/>
    <w:rsid w:val="0030147C"/>
    <w:rsid w:val="005D3468"/>
    <w:rsid w:val="008B550D"/>
    <w:rsid w:val="00DA6B1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D3468"/>
    <w:pPr>
      <w:spacing w:before="100" w:beforeAutospacing="1" w:after="240" w:line="240" w:lineRule="auto"/>
      <w:outlineLvl w:val="2"/>
    </w:pPr>
    <w:rPr>
      <w:rFonts w:ascii="Times New Roman" w:eastAsia="Times New Roman" w:hAnsi="Times New Roman" w:cs="Times New Roman"/>
      <w:color w:val="111111"/>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050"/>
    <w:pPr>
      <w:ind w:left="720"/>
      <w:contextualSpacing/>
    </w:pPr>
  </w:style>
  <w:style w:type="character" w:customStyle="1" w:styleId="Ttulo3Car">
    <w:name w:val="Título 3 Car"/>
    <w:basedOn w:val="Fuentedeprrafopredeter"/>
    <w:link w:val="Ttulo3"/>
    <w:uiPriority w:val="9"/>
    <w:rsid w:val="005D3468"/>
    <w:rPr>
      <w:rFonts w:ascii="Times New Roman" w:eastAsia="Times New Roman" w:hAnsi="Times New Roman" w:cs="Times New Roman"/>
      <w:color w:val="111111"/>
      <w:sz w:val="36"/>
      <w:szCs w:val="36"/>
      <w:lang w:eastAsia="es-CL"/>
    </w:rPr>
  </w:style>
  <w:style w:type="character" w:styleId="Hipervnculo">
    <w:name w:val="Hyperlink"/>
    <w:basedOn w:val="Fuentedeprrafopredeter"/>
    <w:uiPriority w:val="99"/>
    <w:semiHidden/>
    <w:unhideWhenUsed/>
    <w:rsid w:val="005D3468"/>
    <w:rPr>
      <w:color w:val="2973BD"/>
      <w:u w:val="single"/>
    </w:rPr>
  </w:style>
  <w:style w:type="character" w:styleId="nfasis">
    <w:name w:val="Emphasis"/>
    <w:basedOn w:val="Fuentedeprrafopredeter"/>
    <w:uiPriority w:val="20"/>
    <w:qFormat/>
    <w:rsid w:val="005D3468"/>
    <w:rPr>
      <w:i/>
      <w:iCs/>
    </w:rPr>
  </w:style>
  <w:style w:type="character" w:styleId="Textoennegrita">
    <w:name w:val="Strong"/>
    <w:basedOn w:val="Fuentedeprrafopredeter"/>
    <w:uiPriority w:val="22"/>
    <w:qFormat/>
    <w:rsid w:val="005D34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D3468"/>
    <w:pPr>
      <w:spacing w:before="100" w:beforeAutospacing="1" w:after="240" w:line="240" w:lineRule="auto"/>
      <w:outlineLvl w:val="2"/>
    </w:pPr>
    <w:rPr>
      <w:rFonts w:ascii="Times New Roman" w:eastAsia="Times New Roman" w:hAnsi="Times New Roman" w:cs="Times New Roman"/>
      <w:color w:val="111111"/>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050"/>
    <w:pPr>
      <w:ind w:left="720"/>
      <w:contextualSpacing/>
    </w:pPr>
  </w:style>
  <w:style w:type="character" w:customStyle="1" w:styleId="Ttulo3Car">
    <w:name w:val="Título 3 Car"/>
    <w:basedOn w:val="Fuentedeprrafopredeter"/>
    <w:link w:val="Ttulo3"/>
    <w:uiPriority w:val="9"/>
    <w:rsid w:val="005D3468"/>
    <w:rPr>
      <w:rFonts w:ascii="Times New Roman" w:eastAsia="Times New Roman" w:hAnsi="Times New Roman" w:cs="Times New Roman"/>
      <w:color w:val="111111"/>
      <w:sz w:val="36"/>
      <w:szCs w:val="36"/>
      <w:lang w:eastAsia="es-CL"/>
    </w:rPr>
  </w:style>
  <w:style w:type="character" w:styleId="Hipervnculo">
    <w:name w:val="Hyperlink"/>
    <w:basedOn w:val="Fuentedeprrafopredeter"/>
    <w:uiPriority w:val="99"/>
    <w:semiHidden/>
    <w:unhideWhenUsed/>
    <w:rsid w:val="005D3468"/>
    <w:rPr>
      <w:color w:val="2973BD"/>
      <w:u w:val="single"/>
    </w:rPr>
  </w:style>
  <w:style w:type="character" w:styleId="nfasis">
    <w:name w:val="Emphasis"/>
    <w:basedOn w:val="Fuentedeprrafopredeter"/>
    <w:uiPriority w:val="20"/>
    <w:qFormat/>
    <w:rsid w:val="005D3468"/>
    <w:rPr>
      <w:i/>
      <w:iCs/>
    </w:rPr>
  </w:style>
  <w:style w:type="character" w:styleId="Textoennegrita">
    <w:name w:val="Strong"/>
    <w:basedOn w:val="Fuentedeprrafopredeter"/>
    <w:uiPriority w:val="22"/>
    <w:qFormat/>
    <w:rsid w:val="005D3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69678">
      <w:bodyDiv w:val="1"/>
      <w:marLeft w:val="0"/>
      <w:marRight w:val="0"/>
      <w:marTop w:val="0"/>
      <w:marBottom w:val="0"/>
      <w:divBdr>
        <w:top w:val="none" w:sz="0" w:space="0" w:color="auto"/>
        <w:left w:val="none" w:sz="0" w:space="0" w:color="auto"/>
        <w:bottom w:val="none" w:sz="0" w:space="0" w:color="auto"/>
        <w:right w:val="none" w:sz="0" w:space="0" w:color="auto"/>
      </w:divBdr>
      <w:divsChild>
        <w:div w:id="653947005">
          <w:marLeft w:val="0"/>
          <w:marRight w:val="0"/>
          <w:marTop w:val="0"/>
          <w:marBottom w:val="0"/>
          <w:divBdr>
            <w:top w:val="none" w:sz="0" w:space="0" w:color="auto"/>
            <w:left w:val="none" w:sz="0" w:space="0" w:color="auto"/>
            <w:bottom w:val="none" w:sz="0" w:space="0" w:color="auto"/>
            <w:right w:val="none" w:sz="0" w:space="0" w:color="auto"/>
          </w:divBdr>
          <w:divsChild>
            <w:div w:id="1698658747">
              <w:marLeft w:val="0"/>
              <w:marRight w:val="0"/>
              <w:marTop w:val="0"/>
              <w:marBottom w:val="0"/>
              <w:divBdr>
                <w:top w:val="none" w:sz="0" w:space="0" w:color="auto"/>
                <w:left w:val="none" w:sz="0" w:space="0" w:color="auto"/>
                <w:bottom w:val="none" w:sz="0" w:space="0" w:color="auto"/>
                <w:right w:val="none" w:sz="0" w:space="0" w:color="auto"/>
              </w:divBdr>
              <w:divsChild>
                <w:div w:id="1755542162">
                  <w:marLeft w:val="0"/>
                  <w:marRight w:val="150"/>
                  <w:marTop w:val="0"/>
                  <w:marBottom w:val="0"/>
                  <w:divBdr>
                    <w:top w:val="none" w:sz="0" w:space="0" w:color="auto"/>
                    <w:left w:val="none" w:sz="0" w:space="0" w:color="auto"/>
                    <w:bottom w:val="none" w:sz="0" w:space="0" w:color="auto"/>
                    <w:right w:val="none" w:sz="0" w:space="0" w:color="auto"/>
                  </w:divBdr>
                  <w:divsChild>
                    <w:div w:id="2068264683">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tad/xcred/cre-crc-mli-current.pdf" TargetMode="External"/><Relationship Id="rId3" Type="http://schemas.microsoft.com/office/2007/relationships/stylesWithEffects" Target="stylesWithEffects.xml"/><Relationship Id="rId7" Type="http://schemas.openxmlformats.org/officeDocument/2006/relationships/hyperlink" Target="http://www.oecd.org/tad/xcred/cre-crc-current-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org/tad/xcred/theexportcreditsarrangementtext.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ecd.org/tad/xcred/cre-crc-mli-historique.pdf" TargetMode="External"/><Relationship Id="rId4" Type="http://schemas.openxmlformats.org/officeDocument/2006/relationships/settings" Target="settings.xml"/><Relationship Id="rId9" Type="http://schemas.openxmlformats.org/officeDocument/2006/relationships/hyperlink" Target="http://www.oecd.org/tad/xcred/2014-01-31-cre-crc-historical-internet-engl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1175</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JLLB</dc:creator>
  <cp:lastModifiedBy>JLLB</cp:lastModifiedBy>
  <cp:revision>2</cp:revision>
  <cp:lastPrinted>2014-03-25T19:58:00Z</cp:lastPrinted>
  <dcterms:created xsi:type="dcterms:W3CDTF">2014-03-25T19:10:00Z</dcterms:created>
  <dcterms:modified xsi:type="dcterms:W3CDTF">2014-03-25T19:59:00Z</dcterms:modified>
</cp:coreProperties>
</file>