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63" w:rsidRPr="00FF15D2" w:rsidRDefault="00023D63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bookmarkStart w:id="0" w:name="_GoBack"/>
      <w:bookmarkEnd w:id="0"/>
      <w:r w:rsidRPr="00FF15D2">
        <w:rPr>
          <w:rFonts w:ascii="Verdana" w:hAnsi="Verdana"/>
          <w:sz w:val="16"/>
          <w:szCs w:val="16"/>
          <w:lang w:val="es-ES_tradnl"/>
        </w:rPr>
        <w:t>Universidad de Chile</w:t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  <w:t xml:space="preserve">                      Prof. Francisco González H.</w:t>
      </w:r>
      <w:r w:rsidRPr="00FF15D2">
        <w:rPr>
          <w:rFonts w:ascii="Verdana" w:hAnsi="Verdana"/>
          <w:sz w:val="16"/>
          <w:szCs w:val="16"/>
          <w:lang w:val="es-ES_tradnl"/>
        </w:rPr>
        <w:tab/>
        <w:t xml:space="preserve">         </w:t>
      </w:r>
    </w:p>
    <w:p w:rsidR="00023D63" w:rsidRPr="00FF15D2" w:rsidRDefault="00023D63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Facultad de Derecho</w:t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  <w:t xml:space="preserve">  </w:t>
      </w:r>
    </w:p>
    <w:p w:rsidR="00023D63" w:rsidRPr="00FF15D2" w:rsidRDefault="00023D63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Derecho Civil VII</w:t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</w:r>
      <w:r w:rsidRPr="00FF15D2">
        <w:rPr>
          <w:rFonts w:ascii="Verdana" w:hAnsi="Verdana"/>
          <w:sz w:val="16"/>
          <w:szCs w:val="16"/>
          <w:lang w:val="es-ES_tradnl"/>
        </w:rPr>
        <w:tab/>
        <w:t xml:space="preserve">        </w:t>
      </w:r>
    </w:p>
    <w:p w:rsidR="00023D63" w:rsidRPr="00FF15D2" w:rsidRDefault="00023D63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Pr="00FF15D2" w:rsidRDefault="00023D63" w:rsidP="009C6A28">
      <w:pPr>
        <w:spacing w:after="0" w:line="240" w:lineRule="auto"/>
        <w:jc w:val="center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Control de Lectura (4/6 jueves 31.05.2012)</w:t>
      </w:r>
    </w:p>
    <w:p w:rsidR="00023D63" w:rsidRPr="00FF15D2" w:rsidRDefault="00023D63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Pr="00FF15D2" w:rsidRDefault="00023D63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NOMBRE__________________________________________________________________NOTA: __________________________.</w:t>
      </w:r>
    </w:p>
    <w:p w:rsidR="00023D63" w:rsidRPr="00FF15D2" w:rsidRDefault="00023D63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Pr="00FF15D2" w:rsidRDefault="00023D63" w:rsidP="00B65720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 xml:space="preserve">El control de lectura: (a) Consta de 21 preguntas de selección múltiple; (b) debe ser contestado en un máximo de 21 minutos; (c) cada pregunta tiene solamente una respuesta correcta;  (d) por cada 3 respuestas incorrectas se descontará 1 correcta y, (e) debe responderse con lápiz pasta o tinta para optar a </w:t>
      </w:r>
      <w:proofErr w:type="spellStart"/>
      <w:r w:rsidRPr="00FF15D2">
        <w:rPr>
          <w:rFonts w:ascii="Verdana" w:hAnsi="Verdana"/>
          <w:sz w:val="16"/>
          <w:szCs w:val="16"/>
          <w:lang w:val="es-ES_tradnl"/>
        </w:rPr>
        <w:t>recorrección</w:t>
      </w:r>
      <w:proofErr w:type="spellEnd"/>
      <w:r w:rsidRPr="00FF15D2">
        <w:rPr>
          <w:rFonts w:ascii="Verdana" w:hAnsi="Verdana"/>
          <w:sz w:val="16"/>
          <w:szCs w:val="16"/>
          <w:lang w:val="es-ES_tradnl"/>
        </w:rPr>
        <w:t xml:space="preserve">. 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1</w:t>
      </w:r>
      <w:r w:rsidRPr="00FF15D2">
        <w:rPr>
          <w:rFonts w:ascii="Verdana" w:hAnsi="Verdana"/>
          <w:sz w:val="16"/>
          <w:szCs w:val="16"/>
          <w:lang w:val="es-ES_tradnl"/>
        </w:rPr>
        <w:t>. Según Barros, el hecho de que en el mandato una persona confíe a otra la gestión de una o más negocios, implica: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a) Que el mandato es de naturaleza fiduciaria;</w:t>
      </w:r>
      <w:r w:rsidRPr="00FF15D2">
        <w:rPr>
          <w:rFonts w:ascii="Verdana" w:hAnsi="Verdana"/>
          <w:sz w:val="16"/>
          <w:szCs w:val="16"/>
          <w:lang w:val="es-ES_tradnl"/>
        </w:rPr>
        <w:br/>
        <w:t xml:space="preserve">b) Es un contrato </w:t>
      </w:r>
      <w:r w:rsidRPr="00FF15D2">
        <w:rPr>
          <w:rFonts w:ascii="Verdana" w:hAnsi="Verdana"/>
          <w:i/>
          <w:sz w:val="16"/>
          <w:szCs w:val="16"/>
          <w:lang w:val="es-ES_tradnl"/>
        </w:rPr>
        <w:t xml:space="preserve">intuito </w:t>
      </w:r>
      <w:proofErr w:type="spellStart"/>
      <w:r w:rsidRPr="00FF15D2">
        <w:rPr>
          <w:rFonts w:ascii="Verdana" w:hAnsi="Verdana"/>
          <w:i/>
          <w:sz w:val="16"/>
          <w:szCs w:val="16"/>
          <w:lang w:val="es-ES_tradnl"/>
        </w:rPr>
        <w:t>personae</w:t>
      </w:r>
      <w:proofErr w:type="spellEnd"/>
      <w:r w:rsidRPr="00FF15D2">
        <w:rPr>
          <w:rFonts w:ascii="Verdana" w:hAnsi="Verdana"/>
          <w:sz w:val="16"/>
          <w:szCs w:val="16"/>
          <w:lang w:val="es-ES_tradnl"/>
        </w:rPr>
        <w:t xml:space="preserve"> desde el punto de vista del mandante solamente;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c) Las causales de terminación del mandato son una manifestación de la naturaleza fiduciaria del contrato;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d) Todas las anteriores;</w:t>
      </w:r>
      <w:r w:rsidRPr="00FF15D2">
        <w:rPr>
          <w:rFonts w:ascii="Verdana" w:hAnsi="Verdana"/>
          <w:sz w:val="16"/>
          <w:szCs w:val="16"/>
          <w:lang w:val="es-ES_tradnl"/>
        </w:rPr>
        <w:br/>
      </w:r>
      <w:r w:rsidRPr="00FF15D2">
        <w:rPr>
          <w:rFonts w:ascii="Verdana" w:hAnsi="Verdana"/>
          <w:b/>
          <w:sz w:val="16"/>
          <w:szCs w:val="16"/>
          <w:lang w:val="es-ES_tradnl"/>
        </w:rPr>
        <w:t>e) Sólo a) y c).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</w:p>
    <w:p w:rsidR="00023D63" w:rsidRPr="00FF15D2" w:rsidRDefault="00023D63" w:rsidP="0043419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2</w:t>
      </w:r>
      <w:r w:rsidRPr="00FF15D2">
        <w:rPr>
          <w:rFonts w:ascii="Verdana" w:hAnsi="Verdana"/>
          <w:sz w:val="16"/>
          <w:szCs w:val="16"/>
          <w:lang w:val="es-ES_tradnl"/>
        </w:rPr>
        <w:t xml:space="preserve">. </w:t>
      </w:r>
      <w:r>
        <w:rPr>
          <w:rFonts w:ascii="Verdana" w:hAnsi="Verdana"/>
          <w:sz w:val="16"/>
          <w:szCs w:val="16"/>
          <w:lang w:val="es-ES_tradnl"/>
        </w:rPr>
        <w:t>El</w:t>
      </w:r>
      <w:r w:rsidRPr="00FF15D2">
        <w:rPr>
          <w:rFonts w:ascii="Verdana" w:hAnsi="Verdana"/>
          <w:sz w:val="16"/>
          <w:szCs w:val="16"/>
          <w:lang w:val="es-ES_tradnl"/>
        </w:rPr>
        <w:t xml:space="preserve"> 2116 del Código Civil, </w:t>
      </w:r>
      <w:r>
        <w:rPr>
          <w:rFonts w:ascii="Verdana" w:hAnsi="Verdana"/>
          <w:sz w:val="16"/>
          <w:szCs w:val="16"/>
          <w:lang w:val="es-ES_tradnl"/>
        </w:rPr>
        <w:t xml:space="preserve">señala que </w:t>
      </w:r>
      <w:r w:rsidRPr="00FF15D2">
        <w:rPr>
          <w:rFonts w:ascii="Verdana" w:hAnsi="Verdana"/>
          <w:sz w:val="16"/>
          <w:szCs w:val="16"/>
          <w:lang w:val="es-ES_tradnl"/>
        </w:rPr>
        <w:t>el contrato de mandato:</w:t>
      </w:r>
    </w:p>
    <w:p w:rsidR="00023D63" w:rsidRPr="00FF15D2" w:rsidRDefault="00023D63" w:rsidP="0043419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a) Tiene como elemento de la esencia la representación;</w:t>
      </w:r>
      <w:r w:rsidRPr="00FF15D2">
        <w:rPr>
          <w:rFonts w:ascii="Verdana" w:hAnsi="Verdana"/>
          <w:sz w:val="16"/>
          <w:szCs w:val="16"/>
          <w:lang w:val="es-ES_tradnl"/>
        </w:rPr>
        <w:br/>
      </w:r>
      <w:r w:rsidRPr="00FF15D2">
        <w:rPr>
          <w:rFonts w:ascii="Verdana" w:hAnsi="Verdana"/>
          <w:b/>
          <w:sz w:val="16"/>
          <w:szCs w:val="16"/>
          <w:lang w:val="es-ES_tradnl"/>
        </w:rPr>
        <w:t>b) Se confía la gestión de uno o más negocios por cuenta y riesgo de quien encarga;</w:t>
      </w:r>
    </w:p>
    <w:p w:rsidR="00023D63" w:rsidRPr="00FF15D2" w:rsidRDefault="00023D63" w:rsidP="0043419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c) Quien encarga se llama procurador;</w:t>
      </w:r>
    </w:p>
    <w:p w:rsidR="00023D63" w:rsidRPr="00FF15D2" w:rsidRDefault="00023D63" w:rsidP="0043419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d) Todas las anteriores;</w:t>
      </w:r>
      <w:r w:rsidRPr="00FF15D2">
        <w:rPr>
          <w:rFonts w:ascii="Verdana" w:hAnsi="Verdana"/>
          <w:sz w:val="16"/>
          <w:szCs w:val="16"/>
          <w:lang w:val="es-ES_tradnl"/>
        </w:rPr>
        <w:br/>
        <w:t>e) Sólo b) y c).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3</w:t>
      </w:r>
      <w:r w:rsidRPr="00FF15D2">
        <w:rPr>
          <w:rFonts w:ascii="Verdana" w:hAnsi="Verdana"/>
          <w:sz w:val="16"/>
          <w:szCs w:val="16"/>
          <w:lang w:val="es-ES_tradnl"/>
        </w:rPr>
        <w:t>. Según Barros, son características del mandato: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a) Ser naturalmente consensual;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b) Ser naturalmente bilateral;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c) Ser naturalmente remunerado;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d) Bajo ciertas circunstancias es dependiente;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FF15D2">
        <w:rPr>
          <w:rFonts w:ascii="Verdana" w:hAnsi="Verdana"/>
          <w:b/>
          <w:sz w:val="16"/>
          <w:szCs w:val="16"/>
          <w:lang w:val="es-ES_tradnl"/>
        </w:rPr>
        <w:t>e) Todas las anteriores.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4</w:t>
      </w:r>
      <w:r w:rsidRPr="00FF15D2">
        <w:rPr>
          <w:rFonts w:ascii="Verdana" w:hAnsi="Verdana"/>
          <w:sz w:val="16"/>
          <w:szCs w:val="16"/>
          <w:lang w:val="es-ES_tradnl"/>
        </w:rPr>
        <w:t>. Según Barros, el encargo que se ejecuta mediante el mandato: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a) Puede recaer en la realización de actos jurídicos;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b) Puede recaer en la ejecución de actos materiales;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c) En general, todo tipo de actos jurídicos se pueden realizar mediante mandato;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d) El concepto de negocio que recoge el Código Civil es amplio;</w:t>
      </w:r>
      <w:r w:rsidRPr="00FF15D2">
        <w:rPr>
          <w:rFonts w:ascii="Verdana" w:hAnsi="Verdana"/>
          <w:sz w:val="16"/>
          <w:szCs w:val="16"/>
          <w:lang w:val="es-ES_tradnl"/>
        </w:rPr>
        <w:br/>
      </w:r>
      <w:r w:rsidRPr="00FF15D2">
        <w:rPr>
          <w:rFonts w:ascii="Verdana" w:hAnsi="Verdana"/>
          <w:b/>
          <w:sz w:val="16"/>
          <w:szCs w:val="16"/>
          <w:lang w:val="es-ES_tradnl"/>
        </w:rPr>
        <w:t>e) Todas las anteriores.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5</w:t>
      </w:r>
      <w:r w:rsidRPr="00FF15D2">
        <w:rPr>
          <w:rFonts w:ascii="Verdana" w:hAnsi="Verdana"/>
          <w:sz w:val="16"/>
          <w:szCs w:val="16"/>
          <w:lang w:val="es-ES_tradnl"/>
        </w:rPr>
        <w:t xml:space="preserve">. Según Barros, ¿cuál(es) de los siguientes enunciados sobre el interés de las partes en el contrato de mandato es </w:t>
      </w:r>
      <w:r w:rsidRPr="00FF15D2">
        <w:rPr>
          <w:rFonts w:ascii="Verdana" w:hAnsi="Verdana"/>
          <w:sz w:val="16"/>
          <w:szCs w:val="16"/>
          <w:u w:val="single"/>
          <w:lang w:val="es-ES_tradnl"/>
        </w:rPr>
        <w:t>falso</w:t>
      </w:r>
      <w:r w:rsidRPr="00FF15D2">
        <w:rPr>
          <w:rFonts w:ascii="Verdana" w:hAnsi="Verdana"/>
          <w:sz w:val="16"/>
          <w:szCs w:val="16"/>
          <w:lang w:val="es-ES_tradnl"/>
        </w:rPr>
        <w:t>?: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 xml:space="preserve">a) Usualmente el </w:t>
      </w:r>
      <w:proofErr w:type="spellStart"/>
      <w:r>
        <w:rPr>
          <w:rFonts w:ascii="Verdana" w:hAnsi="Verdana"/>
          <w:sz w:val="16"/>
          <w:szCs w:val="16"/>
          <w:lang w:val="es-ES_tradnl"/>
        </w:rPr>
        <w:t>mandanto</w:t>
      </w:r>
      <w:proofErr w:type="spellEnd"/>
      <w:r w:rsidRPr="00FF15D2">
        <w:rPr>
          <w:rFonts w:ascii="Verdana" w:hAnsi="Verdana"/>
          <w:sz w:val="16"/>
          <w:szCs w:val="16"/>
          <w:lang w:val="es-ES_tradnl"/>
        </w:rPr>
        <w:t xml:space="preserve"> será en interés del mandante;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FF15D2">
        <w:rPr>
          <w:rFonts w:ascii="Verdana" w:hAnsi="Verdana"/>
          <w:b/>
          <w:sz w:val="16"/>
          <w:szCs w:val="16"/>
          <w:lang w:val="es-ES_tradnl"/>
        </w:rPr>
        <w:t>b) Puede ser sólo en interés del mandatario;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c) Puede serlo en interés del mandante y de un tercero;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d) Todas las anteriores;</w:t>
      </w:r>
      <w:r w:rsidRPr="00FF15D2">
        <w:rPr>
          <w:rFonts w:ascii="Verdana" w:hAnsi="Verdana"/>
          <w:sz w:val="16"/>
          <w:szCs w:val="16"/>
          <w:lang w:val="es-ES_tradnl"/>
        </w:rPr>
        <w:br/>
        <w:t>e) Ninguna de las anteriores.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t>6</w:t>
      </w:r>
      <w:r w:rsidRPr="00FF15D2">
        <w:rPr>
          <w:rFonts w:ascii="Verdana" w:hAnsi="Verdana"/>
          <w:sz w:val="16"/>
          <w:szCs w:val="16"/>
          <w:lang w:val="es-MX"/>
        </w:rPr>
        <w:t>. Según Barros, son características de la obligación de rendir cuenta: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a) Consiste en informar acerca de la gestión del encargo;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b) Procesalmente, la cuenta es objeto de arbitraje forzoso;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c) El obligado es el mandante;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d) Todas las anteriores;</w:t>
      </w:r>
    </w:p>
    <w:p w:rsidR="00023D63" w:rsidRPr="00FF15D2" w:rsidRDefault="00023D63" w:rsidP="00E52C7A">
      <w:pPr>
        <w:pStyle w:val="Sinespaciado"/>
        <w:rPr>
          <w:rFonts w:ascii="Verdana" w:hAnsi="Verdana"/>
          <w:b/>
          <w:sz w:val="16"/>
          <w:szCs w:val="16"/>
          <w:lang w:val="es-MX"/>
        </w:rPr>
      </w:pPr>
      <w:r w:rsidRPr="00FF15D2">
        <w:rPr>
          <w:rFonts w:ascii="Verdana" w:hAnsi="Verdana"/>
          <w:b/>
          <w:sz w:val="16"/>
          <w:szCs w:val="16"/>
          <w:lang w:val="es-MX"/>
        </w:rPr>
        <w:t>e) Sólo a) y b).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t>7</w:t>
      </w:r>
      <w:r w:rsidRPr="00FF15D2">
        <w:rPr>
          <w:rFonts w:ascii="Verdana" w:hAnsi="Verdana"/>
          <w:sz w:val="16"/>
          <w:szCs w:val="16"/>
          <w:lang w:val="es-MX"/>
        </w:rPr>
        <w:t>. Según Barros, el mandato es por regla general consensual, salvo: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a) El mandato judicial;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b) El mandato para celebrar matrimonio;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c) Los mandatos otorgados por la mujer al marido para realizar actos que requieren su autorización, referidos a bienes sociales o a bienes de la mujer;</w:t>
      </w:r>
    </w:p>
    <w:p w:rsidR="00023D63" w:rsidRPr="00FF15D2" w:rsidRDefault="00023D63" w:rsidP="00E52C7A">
      <w:pPr>
        <w:pStyle w:val="Sinespaciado"/>
        <w:rPr>
          <w:rFonts w:ascii="Verdana" w:hAnsi="Verdana"/>
          <w:b/>
          <w:sz w:val="16"/>
          <w:szCs w:val="16"/>
          <w:lang w:val="es-MX"/>
        </w:rPr>
      </w:pPr>
      <w:r w:rsidRPr="00FF15D2">
        <w:rPr>
          <w:rFonts w:ascii="Verdana" w:hAnsi="Verdana"/>
          <w:b/>
          <w:sz w:val="16"/>
          <w:szCs w:val="16"/>
          <w:lang w:val="es-MX"/>
        </w:rPr>
        <w:t>d) Todas las anteriores;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e) Sólo a) y c).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t>8</w:t>
      </w:r>
      <w:r w:rsidRPr="00FF15D2">
        <w:rPr>
          <w:rFonts w:ascii="Verdana" w:hAnsi="Verdana"/>
          <w:sz w:val="16"/>
          <w:szCs w:val="16"/>
          <w:lang w:val="es-MX"/>
        </w:rPr>
        <w:t xml:space="preserve">. Según Barros, </w:t>
      </w:r>
      <w:r w:rsidRPr="00FF15D2">
        <w:rPr>
          <w:rFonts w:ascii="Verdana" w:hAnsi="Verdana"/>
          <w:sz w:val="16"/>
          <w:szCs w:val="16"/>
          <w:u w:val="single"/>
          <w:lang w:val="es-MX"/>
        </w:rPr>
        <w:t>NO</w:t>
      </w:r>
      <w:r w:rsidRPr="00FF15D2">
        <w:rPr>
          <w:rFonts w:ascii="Verdana" w:hAnsi="Verdana"/>
          <w:sz w:val="16"/>
          <w:szCs w:val="16"/>
          <w:lang w:val="es-MX"/>
        </w:rPr>
        <w:t xml:space="preserve"> son obligaciones del mandante: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a) Proveer de fondos al mandatario;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 xml:space="preserve">b) Pagar la remuneración estipulada </w:t>
      </w:r>
      <w:r>
        <w:rPr>
          <w:rFonts w:ascii="Verdana" w:hAnsi="Verdana"/>
          <w:sz w:val="16"/>
          <w:szCs w:val="16"/>
          <w:lang w:val="es-MX"/>
        </w:rPr>
        <w:t xml:space="preserve">o usual </w:t>
      </w:r>
      <w:r w:rsidRPr="00FF15D2">
        <w:rPr>
          <w:rFonts w:ascii="Verdana" w:hAnsi="Verdana"/>
          <w:sz w:val="16"/>
          <w:szCs w:val="16"/>
          <w:lang w:val="es-MX"/>
        </w:rPr>
        <w:t>al mandatario;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b/>
          <w:sz w:val="16"/>
          <w:szCs w:val="16"/>
          <w:lang w:val="es-MX"/>
        </w:rPr>
        <w:t>c) Rendir cuenta de su gestión</w:t>
      </w:r>
      <w:r w:rsidRPr="00FF15D2">
        <w:rPr>
          <w:rFonts w:ascii="Verdana" w:hAnsi="Verdana"/>
          <w:sz w:val="16"/>
          <w:szCs w:val="16"/>
          <w:lang w:val="es-MX"/>
        </w:rPr>
        <w:t>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d) Rembolsar los gastos y anticipos de dinero con intereses y reajustes, en el evento de que el mandatario haya incurrido en gastos sin haberle proveído fondos el mandante;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e) Todas las anteriores.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t>9</w:t>
      </w:r>
      <w:r w:rsidRPr="00FF15D2">
        <w:rPr>
          <w:rFonts w:ascii="Verdana" w:hAnsi="Verdana"/>
          <w:sz w:val="16"/>
          <w:szCs w:val="16"/>
          <w:lang w:val="es-MX"/>
        </w:rPr>
        <w:t>. Según Barros, son efectos jurídicos del mandatario que actúa sin poder suficiente: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a) El acto realizado por el mandatario con un tercero le será inoponible al mandante;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b) No obstante lo señalado en a), el mandante puede ratificar el acto expresa o tácitamente;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c) Puede obligar al mandante en la medida que opere una agencia oficiosa si el negocio ha sido bien administrado;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d</w:t>
      </w:r>
      <w:r w:rsidRPr="00FF15D2">
        <w:rPr>
          <w:rFonts w:ascii="Verdana" w:hAnsi="Verdana"/>
          <w:b/>
          <w:sz w:val="16"/>
          <w:szCs w:val="16"/>
          <w:lang w:val="es-MX"/>
        </w:rPr>
        <w:t>) Todas las anteriores;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e) Ninguna de las anteriores.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</w:p>
    <w:p w:rsidR="00023D63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t>10</w:t>
      </w:r>
      <w:r w:rsidRPr="00FF15D2">
        <w:rPr>
          <w:rFonts w:ascii="Verdana" w:hAnsi="Verdana"/>
          <w:sz w:val="16"/>
          <w:szCs w:val="16"/>
          <w:lang w:val="es-MX"/>
        </w:rPr>
        <w:t xml:space="preserve">. </w:t>
      </w:r>
      <w:r>
        <w:rPr>
          <w:rFonts w:ascii="Verdana" w:hAnsi="Verdana"/>
          <w:sz w:val="16"/>
          <w:szCs w:val="16"/>
          <w:lang w:val="es-MX"/>
        </w:rPr>
        <w:t>El artículo 2160 señala que el mandante cumplirá las obligaciones:</w:t>
      </w:r>
      <w:r>
        <w:rPr>
          <w:rFonts w:ascii="Verdana" w:hAnsi="Verdana"/>
          <w:sz w:val="16"/>
          <w:szCs w:val="16"/>
          <w:lang w:val="es-MX"/>
        </w:rPr>
        <w:br/>
        <w:t>a) Que a su nombre ha contraído el mandatario dentro de los límites del mandato;</w:t>
      </w:r>
    </w:p>
    <w:p w:rsidR="00023D63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t>b) Cualquiera que haya ratificado el mandante expresamente;</w:t>
      </w:r>
    </w:p>
    <w:p w:rsidR="00023D63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t>c) Cualquiera que haya ratificado el mandante tácitamente;</w:t>
      </w:r>
    </w:p>
    <w:p w:rsidR="00023D63" w:rsidRPr="00211C16" w:rsidRDefault="00023D63" w:rsidP="00E52C7A">
      <w:pPr>
        <w:pStyle w:val="Sinespaciado"/>
        <w:rPr>
          <w:rFonts w:ascii="Verdana" w:hAnsi="Verdana"/>
          <w:b/>
          <w:sz w:val="16"/>
          <w:szCs w:val="16"/>
          <w:lang w:val="es-MX"/>
        </w:rPr>
      </w:pPr>
      <w:r w:rsidRPr="00211C16">
        <w:rPr>
          <w:rFonts w:ascii="Verdana" w:hAnsi="Verdana"/>
          <w:b/>
          <w:sz w:val="16"/>
          <w:szCs w:val="16"/>
          <w:lang w:val="es-MX"/>
        </w:rPr>
        <w:t>d) Todas las anteriores;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t>e) Sólo a) y b).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1</w:t>
      </w:r>
      <w:r>
        <w:rPr>
          <w:rFonts w:ascii="Verdana" w:hAnsi="Verdana"/>
          <w:sz w:val="16"/>
          <w:szCs w:val="16"/>
          <w:lang w:val="es-MX"/>
        </w:rPr>
        <w:t>1</w:t>
      </w:r>
      <w:r w:rsidRPr="00FF15D2">
        <w:rPr>
          <w:rFonts w:ascii="Verdana" w:hAnsi="Verdana"/>
          <w:sz w:val="16"/>
          <w:szCs w:val="16"/>
          <w:lang w:val="es-MX"/>
        </w:rPr>
        <w:t xml:space="preserve">. </w:t>
      </w:r>
      <w:r>
        <w:rPr>
          <w:rFonts w:ascii="Verdana" w:hAnsi="Verdana"/>
          <w:sz w:val="16"/>
          <w:szCs w:val="16"/>
          <w:lang w:val="es-MX"/>
        </w:rPr>
        <w:t>Según artículo 2163 son causales de terminación del mandato: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 xml:space="preserve">a) </w:t>
      </w:r>
      <w:r>
        <w:rPr>
          <w:rFonts w:ascii="Verdana" w:hAnsi="Verdana"/>
          <w:sz w:val="16"/>
          <w:szCs w:val="16"/>
          <w:lang w:val="es-MX"/>
        </w:rPr>
        <w:t>Expiración del término o por el evento de la condición, prefijados para la terminación del mandato;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b) La revocación;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c) La renuncia del mandatario;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d) La muerte del mandante;</w:t>
      </w:r>
    </w:p>
    <w:p w:rsidR="00023D63" w:rsidRPr="00FF15D2" w:rsidRDefault="00023D63" w:rsidP="00E52C7A">
      <w:pPr>
        <w:pStyle w:val="Sinespaciado"/>
        <w:rPr>
          <w:rFonts w:ascii="Verdana" w:hAnsi="Verdana"/>
          <w:b/>
          <w:sz w:val="16"/>
          <w:szCs w:val="16"/>
          <w:lang w:val="es-MX"/>
        </w:rPr>
      </w:pPr>
      <w:r w:rsidRPr="00FF15D2">
        <w:rPr>
          <w:rFonts w:ascii="Verdana" w:hAnsi="Verdana"/>
          <w:b/>
          <w:sz w:val="16"/>
          <w:szCs w:val="16"/>
          <w:lang w:val="es-MX"/>
        </w:rPr>
        <w:t>e) Todas las anteriores.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>
        <w:rPr>
          <w:rFonts w:ascii="Verdana" w:hAnsi="Verdana"/>
          <w:sz w:val="16"/>
          <w:szCs w:val="16"/>
          <w:lang w:val="es-MX"/>
        </w:rPr>
        <w:lastRenderedPageBreak/>
        <w:t>12</w:t>
      </w:r>
      <w:r w:rsidRPr="00FF15D2">
        <w:rPr>
          <w:rFonts w:ascii="Verdana" w:hAnsi="Verdana"/>
          <w:sz w:val="16"/>
          <w:szCs w:val="16"/>
          <w:lang w:val="es-MX"/>
        </w:rPr>
        <w:t>. Según Barros, acerca del mandato y sus relaciones con la agencia oficiosa, es correcto señalar que: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a) La agencia oficiosa siempre presupone la existencia de un mandato;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b) Si el mandatario actúa de buena fe sin poderes suficientes, la ley entiende que se convierte en agente oficioso;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c) El mandatario responderá ante terceros sólo si no les ha dado a conocer de la insuficiencia de sus poderes;</w:t>
      </w:r>
    </w:p>
    <w:p w:rsidR="00023D63" w:rsidRPr="00FF15D2" w:rsidRDefault="00023D63" w:rsidP="00E52C7A">
      <w:pPr>
        <w:pStyle w:val="Sinespaciado"/>
        <w:rPr>
          <w:rFonts w:ascii="Verdana" w:hAnsi="Verdana"/>
          <w:sz w:val="16"/>
          <w:szCs w:val="16"/>
          <w:lang w:val="es-MX"/>
        </w:rPr>
      </w:pPr>
      <w:r w:rsidRPr="00FF15D2">
        <w:rPr>
          <w:rFonts w:ascii="Verdana" w:hAnsi="Verdana"/>
          <w:sz w:val="16"/>
          <w:szCs w:val="16"/>
          <w:lang w:val="es-MX"/>
        </w:rPr>
        <w:t>d) Todas las anteriores;</w:t>
      </w:r>
    </w:p>
    <w:p w:rsidR="00023D63" w:rsidRPr="00FF15D2" w:rsidRDefault="00023D63" w:rsidP="00E52C7A">
      <w:pPr>
        <w:pStyle w:val="Sinespaciado"/>
        <w:rPr>
          <w:rFonts w:ascii="Verdana" w:hAnsi="Verdana"/>
          <w:b/>
          <w:sz w:val="16"/>
          <w:szCs w:val="16"/>
          <w:lang w:val="es-MX"/>
        </w:rPr>
      </w:pPr>
      <w:r w:rsidRPr="00FF15D2">
        <w:rPr>
          <w:rFonts w:ascii="Verdana" w:hAnsi="Verdana"/>
          <w:b/>
          <w:sz w:val="16"/>
          <w:szCs w:val="16"/>
          <w:lang w:val="es-MX"/>
        </w:rPr>
        <w:t>e) Sólo b y c).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13</w:t>
      </w:r>
      <w:r w:rsidRPr="00FF15D2">
        <w:rPr>
          <w:rFonts w:ascii="Verdana" w:hAnsi="Verdana"/>
          <w:sz w:val="16"/>
          <w:szCs w:val="16"/>
          <w:lang w:val="es-ES_tradnl"/>
        </w:rPr>
        <w:t>. Según Barros, la regulación del mandato en el derecho chileno presenta las siguientes características: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a) Es naturalmente remunerado;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b) Somete a las reglas del mandato la prestación de ciertos servicios calificados como los de profesionales liberales;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c) Es un modelo contractual para relaciones de servicio de distinta naturaleza;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b/>
          <w:sz w:val="16"/>
          <w:szCs w:val="16"/>
          <w:lang w:val="es-ES_tradnl"/>
        </w:rPr>
        <w:t>d) Todas las anteriores;</w:t>
      </w:r>
      <w:r w:rsidRPr="00FF15D2">
        <w:rPr>
          <w:rFonts w:ascii="Verdana" w:hAnsi="Verdana"/>
          <w:sz w:val="16"/>
          <w:szCs w:val="16"/>
          <w:lang w:val="es-ES_tradnl"/>
        </w:rPr>
        <w:br/>
        <w:t>e) Ninguna de las anteriores.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14</w:t>
      </w:r>
      <w:r w:rsidRPr="00FF15D2">
        <w:rPr>
          <w:rFonts w:ascii="Verdana" w:hAnsi="Verdana"/>
          <w:sz w:val="16"/>
          <w:szCs w:val="16"/>
          <w:lang w:val="es-ES_tradnl"/>
        </w:rPr>
        <w:t>. Según Barros, la distinción entre contratos análogos a la compraventa y contratos análogos al mandato: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FF15D2">
        <w:rPr>
          <w:rFonts w:ascii="Verdana" w:hAnsi="Verdana"/>
          <w:b/>
          <w:sz w:val="16"/>
          <w:szCs w:val="16"/>
          <w:lang w:val="es-ES_tradnl"/>
        </w:rPr>
        <w:t>a) Arroja instrumentos que facilitan la interpretación sobre si la obligación es de destreza y diligencia o de resultado;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b) El contrato de compraventa y sus análogos típicamente dan lugar a obligaciones de medio;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c) El contrato de mandato y sus análogos típicamente dan lugar a obligaciones de resultado;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d) Ambos contratos tienen una igual distribución de los riesgos;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e) Todas las anteriores.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15</w:t>
      </w:r>
      <w:r w:rsidRPr="00FF15D2">
        <w:rPr>
          <w:rFonts w:ascii="Verdana" w:hAnsi="Verdana"/>
          <w:sz w:val="16"/>
          <w:szCs w:val="16"/>
          <w:lang w:val="es-ES_tradnl"/>
        </w:rPr>
        <w:t>. Según Barros, la culpa en el mandato: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a) Por regla general, no se toman en cuenta aspectos subjetivos;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 xml:space="preserve">b) Sólo se toman en cuenta aspectos subjetivos cuando el contrato es </w:t>
      </w:r>
      <w:r w:rsidRPr="00FF15D2">
        <w:rPr>
          <w:rFonts w:ascii="Verdana" w:hAnsi="Verdana"/>
          <w:i/>
          <w:sz w:val="16"/>
          <w:szCs w:val="16"/>
          <w:lang w:val="es-ES_tradnl"/>
        </w:rPr>
        <w:t xml:space="preserve">intuito </w:t>
      </w:r>
      <w:proofErr w:type="spellStart"/>
      <w:r w:rsidRPr="00FF15D2">
        <w:rPr>
          <w:rFonts w:ascii="Verdana" w:hAnsi="Verdana"/>
          <w:i/>
          <w:sz w:val="16"/>
          <w:szCs w:val="16"/>
          <w:lang w:val="es-ES_tradnl"/>
        </w:rPr>
        <w:t>personae</w:t>
      </w:r>
      <w:proofErr w:type="spellEnd"/>
      <w:r w:rsidRPr="00FF15D2">
        <w:rPr>
          <w:rFonts w:ascii="Verdana" w:hAnsi="Verdana"/>
          <w:i/>
          <w:sz w:val="16"/>
          <w:szCs w:val="16"/>
          <w:lang w:val="es-ES_tradnl"/>
        </w:rPr>
        <w:t>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c) Se verifica si el mandatario observó el estándar de destreza y cuidado que es exigible en la determinada prestación de servicios;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 w:rsidRPr="00FF15D2">
        <w:rPr>
          <w:rFonts w:ascii="Verdana" w:hAnsi="Verdana"/>
          <w:sz w:val="16"/>
          <w:szCs w:val="16"/>
          <w:lang w:val="es-ES_tradnl"/>
        </w:rPr>
        <w:t>d) En obligaciones de servicios se sigue el principio romano de que la impericia debe ser tenida por culpa;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FF15D2">
        <w:rPr>
          <w:rFonts w:ascii="Verdana" w:hAnsi="Verdana"/>
          <w:b/>
          <w:sz w:val="16"/>
          <w:szCs w:val="16"/>
          <w:lang w:val="es-ES_tradnl"/>
        </w:rPr>
        <w:t xml:space="preserve">e) Todas las anteriores. </w:t>
      </w:r>
    </w:p>
    <w:p w:rsidR="00023D63" w:rsidRPr="00FF15D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16</w:t>
      </w:r>
      <w:r w:rsidRPr="00FF15D2">
        <w:rPr>
          <w:rFonts w:ascii="Verdana" w:hAnsi="Verdana" w:cs="Arial"/>
          <w:sz w:val="16"/>
          <w:szCs w:val="16"/>
        </w:rPr>
        <w:t xml:space="preserve">. Según </w:t>
      </w:r>
      <w:proofErr w:type="spellStart"/>
      <w:r w:rsidRPr="00FF15D2">
        <w:rPr>
          <w:rFonts w:ascii="Verdana" w:hAnsi="Verdana" w:cs="Arial"/>
          <w:sz w:val="16"/>
          <w:szCs w:val="16"/>
        </w:rPr>
        <w:t>Rasmusen</w:t>
      </w:r>
      <w:proofErr w:type="spellEnd"/>
      <w:r w:rsidRPr="00FF15D2">
        <w:rPr>
          <w:rFonts w:ascii="Verdana" w:hAnsi="Verdana" w:cs="Arial"/>
          <w:sz w:val="16"/>
          <w:szCs w:val="16"/>
        </w:rPr>
        <w:t xml:space="preserve">, ¿a qué tipo de casos hace referencia el concepto de </w:t>
      </w:r>
      <w:proofErr w:type="spellStart"/>
      <w:r w:rsidRPr="00FF15D2">
        <w:rPr>
          <w:rFonts w:ascii="Verdana" w:hAnsi="Verdana" w:cs="Arial"/>
          <w:i/>
          <w:sz w:val="16"/>
          <w:szCs w:val="16"/>
        </w:rPr>
        <w:t>agency</w:t>
      </w:r>
      <w:proofErr w:type="spellEnd"/>
      <w:r w:rsidRPr="00FF15D2">
        <w:rPr>
          <w:rFonts w:ascii="Verdana" w:hAnsi="Verdana" w:cs="Arial"/>
          <w:i/>
          <w:sz w:val="16"/>
          <w:szCs w:val="16"/>
        </w:rPr>
        <w:t xml:space="preserve"> </w:t>
      </w:r>
      <w:proofErr w:type="spellStart"/>
      <w:r w:rsidRPr="00FF15D2">
        <w:rPr>
          <w:rFonts w:ascii="Verdana" w:hAnsi="Verdana" w:cs="Arial"/>
          <w:i/>
          <w:sz w:val="16"/>
          <w:szCs w:val="16"/>
        </w:rPr>
        <w:t>by</w:t>
      </w:r>
      <w:proofErr w:type="spellEnd"/>
      <w:r w:rsidRPr="00FF15D2">
        <w:rPr>
          <w:rFonts w:ascii="Verdana" w:hAnsi="Verdana" w:cs="Arial"/>
          <w:i/>
          <w:sz w:val="16"/>
          <w:szCs w:val="16"/>
        </w:rPr>
        <w:t xml:space="preserve"> </w:t>
      </w:r>
      <w:proofErr w:type="spellStart"/>
      <w:r w:rsidRPr="00FF15D2">
        <w:rPr>
          <w:rFonts w:ascii="Verdana" w:hAnsi="Verdana" w:cs="Arial"/>
          <w:i/>
          <w:sz w:val="16"/>
          <w:szCs w:val="16"/>
        </w:rPr>
        <w:t>estoppel</w:t>
      </w:r>
      <w:proofErr w:type="spellEnd"/>
      <w:r w:rsidRPr="00FF15D2">
        <w:rPr>
          <w:rFonts w:ascii="Verdana" w:hAnsi="Verdana" w:cs="Arial"/>
          <w:sz w:val="16"/>
          <w:szCs w:val="16"/>
        </w:rPr>
        <w:t>?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sz w:val="16"/>
          <w:szCs w:val="16"/>
        </w:rPr>
        <w:t>a) A aquellos en que hay una presunción razonable de autoridad en el mandatario, de tal manera que el tercero contratante puede asumir que entre éste y su mandante hay un contrato de mandato vigente;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sz w:val="16"/>
          <w:szCs w:val="16"/>
        </w:rPr>
        <w:t>b) A aquellos en que, existiendo un contrato de mandato vigente, el mandatario puede presumir legítimamente que su mandato contempla actos no especificados en el mismo;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sz w:val="16"/>
          <w:szCs w:val="16"/>
        </w:rPr>
        <w:t>c) A aquellos casos en que el mandante ratifica lo que en principio fue hecho por el mandatario fuera de los límites del mandato;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b/>
          <w:sz w:val="16"/>
          <w:szCs w:val="16"/>
        </w:rPr>
        <w:t xml:space="preserve">d) A aquellos casos en que el mandante está legalmente obligado a respetar un acuerdo desfavorable hecho por el mandatario extralimitándose en su mandato, cuando el primero pudo </w:t>
      </w:r>
      <w:r w:rsidRPr="00FF15D2">
        <w:rPr>
          <w:rFonts w:ascii="Verdana" w:hAnsi="Verdana" w:cs="Arial"/>
          <w:b/>
          <w:i/>
          <w:sz w:val="16"/>
          <w:szCs w:val="16"/>
        </w:rPr>
        <w:t>ex ante</w:t>
      </w:r>
      <w:r w:rsidRPr="00FF15D2">
        <w:rPr>
          <w:rFonts w:ascii="Verdana" w:hAnsi="Verdana" w:cs="Arial"/>
          <w:b/>
          <w:sz w:val="16"/>
          <w:szCs w:val="16"/>
        </w:rPr>
        <w:t xml:space="preserve"> intervenir para prevenirlo</w:t>
      </w:r>
      <w:r w:rsidRPr="00FF15D2">
        <w:rPr>
          <w:rFonts w:ascii="Verdana" w:hAnsi="Verdana" w:cs="Arial"/>
          <w:sz w:val="16"/>
          <w:szCs w:val="16"/>
        </w:rPr>
        <w:t>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sz w:val="16"/>
          <w:szCs w:val="16"/>
        </w:rPr>
        <w:t>e) A aquellos casos en que el mandate ha entrado en un acuerdo explícito con el mandatario, permitiéndole realizar ciertos actos a su nombre.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17</w:t>
      </w:r>
      <w:r w:rsidRPr="00FF15D2">
        <w:rPr>
          <w:rFonts w:ascii="Verdana" w:hAnsi="Verdana" w:cs="Arial"/>
          <w:sz w:val="16"/>
          <w:szCs w:val="16"/>
        </w:rPr>
        <w:t xml:space="preserve">. Según </w:t>
      </w:r>
      <w:proofErr w:type="spellStart"/>
      <w:r w:rsidRPr="00FF15D2">
        <w:rPr>
          <w:rFonts w:ascii="Verdana" w:hAnsi="Verdana" w:cs="Arial"/>
          <w:sz w:val="16"/>
          <w:szCs w:val="16"/>
        </w:rPr>
        <w:t>Rasmusen</w:t>
      </w:r>
      <w:proofErr w:type="spellEnd"/>
      <w:r w:rsidRPr="00FF15D2">
        <w:rPr>
          <w:rFonts w:ascii="Verdana" w:hAnsi="Verdana" w:cs="Arial"/>
          <w:sz w:val="16"/>
          <w:szCs w:val="16"/>
        </w:rPr>
        <w:t xml:space="preserve">, ¿cuál(es) de las siguientes fuentes de responsabilidad en el mandato puede ser derivada del </w:t>
      </w:r>
      <w:proofErr w:type="spellStart"/>
      <w:r w:rsidRPr="00FF15D2">
        <w:rPr>
          <w:rFonts w:ascii="Verdana" w:hAnsi="Verdana" w:cs="Arial"/>
          <w:i/>
          <w:sz w:val="16"/>
          <w:szCs w:val="16"/>
        </w:rPr>
        <w:t>least</w:t>
      </w:r>
      <w:proofErr w:type="spellEnd"/>
      <w:r w:rsidRPr="00FF15D2">
        <w:rPr>
          <w:rFonts w:ascii="Verdana" w:hAnsi="Verdana" w:cs="Arial"/>
          <w:i/>
          <w:sz w:val="16"/>
          <w:szCs w:val="16"/>
        </w:rPr>
        <w:t xml:space="preserve"> </w:t>
      </w:r>
      <w:proofErr w:type="spellStart"/>
      <w:r w:rsidRPr="00FF15D2">
        <w:rPr>
          <w:rFonts w:ascii="Verdana" w:hAnsi="Verdana" w:cs="Arial"/>
          <w:i/>
          <w:sz w:val="16"/>
          <w:szCs w:val="16"/>
        </w:rPr>
        <w:t>cost</w:t>
      </w:r>
      <w:proofErr w:type="spellEnd"/>
      <w:r w:rsidRPr="00FF15D2">
        <w:rPr>
          <w:rFonts w:ascii="Verdana" w:hAnsi="Verdana" w:cs="Arial"/>
          <w:i/>
          <w:sz w:val="16"/>
          <w:szCs w:val="16"/>
        </w:rPr>
        <w:t xml:space="preserve"> </w:t>
      </w:r>
      <w:proofErr w:type="spellStart"/>
      <w:r w:rsidRPr="00FF15D2">
        <w:rPr>
          <w:rFonts w:ascii="Verdana" w:hAnsi="Verdana" w:cs="Arial"/>
          <w:i/>
          <w:sz w:val="16"/>
          <w:szCs w:val="16"/>
        </w:rPr>
        <w:t>avoider</w:t>
      </w:r>
      <w:proofErr w:type="spellEnd"/>
      <w:r w:rsidRPr="00FF15D2">
        <w:rPr>
          <w:rFonts w:ascii="Verdana" w:hAnsi="Verdana" w:cs="Arial"/>
          <w:i/>
          <w:sz w:val="16"/>
          <w:szCs w:val="16"/>
        </w:rPr>
        <w:t xml:space="preserve"> </w:t>
      </w:r>
      <w:proofErr w:type="spellStart"/>
      <w:r w:rsidRPr="00FF15D2">
        <w:rPr>
          <w:rFonts w:ascii="Verdana" w:hAnsi="Verdana" w:cs="Arial"/>
          <w:i/>
          <w:sz w:val="16"/>
          <w:szCs w:val="16"/>
        </w:rPr>
        <w:t>principle</w:t>
      </w:r>
      <w:proofErr w:type="spellEnd"/>
      <w:r w:rsidRPr="00FF15D2">
        <w:rPr>
          <w:rFonts w:ascii="Verdana" w:hAnsi="Verdana" w:cs="Arial"/>
          <w:sz w:val="16"/>
          <w:szCs w:val="16"/>
        </w:rPr>
        <w:t xml:space="preserve"> (para quién es menos oneroso evitar un costo)?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  <w:lang w:val="en-US"/>
        </w:rPr>
      </w:pPr>
      <w:r w:rsidRPr="00FF15D2">
        <w:rPr>
          <w:rFonts w:ascii="Verdana" w:hAnsi="Verdana" w:cs="Arial"/>
          <w:sz w:val="16"/>
          <w:szCs w:val="16"/>
          <w:lang w:val="en-US"/>
        </w:rPr>
        <w:t xml:space="preserve">a)  </w:t>
      </w:r>
      <w:r w:rsidRPr="00FF15D2">
        <w:rPr>
          <w:rFonts w:ascii="Verdana" w:hAnsi="Verdana" w:cs="Arial"/>
          <w:i/>
          <w:sz w:val="16"/>
          <w:szCs w:val="16"/>
          <w:lang w:val="en-US"/>
        </w:rPr>
        <w:t>Actual express authority</w:t>
      </w:r>
      <w:r w:rsidRPr="00FF15D2">
        <w:rPr>
          <w:rFonts w:ascii="Verdana" w:hAnsi="Verdana" w:cs="Arial"/>
          <w:sz w:val="16"/>
          <w:szCs w:val="16"/>
          <w:lang w:val="en-US"/>
        </w:rPr>
        <w:t>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  <w:lang w:val="en-US"/>
        </w:rPr>
      </w:pPr>
      <w:r w:rsidRPr="00FF15D2">
        <w:rPr>
          <w:rFonts w:ascii="Verdana" w:hAnsi="Verdana" w:cs="Arial"/>
          <w:sz w:val="16"/>
          <w:szCs w:val="16"/>
          <w:lang w:val="en-US"/>
        </w:rPr>
        <w:t xml:space="preserve">b) </w:t>
      </w:r>
      <w:r w:rsidRPr="00FF15D2">
        <w:rPr>
          <w:rFonts w:ascii="Verdana" w:hAnsi="Verdana" w:cs="Arial"/>
          <w:i/>
          <w:sz w:val="16"/>
          <w:szCs w:val="16"/>
          <w:lang w:val="en-US"/>
        </w:rPr>
        <w:t>Actual implied authority</w:t>
      </w:r>
      <w:r w:rsidRPr="00FF15D2">
        <w:rPr>
          <w:rFonts w:ascii="Verdana" w:hAnsi="Verdana" w:cs="Arial"/>
          <w:sz w:val="16"/>
          <w:szCs w:val="16"/>
          <w:lang w:val="en-US"/>
        </w:rPr>
        <w:t>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  <w:lang w:val="en-US"/>
        </w:rPr>
      </w:pPr>
      <w:r w:rsidRPr="00FF15D2">
        <w:rPr>
          <w:rFonts w:ascii="Verdana" w:hAnsi="Verdana" w:cs="Arial"/>
          <w:sz w:val="16"/>
          <w:szCs w:val="16"/>
          <w:lang w:val="en-US"/>
        </w:rPr>
        <w:t xml:space="preserve">c) </w:t>
      </w:r>
      <w:r w:rsidRPr="00FF15D2">
        <w:rPr>
          <w:rFonts w:ascii="Verdana" w:hAnsi="Verdana" w:cs="Arial"/>
          <w:i/>
          <w:sz w:val="16"/>
          <w:szCs w:val="16"/>
          <w:lang w:val="en-US"/>
        </w:rPr>
        <w:t>Ratification</w:t>
      </w:r>
      <w:r w:rsidRPr="00FF15D2">
        <w:rPr>
          <w:rFonts w:ascii="Verdana" w:hAnsi="Verdana" w:cs="Arial"/>
          <w:sz w:val="16"/>
          <w:szCs w:val="16"/>
          <w:lang w:val="en-US"/>
        </w:rPr>
        <w:t>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  <w:lang w:val="en-US"/>
        </w:rPr>
      </w:pPr>
      <w:r w:rsidRPr="00FF15D2">
        <w:rPr>
          <w:rFonts w:ascii="Verdana" w:hAnsi="Verdana" w:cs="Arial"/>
          <w:sz w:val="16"/>
          <w:szCs w:val="16"/>
          <w:lang w:val="en-US"/>
        </w:rPr>
        <w:t xml:space="preserve">d) </w:t>
      </w:r>
      <w:r w:rsidRPr="00FF15D2">
        <w:rPr>
          <w:rFonts w:ascii="Verdana" w:hAnsi="Verdana" w:cs="Arial"/>
          <w:i/>
          <w:sz w:val="16"/>
          <w:szCs w:val="16"/>
          <w:lang w:val="en-US"/>
        </w:rPr>
        <w:t>Inherent agency power</w:t>
      </w:r>
      <w:r w:rsidRPr="00FF15D2">
        <w:rPr>
          <w:rFonts w:ascii="Verdana" w:hAnsi="Verdana" w:cs="Arial"/>
          <w:sz w:val="16"/>
          <w:szCs w:val="16"/>
          <w:lang w:val="en-US"/>
        </w:rPr>
        <w:t>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b/>
          <w:sz w:val="16"/>
          <w:szCs w:val="16"/>
          <w:lang w:val="es-ES_tradnl"/>
        </w:rPr>
      </w:pPr>
      <w:r w:rsidRPr="00FF15D2">
        <w:rPr>
          <w:rFonts w:ascii="Verdana" w:hAnsi="Verdana" w:cs="Arial"/>
          <w:b/>
          <w:sz w:val="16"/>
          <w:szCs w:val="16"/>
          <w:lang w:val="es-ES_tradnl"/>
        </w:rPr>
        <w:t>e) Todas las anteriores.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b/>
          <w:sz w:val="16"/>
          <w:szCs w:val="16"/>
          <w:lang w:val="es-ES_tradnl"/>
        </w:rPr>
      </w:pP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18</w:t>
      </w:r>
      <w:r w:rsidRPr="00FF15D2">
        <w:rPr>
          <w:rFonts w:ascii="Verdana" w:hAnsi="Verdana" w:cs="Arial"/>
          <w:sz w:val="16"/>
          <w:szCs w:val="16"/>
        </w:rPr>
        <w:t xml:space="preserve">. Según </w:t>
      </w:r>
      <w:proofErr w:type="spellStart"/>
      <w:r w:rsidRPr="00FF15D2">
        <w:rPr>
          <w:rFonts w:ascii="Verdana" w:hAnsi="Verdana" w:cs="Arial"/>
          <w:sz w:val="16"/>
          <w:szCs w:val="16"/>
        </w:rPr>
        <w:t>Rasmusen</w:t>
      </w:r>
      <w:proofErr w:type="spellEnd"/>
      <w:r w:rsidRPr="00FF15D2">
        <w:rPr>
          <w:rFonts w:ascii="Verdana" w:hAnsi="Verdana" w:cs="Arial"/>
          <w:sz w:val="16"/>
          <w:szCs w:val="16"/>
        </w:rPr>
        <w:t xml:space="preserve">, ¿en qué caso(s) el tercero debe asumir el costo de un contrato de mandato erróneo? 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  <w:r w:rsidRPr="00FF15D2">
        <w:rPr>
          <w:rFonts w:ascii="Verdana" w:hAnsi="Verdana" w:cs="Arial"/>
          <w:b/>
          <w:sz w:val="16"/>
          <w:szCs w:val="16"/>
        </w:rPr>
        <w:t>a) Cuando el tercero se ha coludido con el mandatario en contra del mandante;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sz w:val="16"/>
          <w:szCs w:val="16"/>
        </w:rPr>
        <w:t>b) Cuando el tercero es un comerciante frecuente en el tipo de transacciones encargadas en el mandato;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sz w:val="16"/>
          <w:szCs w:val="16"/>
        </w:rPr>
        <w:t>c) Cuando el injusto (</w:t>
      </w:r>
      <w:proofErr w:type="spellStart"/>
      <w:r w:rsidRPr="00FF15D2">
        <w:rPr>
          <w:rFonts w:ascii="Verdana" w:hAnsi="Verdana" w:cs="Arial"/>
          <w:i/>
          <w:sz w:val="16"/>
          <w:szCs w:val="16"/>
        </w:rPr>
        <w:t>malfeasance</w:t>
      </w:r>
      <w:proofErr w:type="spellEnd"/>
      <w:r w:rsidRPr="00FF15D2">
        <w:rPr>
          <w:rFonts w:ascii="Verdana" w:hAnsi="Verdana" w:cs="Arial"/>
          <w:sz w:val="16"/>
          <w:szCs w:val="16"/>
        </w:rPr>
        <w:t>) cometido por el mandatario está tipificado en la legislación;</w:t>
      </w:r>
    </w:p>
    <w:p w:rsidR="00023D63" w:rsidRPr="00FF15D2" w:rsidRDefault="00023D63" w:rsidP="00E52C7A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sz w:val="16"/>
          <w:szCs w:val="16"/>
        </w:rPr>
        <w:t>d) Cuando el tercero no se asegura que el mandatario esté actuado dentro de su mandato;</w:t>
      </w:r>
    </w:p>
    <w:p w:rsidR="00023D63" w:rsidRPr="00FF15D2" w:rsidRDefault="00023D63" w:rsidP="00DC69E2">
      <w:pPr>
        <w:spacing w:after="0" w:line="240" w:lineRule="auto"/>
        <w:rPr>
          <w:rFonts w:ascii="Verdana" w:hAnsi="Verdana" w:cs="Arial"/>
          <w:sz w:val="16"/>
          <w:szCs w:val="16"/>
        </w:rPr>
      </w:pPr>
      <w:r w:rsidRPr="00FF15D2">
        <w:rPr>
          <w:rFonts w:ascii="Verdana" w:hAnsi="Verdana" w:cs="Arial"/>
          <w:sz w:val="16"/>
          <w:szCs w:val="16"/>
        </w:rPr>
        <w:t>e) Sólo a) y c).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19. El artículo 1824 del Código Civil señala que son obligaciones del vendedor: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a) La transferencia del dominio de la cosa;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b) La entrega o tradición de la cosa;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c) El saneamiento de la cosa vendida;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d) Todas las anteriores;</w:t>
      </w:r>
    </w:p>
    <w:p w:rsidR="00023D63" w:rsidRPr="008F2F63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8F2F63">
        <w:rPr>
          <w:rFonts w:ascii="Verdana" w:hAnsi="Verdana"/>
          <w:b/>
          <w:sz w:val="16"/>
          <w:szCs w:val="16"/>
          <w:lang w:val="es-ES_tradnl"/>
        </w:rPr>
        <w:t>e) Sólo b) y c)</w:t>
      </w:r>
      <w:r>
        <w:rPr>
          <w:rFonts w:ascii="Verdana" w:hAnsi="Verdana"/>
          <w:b/>
          <w:sz w:val="16"/>
          <w:szCs w:val="16"/>
          <w:lang w:val="es-ES_tradnl"/>
        </w:rPr>
        <w:t>.</w:t>
      </w:r>
      <w:r w:rsidRPr="008F2F63">
        <w:rPr>
          <w:rFonts w:ascii="Verdana" w:hAnsi="Verdana"/>
          <w:b/>
          <w:sz w:val="16"/>
          <w:szCs w:val="16"/>
          <w:lang w:val="es-ES_tradnl"/>
        </w:rPr>
        <w:t xml:space="preserve"> 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20. El artículo 1847 del Código Civil señala que la obligación de saneamiento de evicción comprende: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a) El precio;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b) Los frutos;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 xml:space="preserve">c) Costas legales; </w:t>
      </w:r>
    </w:p>
    <w:p w:rsidR="00023D63" w:rsidRDefault="00023D63" w:rsidP="00DC69E2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d) Aumento del valor de la cosa que haya tomado en poder del comprador;</w:t>
      </w:r>
    </w:p>
    <w:p w:rsidR="00023D63" w:rsidRPr="00AA3392" w:rsidRDefault="00023D63" w:rsidP="00DC69E2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AA3392">
        <w:rPr>
          <w:rFonts w:ascii="Verdana" w:hAnsi="Verdana"/>
          <w:b/>
          <w:sz w:val="16"/>
          <w:szCs w:val="16"/>
          <w:lang w:val="es-ES_tradnl"/>
        </w:rPr>
        <w:t>e) Todas las anteriores.</w:t>
      </w:r>
    </w:p>
    <w:p w:rsidR="00023D63" w:rsidRDefault="00023D63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</w:p>
    <w:p w:rsidR="00023D63" w:rsidRDefault="00023D63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21. El artículo 1817 del Código Civil señala que si alguien vende separadamente una misma cosa a dos personas:</w:t>
      </w:r>
    </w:p>
    <w:p w:rsidR="00023D63" w:rsidRDefault="00023D63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a) El comprador que haya entrado en posesión será preferido;</w:t>
      </w:r>
    </w:p>
    <w:p w:rsidR="00023D63" w:rsidRDefault="00023D63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b) El comprador podrá solicitar la rescisión de la primera compraventa;</w:t>
      </w:r>
    </w:p>
    <w:p w:rsidR="00023D63" w:rsidRDefault="00023D63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c) Si no se ha hecho la entrega a ninguno de los compradores, se preferirá el título más antiguo;</w:t>
      </w:r>
    </w:p>
    <w:p w:rsidR="00023D63" w:rsidRDefault="00023D63">
      <w:pPr>
        <w:spacing w:after="0" w:line="240" w:lineRule="auto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16"/>
          <w:szCs w:val="16"/>
          <w:lang w:val="es-ES_tradnl"/>
        </w:rPr>
        <w:t>d) Todas las anteriores;</w:t>
      </w:r>
    </w:p>
    <w:p w:rsidR="00023D63" w:rsidRPr="006C7CAF" w:rsidRDefault="00023D63">
      <w:pPr>
        <w:spacing w:after="0" w:line="240" w:lineRule="auto"/>
        <w:rPr>
          <w:rFonts w:ascii="Verdana" w:hAnsi="Verdana"/>
          <w:b/>
          <w:sz w:val="16"/>
          <w:szCs w:val="16"/>
          <w:lang w:val="es-ES_tradnl"/>
        </w:rPr>
      </w:pPr>
      <w:r w:rsidRPr="006C7CAF">
        <w:rPr>
          <w:rFonts w:ascii="Verdana" w:hAnsi="Verdana"/>
          <w:b/>
          <w:sz w:val="16"/>
          <w:szCs w:val="16"/>
          <w:lang w:val="es-ES_tradnl"/>
        </w:rPr>
        <w:t>e) Sólo a) y c)</w:t>
      </w:r>
      <w:r>
        <w:rPr>
          <w:rFonts w:ascii="Verdana" w:hAnsi="Verdana"/>
          <w:b/>
          <w:sz w:val="16"/>
          <w:szCs w:val="16"/>
          <w:lang w:val="es-ES_tradnl"/>
        </w:rPr>
        <w:t>.</w:t>
      </w:r>
    </w:p>
    <w:sectPr w:rsidR="00023D63" w:rsidRPr="006C7CAF" w:rsidSect="009C6A28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56" w:rsidRDefault="00C43556" w:rsidP="00BE210B">
      <w:pPr>
        <w:spacing w:after="0" w:line="240" w:lineRule="auto"/>
      </w:pPr>
      <w:r>
        <w:separator/>
      </w:r>
    </w:p>
  </w:endnote>
  <w:endnote w:type="continuationSeparator" w:id="0">
    <w:p w:rsidR="00C43556" w:rsidRDefault="00C43556" w:rsidP="00BE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63" w:rsidRDefault="00C43556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0B2DE5" w:rsidRPr="000B2DE5">
      <w:rPr>
        <w:noProof/>
        <w:lang w:val="es-ES"/>
      </w:rPr>
      <w:t>1</w:t>
    </w:r>
    <w:r>
      <w:rPr>
        <w:noProof/>
        <w:lang w:val="es-ES"/>
      </w:rPr>
      <w:fldChar w:fldCharType="end"/>
    </w:r>
  </w:p>
  <w:p w:rsidR="00023D63" w:rsidRDefault="00023D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56" w:rsidRDefault="00C43556" w:rsidP="00BE210B">
      <w:pPr>
        <w:spacing w:after="0" w:line="240" w:lineRule="auto"/>
      </w:pPr>
      <w:r>
        <w:separator/>
      </w:r>
    </w:p>
  </w:footnote>
  <w:footnote w:type="continuationSeparator" w:id="0">
    <w:p w:rsidR="00C43556" w:rsidRDefault="00C43556" w:rsidP="00BE2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C1896"/>
    <w:multiLevelType w:val="hybridMultilevel"/>
    <w:tmpl w:val="870AEF8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8505B0"/>
    <w:multiLevelType w:val="hybridMultilevel"/>
    <w:tmpl w:val="19C4D2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06"/>
    <w:rsid w:val="00006AEA"/>
    <w:rsid w:val="00014EA0"/>
    <w:rsid w:val="00023D63"/>
    <w:rsid w:val="0002483B"/>
    <w:rsid w:val="00034408"/>
    <w:rsid w:val="00093D13"/>
    <w:rsid w:val="000B2DE5"/>
    <w:rsid w:val="00144306"/>
    <w:rsid w:val="00185596"/>
    <w:rsid w:val="001D5501"/>
    <w:rsid w:val="002041CB"/>
    <w:rsid w:val="00211C16"/>
    <w:rsid w:val="00233207"/>
    <w:rsid w:val="00237233"/>
    <w:rsid w:val="002608F8"/>
    <w:rsid w:val="002D188B"/>
    <w:rsid w:val="00434192"/>
    <w:rsid w:val="00456B05"/>
    <w:rsid w:val="00487A26"/>
    <w:rsid w:val="004E4657"/>
    <w:rsid w:val="004E57FE"/>
    <w:rsid w:val="004E6C69"/>
    <w:rsid w:val="0051190F"/>
    <w:rsid w:val="00543D29"/>
    <w:rsid w:val="00575D37"/>
    <w:rsid w:val="005E5704"/>
    <w:rsid w:val="00610CB5"/>
    <w:rsid w:val="0068236D"/>
    <w:rsid w:val="006C7CAF"/>
    <w:rsid w:val="007072D6"/>
    <w:rsid w:val="00713EC1"/>
    <w:rsid w:val="0079485A"/>
    <w:rsid w:val="007B1807"/>
    <w:rsid w:val="007C079C"/>
    <w:rsid w:val="007D7C46"/>
    <w:rsid w:val="00804293"/>
    <w:rsid w:val="008B68AE"/>
    <w:rsid w:val="008D3AEB"/>
    <w:rsid w:val="008D5454"/>
    <w:rsid w:val="008F2F63"/>
    <w:rsid w:val="008F4D18"/>
    <w:rsid w:val="00960E83"/>
    <w:rsid w:val="0097042D"/>
    <w:rsid w:val="009913BA"/>
    <w:rsid w:val="009C6A28"/>
    <w:rsid w:val="00A45501"/>
    <w:rsid w:val="00A83F41"/>
    <w:rsid w:val="00AA3392"/>
    <w:rsid w:val="00AA3FC1"/>
    <w:rsid w:val="00AC586D"/>
    <w:rsid w:val="00AE3A1A"/>
    <w:rsid w:val="00B01B9D"/>
    <w:rsid w:val="00B32110"/>
    <w:rsid w:val="00B45E58"/>
    <w:rsid w:val="00B5671F"/>
    <w:rsid w:val="00B623BA"/>
    <w:rsid w:val="00B65720"/>
    <w:rsid w:val="00B80CF3"/>
    <w:rsid w:val="00B94562"/>
    <w:rsid w:val="00BD0FD5"/>
    <w:rsid w:val="00BE210B"/>
    <w:rsid w:val="00BF5C25"/>
    <w:rsid w:val="00C13411"/>
    <w:rsid w:val="00C3065D"/>
    <w:rsid w:val="00C43556"/>
    <w:rsid w:val="00C7633A"/>
    <w:rsid w:val="00D216C3"/>
    <w:rsid w:val="00D36F13"/>
    <w:rsid w:val="00DB1CEE"/>
    <w:rsid w:val="00DC69E2"/>
    <w:rsid w:val="00DD09C2"/>
    <w:rsid w:val="00E37C89"/>
    <w:rsid w:val="00E52C7A"/>
    <w:rsid w:val="00E60748"/>
    <w:rsid w:val="00E84C11"/>
    <w:rsid w:val="00EC2C52"/>
    <w:rsid w:val="00F044F2"/>
    <w:rsid w:val="00F247EC"/>
    <w:rsid w:val="00F31DC3"/>
    <w:rsid w:val="00F50EA5"/>
    <w:rsid w:val="00F54A4A"/>
    <w:rsid w:val="00F721EB"/>
    <w:rsid w:val="00F91121"/>
    <w:rsid w:val="00FC417C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06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C6A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75D37"/>
    <w:rPr>
      <w:rFonts w:ascii="Times New Roman" w:hAnsi="Times New Roman"/>
      <w:sz w:val="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33207"/>
    <w:rPr>
      <w:rFonts w:ascii="Times New Roman" w:hAnsi="Times New Roman" w:cs="Times New Roman"/>
      <w:sz w:val="2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BE210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E210B"/>
    <w:rPr>
      <w:rFonts w:cs="Times New Roman"/>
      <w:lang w:val="es-CL" w:eastAsia="en-US"/>
    </w:rPr>
  </w:style>
  <w:style w:type="paragraph" w:styleId="Piedepgina">
    <w:name w:val="footer"/>
    <w:basedOn w:val="Normal"/>
    <w:link w:val="PiedepginaCar"/>
    <w:uiPriority w:val="99"/>
    <w:rsid w:val="00BE210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E210B"/>
    <w:rPr>
      <w:rFonts w:cs="Times New Roman"/>
      <w:lang w:val="es-CL" w:eastAsia="en-US"/>
    </w:rPr>
  </w:style>
  <w:style w:type="paragraph" w:styleId="Sinespaciado">
    <w:name w:val="No Spacing"/>
    <w:uiPriority w:val="99"/>
    <w:qFormat/>
    <w:rsid w:val="00E52C7A"/>
    <w:rPr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06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C6A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75D37"/>
    <w:rPr>
      <w:rFonts w:ascii="Times New Roman" w:hAnsi="Times New Roman"/>
      <w:sz w:val="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33207"/>
    <w:rPr>
      <w:rFonts w:ascii="Times New Roman" w:hAnsi="Times New Roman" w:cs="Times New Roman"/>
      <w:sz w:val="2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BE210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E210B"/>
    <w:rPr>
      <w:rFonts w:cs="Times New Roman"/>
      <w:lang w:val="es-CL" w:eastAsia="en-US"/>
    </w:rPr>
  </w:style>
  <w:style w:type="paragraph" w:styleId="Piedepgina">
    <w:name w:val="footer"/>
    <w:basedOn w:val="Normal"/>
    <w:link w:val="PiedepginaCar"/>
    <w:uiPriority w:val="99"/>
    <w:rsid w:val="00BE210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E210B"/>
    <w:rPr>
      <w:rFonts w:cs="Times New Roman"/>
      <w:lang w:val="es-CL" w:eastAsia="en-US"/>
    </w:rPr>
  </w:style>
  <w:style w:type="paragraph" w:styleId="Sinespaciado">
    <w:name w:val="No Spacing"/>
    <w:uiPriority w:val="99"/>
    <w:qFormat/>
    <w:rsid w:val="00E52C7A"/>
    <w:rPr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1327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Mariel</dc:creator>
  <cp:lastModifiedBy>Matias Carrasco</cp:lastModifiedBy>
  <cp:revision>2</cp:revision>
  <cp:lastPrinted>2012-05-30T23:01:00Z</cp:lastPrinted>
  <dcterms:created xsi:type="dcterms:W3CDTF">2012-05-31T17:44:00Z</dcterms:created>
  <dcterms:modified xsi:type="dcterms:W3CDTF">2012-05-31T17:44:00Z</dcterms:modified>
</cp:coreProperties>
</file>