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60C" w:rsidRDefault="00CA4DD8">
      <w:pPr>
        <w:pStyle w:val="Ttulo2"/>
        <w:jc w:val="both"/>
        <w:rPr>
          <w:u w:val="single"/>
        </w:rPr>
      </w:pPr>
      <w:r>
        <w:rPr>
          <w:u w:val="single"/>
        </w:rPr>
        <w:t>Documento</w:t>
      </w:r>
    </w:p>
    <w:p w:rsidR="0020460C" w:rsidRDefault="0020460C">
      <w:pPr>
        <w:jc w:val="both"/>
        <w:rPr>
          <w:rFonts w:ascii="Book Antiqua" w:hAnsi="Book Antiqua"/>
          <w:sz w:val="20"/>
        </w:rPr>
      </w:pPr>
    </w:p>
    <w:p w:rsidR="0020460C" w:rsidRDefault="00CA4DD8">
      <w:pPr>
        <w:pStyle w:val="Ttulo1"/>
        <w:spacing w:line="360" w:lineRule="auto"/>
        <w:jc w:val="both"/>
        <w:rPr>
          <w:rFonts w:ascii="Garamond" w:hAnsi="Garamond"/>
          <w:color w:val="0000FF"/>
        </w:rPr>
      </w:pPr>
      <w:r>
        <w:rPr>
          <w:rFonts w:ascii="Garamond" w:hAnsi="Garamond"/>
          <w:color w:val="0000FF"/>
        </w:rPr>
        <w:t xml:space="preserve">Recurso de protección rechazado. Acto de expulsar a alumnas no es arbitrario ni ilegal y no afecta los derechos a la integridad física y síquica, a la igualdad ante la ley, a la honra, a la educación y el de propiedad  sobre la calidad de </w:t>
      </w:r>
      <w:proofErr w:type="gramStart"/>
      <w:r>
        <w:rPr>
          <w:rFonts w:ascii="Garamond" w:hAnsi="Garamond"/>
          <w:color w:val="0000FF"/>
        </w:rPr>
        <w:t>estudiante contemplados</w:t>
      </w:r>
      <w:proofErr w:type="gramEnd"/>
      <w:r>
        <w:rPr>
          <w:rFonts w:ascii="Garamond" w:hAnsi="Garamond"/>
          <w:color w:val="0000FF"/>
        </w:rPr>
        <w:t xml:space="preserve"> en el art. 19 </w:t>
      </w:r>
      <w:proofErr w:type="spellStart"/>
      <w:r>
        <w:rPr>
          <w:rFonts w:ascii="Garamond" w:hAnsi="Garamond"/>
          <w:color w:val="0000FF"/>
        </w:rPr>
        <w:t>n°s</w:t>
      </w:r>
      <w:proofErr w:type="spellEnd"/>
      <w:r>
        <w:rPr>
          <w:rFonts w:ascii="Garamond" w:hAnsi="Garamond"/>
          <w:color w:val="0000FF"/>
        </w:rPr>
        <w:t xml:space="preserve">. 1,3, 4, 10 y 24, respectivamente, de la Constitución Política de la República. </w:t>
      </w:r>
    </w:p>
    <w:p w:rsidR="0020460C" w:rsidRDefault="0020460C">
      <w:pPr>
        <w:pStyle w:val="Textoindependiente"/>
        <w:jc w:val="both"/>
      </w:pPr>
    </w:p>
    <w:p w:rsidR="0020460C" w:rsidRDefault="00CA4DD8">
      <w:pPr>
        <w:pStyle w:val="Textoindependiente"/>
        <w:jc w:val="both"/>
        <w:sectPr w:rsidR="0020460C">
          <w:footnotePr>
            <w:pos w:val="beneathText"/>
          </w:footnotePr>
          <w:pgSz w:w="12240" w:h="20163"/>
          <w:pgMar w:top="1701" w:right="1701" w:bottom="2552" w:left="1701" w:header="720" w:footer="720" w:gutter="0"/>
          <w:cols w:space="720"/>
          <w:docGrid w:linePitch="254"/>
        </w:sectPr>
      </w:pPr>
      <w:r>
        <w:t>Corte de Apelaciones de Santiago,  rechaza recurso de protección, sentencia de 10 de marzo de 2005, Rol N° 8047-04.</w:t>
      </w:r>
    </w:p>
    <w:p w:rsidR="0020460C" w:rsidRDefault="00CA4DD8">
      <w:pPr>
        <w:jc w:val="both"/>
        <w:rPr>
          <w:rFonts w:ascii="Book Antiqua" w:hAnsi="Book Antiqua"/>
          <w:sz w:val="20"/>
        </w:rPr>
      </w:pPr>
      <w:r>
        <w:rPr>
          <w:rFonts w:ascii="Book Antiqua" w:hAnsi="Book Antiqua"/>
          <w:b/>
          <w:bCs/>
          <w:color w:val="0000FF"/>
          <w:sz w:val="20"/>
          <w:u w:val="single"/>
        </w:rPr>
        <w:lastRenderedPageBreak/>
        <w:t>ANTECEDENTES:</w:t>
      </w:r>
      <w:r>
        <w:rPr>
          <w:rFonts w:ascii="Book Antiqua" w:hAnsi="Book Antiqua"/>
          <w:b/>
          <w:bCs/>
          <w:color w:val="0000FF"/>
          <w:sz w:val="20"/>
        </w:rPr>
        <w:t xml:space="preserve"> </w:t>
      </w:r>
      <w:r>
        <w:rPr>
          <w:rFonts w:ascii="Book Antiqua" w:hAnsi="Book Antiqua"/>
          <w:sz w:val="20"/>
        </w:rPr>
        <w:t xml:space="preserve">Doña </w:t>
      </w:r>
      <w:proofErr w:type="spellStart"/>
      <w:r>
        <w:rPr>
          <w:rFonts w:ascii="Book Antiqua" w:hAnsi="Book Antiqua"/>
          <w:sz w:val="20"/>
        </w:rPr>
        <w:t>Maria</w:t>
      </w:r>
      <w:proofErr w:type="spellEnd"/>
      <w:r>
        <w:rPr>
          <w:rFonts w:ascii="Book Antiqua" w:hAnsi="Book Antiqua"/>
          <w:sz w:val="20"/>
        </w:rPr>
        <w:t xml:space="preserve"> de Los </w:t>
      </w:r>
      <w:proofErr w:type="spellStart"/>
      <w:r>
        <w:rPr>
          <w:rFonts w:ascii="Book Antiqua" w:hAnsi="Book Antiqua"/>
          <w:sz w:val="20"/>
        </w:rPr>
        <w:t>Angeles</w:t>
      </w:r>
      <w:proofErr w:type="spellEnd"/>
      <w:r>
        <w:rPr>
          <w:rFonts w:ascii="Book Antiqua" w:hAnsi="Book Antiqua"/>
          <w:sz w:val="20"/>
        </w:rPr>
        <w:t xml:space="preserve"> Núñez Contreras, en su calidad de madre de Jean </w:t>
      </w:r>
      <w:proofErr w:type="spellStart"/>
      <w:r>
        <w:rPr>
          <w:rFonts w:ascii="Book Antiqua" w:hAnsi="Book Antiqua"/>
          <w:sz w:val="20"/>
        </w:rPr>
        <w:t>Angeles</w:t>
      </w:r>
      <w:proofErr w:type="spellEnd"/>
      <w:r>
        <w:rPr>
          <w:rFonts w:ascii="Book Antiqua" w:hAnsi="Book Antiqua"/>
          <w:sz w:val="20"/>
        </w:rPr>
        <w:t xml:space="preserve"> Phillips Núñez, y Rosa Molina San Martín en su calidad de madre de Carla Pía Guevara Molina, han recurrido de protección en contra del Establecimiento Educacional Liceo de Niñas N°A-1, </w:t>
      </w:r>
      <w:proofErr w:type="spellStart"/>
      <w:r>
        <w:rPr>
          <w:rFonts w:ascii="Book Antiqua" w:hAnsi="Book Antiqua"/>
          <w:sz w:val="20"/>
        </w:rPr>
        <w:t>Javiera</w:t>
      </w:r>
      <w:proofErr w:type="spellEnd"/>
      <w:r>
        <w:rPr>
          <w:rFonts w:ascii="Book Antiqua" w:hAnsi="Book Antiqua"/>
          <w:sz w:val="20"/>
        </w:rPr>
        <w:t xml:space="preserve"> Carrera, y en contra de su Directora  doña Julia Alvarado </w:t>
      </w:r>
      <w:proofErr w:type="spellStart"/>
      <w:r>
        <w:rPr>
          <w:rFonts w:ascii="Book Antiqua" w:hAnsi="Book Antiqua"/>
          <w:sz w:val="20"/>
        </w:rPr>
        <w:t>Thimeos</w:t>
      </w:r>
      <w:proofErr w:type="spellEnd"/>
      <w:r>
        <w:rPr>
          <w:rFonts w:ascii="Book Antiqua" w:hAnsi="Book Antiqua"/>
          <w:sz w:val="20"/>
        </w:rPr>
        <w:t xml:space="preserve">, ya que con fecha 23 de noviembre de 2004  fueron expulsadas del establecimiento educacional. Las acusan de que el día 17 de noviembre </w:t>
      </w:r>
      <w:proofErr w:type="gramStart"/>
      <w:r>
        <w:rPr>
          <w:rFonts w:ascii="Book Antiqua" w:hAnsi="Book Antiqua"/>
          <w:sz w:val="20"/>
        </w:rPr>
        <w:t>trataron</w:t>
      </w:r>
      <w:proofErr w:type="gramEnd"/>
      <w:r>
        <w:rPr>
          <w:rFonts w:ascii="Book Antiqua" w:hAnsi="Book Antiqua"/>
          <w:sz w:val="20"/>
        </w:rPr>
        <w:t xml:space="preserve"> de instalar un artefacto explosivo en el portón del liceo. Dichas expulsiones ha sido una medida adoptada por la recurrida siendo absolutamente injustificada, ilegal, discriminatoria  y arbitraria. Estiman que el acto de expulsión  constituye  acto ilegal y arbitrario que atenta contra las garantías constitucionales establecidas en el art. 19 en sus números  1, 2, 3, 4, 10 y 24 de la Constitución Políticas de Chile. Terminan pidiendo que se ordene el cese inmediato de todo acto que afecte las garantías constitucionales señaladas en el recurso  y se declare expresamente  que los actos  de la recurrida  son ilegales y arbitrarios  y se ordene  la inmediata reincorporación  de sus hijas  a sus clases  normales. La recurrida Julia Alvarado </w:t>
      </w:r>
      <w:proofErr w:type="spellStart"/>
      <w:r>
        <w:rPr>
          <w:rFonts w:ascii="Book Antiqua" w:hAnsi="Book Antiqua"/>
          <w:sz w:val="20"/>
        </w:rPr>
        <w:t>Thimeos</w:t>
      </w:r>
      <w:proofErr w:type="spellEnd"/>
      <w:r>
        <w:rPr>
          <w:rFonts w:ascii="Book Antiqua" w:hAnsi="Book Antiqua"/>
          <w:sz w:val="20"/>
        </w:rPr>
        <w:t xml:space="preserve">, Directora del Liceo </w:t>
      </w:r>
      <w:proofErr w:type="spellStart"/>
      <w:r>
        <w:rPr>
          <w:rFonts w:ascii="Book Antiqua" w:hAnsi="Book Antiqua"/>
          <w:sz w:val="20"/>
        </w:rPr>
        <w:t>Javiera</w:t>
      </w:r>
      <w:proofErr w:type="spellEnd"/>
      <w:r>
        <w:rPr>
          <w:rFonts w:ascii="Book Antiqua" w:hAnsi="Book Antiqua"/>
          <w:sz w:val="20"/>
        </w:rPr>
        <w:t xml:space="preserve"> Carrera A1 dependiente de la Municipalidad de Santiago, evacua  informe  solicitado pidiendo su total rechazo , manifestando en síntesis  que el recurso  de protección  carece de fundamentos y que la medida disciplinaria  adoptada  respecto  de las hijas  de las recurrentes  no es arbitraria ni ilegal. La medida aplicada  e impugnada por las recurrentes  debe ser analizada necesariamente a la luz de los hechos imputados y de las facultades de la directora del establecimiento, puesto que los hechos  descritos involucran una conducta premeditada voluntaria y peligrosa, cuyo objetivo evidente era provocar daño y pánico en las alumnas y personal del establecimiento y en el de los transeúntes del lugar, amparados en el malestar  con la reunión </w:t>
      </w:r>
      <w:proofErr w:type="spellStart"/>
      <w:r>
        <w:rPr>
          <w:rFonts w:ascii="Book Antiqua" w:hAnsi="Book Antiqua"/>
          <w:sz w:val="20"/>
        </w:rPr>
        <w:t>Apec</w:t>
      </w:r>
      <w:proofErr w:type="spellEnd"/>
      <w:r>
        <w:rPr>
          <w:rFonts w:ascii="Book Antiqua" w:hAnsi="Book Antiqua"/>
          <w:sz w:val="20"/>
        </w:rPr>
        <w:t xml:space="preserve">. Los antecedentes además por su gravedad fueron puesto en conocimiento de la justicia del crimen  y en consecuencia cualquier medida que se debió aplicar no puede entenderse como un mero capricho ajeno a la  razón  o a falta  de una debida  ponderación  sino de una actitud adoptada  en resguardo  de los intereses  superiores  del resto  del alumnado y profesores  por lo  que siendo  hechos graves  sólo correspondían  a esa  autoridad informante  aplicar la máxima sanción. En cuanto a la legalidad de la aplicación de la medida  menciona  la recurrida  lo dispuesto  en el artículo 25 del Reglamento Interno y dada la gravedad de los hechos el día miércoles 17 de noviembre de 2004, a las 14:00 hrs. cita a una reunión extraordinaria al Equipo de Gestión  Ampliado con integración  de personal  de </w:t>
      </w:r>
      <w:proofErr w:type="spellStart"/>
      <w:r>
        <w:rPr>
          <w:rFonts w:ascii="Book Antiqua" w:hAnsi="Book Antiqua"/>
          <w:sz w:val="20"/>
        </w:rPr>
        <w:t>Inspectoría</w:t>
      </w:r>
      <w:proofErr w:type="spellEnd"/>
      <w:r>
        <w:rPr>
          <w:rFonts w:ascii="Book Antiqua" w:hAnsi="Book Antiqua"/>
          <w:sz w:val="20"/>
        </w:rPr>
        <w:t xml:space="preserve">; Orientación, Docente , Evaluadoras, Centro de Padres y Co-docentes, resultando de esta sesión  el cierre del año académico  para las alumnas involucradas, sin derecho a matrícula  para el año siguiente. Se tuvo a vista causa  criminal  N ° 216.345-3 del tercer Juzgado  del Crimen de Santiago, iniciada mediante parte  policial de la Tercera Comisaría  de Carabineros  de Santiago de fecha 17 de noviembre de 2004, donde se da cuenta al tribunal del atentado explosivo  en el Liceo A1.   </w:t>
      </w:r>
    </w:p>
    <w:p w:rsidR="0020460C" w:rsidRDefault="0020460C">
      <w:pPr>
        <w:jc w:val="both"/>
        <w:rPr>
          <w:rFonts w:ascii="Book Antiqua" w:hAnsi="Book Antiqua"/>
          <w:b/>
          <w:bCs/>
          <w:color w:val="0000FF"/>
          <w:sz w:val="20"/>
          <w:u w:val="single"/>
        </w:rPr>
      </w:pPr>
    </w:p>
    <w:p w:rsidR="0020460C" w:rsidRDefault="00CA4DD8">
      <w:pPr>
        <w:jc w:val="both"/>
        <w:rPr>
          <w:rFonts w:ascii="Book Antiqua" w:hAnsi="Book Antiqua"/>
          <w:sz w:val="20"/>
        </w:rPr>
      </w:pPr>
      <w:proofErr w:type="gramStart"/>
      <w:r>
        <w:rPr>
          <w:rFonts w:ascii="Book Antiqua" w:hAnsi="Book Antiqua"/>
          <w:b/>
          <w:bCs/>
          <w:color w:val="0000FF"/>
          <w:sz w:val="20"/>
          <w:u w:val="single"/>
        </w:rPr>
        <w:t>RESUELVE :</w:t>
      </w:r>
      <w:proofErr w:type="gramEnd"/>
      <w:r>
        <w:rPr>
          <w:rFonts w:ascii="Book Antiqua" w:hAnsi="Book Antiqua"/>
          <w:b/>
          <w:bCs/>
          <w:color w:val="0000FF"/>
          <w:sz w:val="20"/>
        </w:rPr>
        <w:t xml:space="preserve"> </w:t>
      </w:r>
      <w:r>
        <w:rPr>
          <w:rFonts w:ascii="Book Antiqua" w:hAnsi="Book Antiqua"/>
          <w:color w:val="000000"/>
          <w:sz w:val="20"/>
        </w:rPr>
        <w:t>Con lo relacionado y considerando</w:t>
      </w:r>
      <w:r>
        <w:rPr>
          <w:rFonts w:ascii="Book Antiqua" w:hAnsi="Book Antiqua"/>
          <w:sz w:val="20"/>
        </w:rPr>
        <w:t xml:space="preserve"> la C. </w:t>
      </w:r>
      <w:proofErr w:type="gramStart"/>
      <w:r>
        <w:rPr>
          <w:rFonts w:ascii="Book Antiqua" w:hAnsi="Book Antiqua"/>
          <w:sz w:val="20"/>
        </w:rPr>
        <w:t>A .</w:t>
      </w:r>
      <w:proofErr w:type="gramEnd"/>
      <w:r>
        <w:rPr>
          <w:rFonts w:ascii="Book Antiqua" w:hAnsi="Book Antiqua"/>
          <w:sz w:val="20"/>
        </w:rPr>
        <w:t xml:space="preserve"> </w:t>
      </w:r>
      <w:proofErr w:type="gramStart"/>
      <w:r>
        <w:rPr>
          <w:rFonts w:ascii="Book Antiqua" w:hAnsi="Book Antiqua"/>
          <w:sz w:val="20"/>
        </w:rPr>
        <w:t>resolvió</w:t>
      </w:r>
      <w:proofErr w:type="gramEnd"/>
      <w:r>
        <w:rPr>
          <w:rFonts w:ascii="Book Antiqua" w:hAnsi="Book Antiqua"/>
          <w:sz w:val="20"/>
        </w:rPr>
        <w:t xml:space="preserve"> rechazar el recurso de protección interpuesto argumentando: </w:t>
      </w:r>
    </w:p>
    <w:p w:rsidR="0020460C" w:rsidRDefault="00CA4DD8">
      <w:pPr>
        <w:jc w:val="both"/>
        <w:rPr>
          <w:rFonts w:ascii="Book Antiqua" w:hAnsi="Book Antiqua" w:cs="Tahoma"/>
          <w:color w:val="000000"/>
          <w:sz w:val="20"/>
        </w:rPr>
      </w:pPr>
      <w:r>
        <w:rPr>
          <w:rFonts w:ascii="Book Antiqua" w:hAnsi="Book Antiqua"/>
          <w:b/>
          <w:bCs/>
          <w:color w:val="0000FF"/>
          <w:sz w:val="20"/>
        </w:rPr>
        <w:t>(...)</w:t>
      </w:r>
      <w:r>
        <w:rPr>
          <w:rFonts w:ascii="Book Antiqua" w:hAnsi="Book Antiqua" w:cs="Tahoma"/>
          <w:b/>
          <w:bCs/>
          <w:color w:val="0000FF"/>
          <w:sz w:val="20"/>
        </w:rPr>
        <w:t>SEXTO:</w:t>
      </w:r>
      <w:r>
        <w:rPr>
          <w:rFonts w:ascii="Book Antiqua" w:hAnsi="Book Antiqua" w:cs="Tahoma"/>
          <w:b/>
          <w:bCs/>
          <w:i/>
          <w:iCs/>
          <w:color w:val="0000FF"/>
          <w:sz w:val="20"/>
        </w:rPr>
        <w:t xml:space="preserve"> </w:t>
      </w:r>
      <w:r>
        <w:rPr>
          <w:rFonts w:ascii="Book Antiqua" w:hAnsi="Book Antiqua" w:cs="Tahoma"/>
          <w:b/>
          <w:bCs/>
          <w:i/>
          <w:iCs/>
          <w:color w:val="000000"/>
          <w:sz w:val="20"/>
        </w:rPr>
        <w:t>“</w:t>
      </w:r>
      <w:r>
        <w:rPr>
          <w:rFonts w:ascii="Book Antiqua" w:hAnsi="Book Antiqua" w:cs="Tahoma"/>
          <w:i/>
          <w:iCs/>
          <w:color w:val="000000"/>
          <w:sz w:val="20"/>
        </w:rPr>
        <w:t xml:space="preserve">Que la determinación del cierre del año académico para las recurridas  sin derecho  a matrícula  para el año siguiente, no fue adoptada  sólo y únicamente por la Directora de la recurrida  sino como ésta lo dice, por el Equipo de Gestión Ampliado (EGA) del Colegio, integrado por personal de </w:t>
      </w:r>
      <w:proofErr w:type="spellStart"/>
      <w:r>
        <w:rPr>
          <w:rFonts w:ascii="Book Antiqua" w:hAnsi="Book Antiqua" w:cs="Tahoma"/>
          <w:i/>
          <w:iCs/>
          <w:color w:val="000000"/>
          <w:sz w:val="20"/>
        </w:rPr>
        <w:t>inspectoría</w:t>
      </w:r>
      <w:proofErr w:type="spellEnd"/>
      <w:r>
        <w:rPr>
          <w:rFonts w:ascii="Book Antiqua" w:hAnsi="Book Antiqua" w:cs="Tahoma"/>
          <w:i/>
          <w:iCs/>
          <w:color w:val="000000"/>
          <w:sz w:val="20"/>
        </w:rPr>
        <w:t>, llevada a efecto  el día 17 de noviembre de 2004  quienes  consideraron  los hechos como una infracción grave según lo establecido en el Reglamento Interno del establecimiento, Título V Las Medidas Disciplinarias,  artículo 25, letra i y letra o, según se lee en copia  del acta  de dicha sesión  rola a fs.50.”</w:t>
      </w:r>
      <w:r>
        <w:rPr>
          <w:rFonts w:ascii="Book Antiqua" w:hAnsi="Book Antiqua" w:cs="Tahoma"/>
          <w:color w:val="000000"/>
          <w:sz w:val="20"/>
        </w:rPr>
        <w:t xml:space="preserve"> </w:t>
      </w:r>
      <w:r>
        <w:rPr>
          <w:rFonts w:ascii="Book Antiqua" w:hAnsi="Book Antiqua" w:cs="Tahoma"/>
          <w:b/>
          <w:bCs/>
          <w:color w:val="0000FF"/>
          <w:sz w:val="20"/>
        </w:rPr>
        <w:t>SÉPTIMO:</w:t>
      </w:r>
      <w:r>
        <w:rPr>
          <w:rFonts w:ascii="Book Antiqua" w:hAnsi="Book Antiqua" w:cs="Tahoma"/>
          <w:b/>
          <w:bCs/>
          <w:i/>
          <w:iCs/>
          <w:color w:val="0000FF"/>
          <w:sz w:val="20"/>
        </w:rPr>
        <w:t xml:space="preserve"> </w:t>
      </w:r>
      <w:r>
        <w:rPr>
          <w:rFonts w:ascii="Book Antiqua" w:hAnsi="Book Antiqua" w:cs="Tahoma"/>
          <w:i/>
          <w:iCs/>
          <w:color w:val="000000"/>
          <w:sz w:val="20"/>
        </w:rPr>
        <w:t xml:space="preserve"> “Que, de este modo aparece  que la decisión  adoptada  por el  establecimiento  recurrido  en contra  de las recurrentes  no ha sido arbitraria , es decir , sin razón  alguna o por su mero capricho, y además  se encuentra fundada  en el reglamento  interno  del Colegio </w:t>
      </w:r>
      <w:proofErr w:type="spellStart"/>
      <w:r>
        <w:rPr>
          <w:rFonts w:ascii="Book Antiqua" w:hAnsi="Book Antiqua" w:cs="Tahoma"/>
          <w:i/>
          <w:iCs/>
          <w:color w:val="000000"/>
          <w:sz w:val="20"/>
        </w:rPr>
        <w:t>Javiera</w:t>
      </w:r>
      <w:proofErr w:type="spellEnd"/>
      <w:r>
        <w:rPr>
          <w:rFonts w:ascii="Book Antiqua" w:hAnsi="Book Antiqua" w:cs="Tahoma"/>
          <w:i/>
          <w:iCs/>
          <w:color w:val="000000"/>
          <w:sz w:val="20"/>
        </w:rPr>
        <w:t xml:space="preserve"> Carrera, que como cuerpo  social intermedio  el estado le reconoce facultad  de dictar sus normas  internas  y que resultan  obligatorias a todos sus integrantes  y por supuesto  al alumnado  de ese establecimiento, por lo que, en consecuencia, tampoco  el acto recurrido resulta  ser ilegal.” </w:t>
      </w:r>
      <w:r>
        <w:rPr>
          <w:rFonts w:ascii="Book Antiqua" w:hAnsi="Book Antiqua" w:cs="Tahoma"/>
          <w:b/>
          <w:bCs/>
          <w:color w:val="0000FF"/>
          <w:sz w:val="20"/>
        </w:rPr>
        <w:t>OCTAVO:</w:t>
      </w:r>
      <w:r>
        <w:rPr>
          <w:rFonts w:ascii="Book Antiqua" w:hAnsi="Book Antiqua" w:cs="Tahoma"/>
          <w:color w:val="000000"/>
          <w:sz w:val="20"/>
        </w:rPr>
        <w:t xml:space="preserve"> </w:t>
      </w:r>
      <w:r>
        <w:rPr>
          <w:rFonts w:ascii="Book Antiqua" w:hAnsi="Book Antiqua" w:cs="Tahoma"/>
          <w:i/>
          <w:iCs/>
          <w:color w:val="000000"/>
          <w:sz w:val="20"/>
        </w:rPr>
        <w:t>”Que , de acuerdo  a todo lo antes referido aparece que el actuar de la recurrida  no constituye  un acto ilegal o arbitrario, y por el contrario  existía motivo suficiente  y grave  para</w:t>
      </w:r>
      <w:r>
        <w:rPr>
          <w:rFonts w:ascii="Book Antiqua" w:hAnsi="Book Antiqua" w:cs="Tahoma"/>
          <w:color w:val="000000"/>
          <w:sz w:val="20"/>
        </w:rPr>
        <w:t xml:space="preserve"> </w:t>
      </w:r>
      <w:r>
        <w:rPr>
          <w:rFonts w:ascii="Book Antiqua" w:hAnsi="Book Antiqua" w:cs="Tahoma"/>
          <w:i/>
          <w:iCs/>
          <w:color w:val="000000"/>
          <w:sz w:val="20"/>
        </w:rPr>
        <w:t>adoptar la</w:t>
      </w:r>
      <w:r>
        <w:rPr>
          <w:rFonts w:ascii="Book Antiqua" w:hAnsi="Book Antiqua" w:cs="Tahoma"/>
          <w:color w:val="000000"/>
          <w:sz w:val="20"/>
        </w:rPr>
        <w:t xml:space="preserve"> </w:t>
      </w:r>
      <w:r>
        <w:rPr>
          <w:rFonts w:ascii="Book Antiqua" w:hAnsi="Book Antiqua" w:cs="Tahoma"/>
          <w:i/>
          <w:iCs/>
          <w:color w:val="000000"/>
          <w:sz w:val="20"/>
        </w:rPr>
        <w:t xml:space="preserve">medida de cierre  del año académico  para las alumnas recurrentes, sin derecho a matrícula para el año </w:t>
      </w:r>
      <w:r>
        <w:rPr>
          <w:rFonts w:ascii="Book Antiqua" w:hAnsi="Book Antiqua" w:cs="Tahoma"/>
          <w:i/>
          <w:iCs/>
          <w:color w:val="000000"/>
          <w:sz w:val="20"/>
        </w:rPr>
        <w:lastRenderedPageBreak/>
        <w:t xml:space="preserve">siguiente, por muy drástica que resulte ser dicha decisión . No siendo arbitrario o ilegal el acto contra el cual se </w:t>
      </w:r>
      <w:proofErr w:type="gramStart"/>
      <w:r>
        <w:rPr>
          <w:rFonts w:ascii="Book Antiqua" w:hAnsi="Book Antiqua" w:cs="Tahoma"/>
          <w:i/>
          <w:iCs/>
          <w:color w:val="000000"/>
          <w:sz w:val="20"/>
        </w:rPr>
        <w:t>recurre ,</w:t>
      </w:r>
      <w:proofErr w:type="gramEnd"/>
      <w:r>
        <w:rPr>
          <w:rFonts w:ascii="Book Antiqua" w:hAnsi="Book Antiqua" w:cs="Tahoma"/>
          <w:i/>
          <w:iCs/>
          <w:color w:val="000000"/>
          <w:sz w:val="20"/>
        </w:rPr>
        <w:t xml:space="preserve"> no se analizan  las disposiciones  constitucionales  invocadas en el recurso</w:t>
      </w:r>
      <w:r>
        <w:rPr>
          <w:rFonts w:ascii="Book Antiqua" w:hAnsi="Book Antiqua" w:cs="Tahoma"/>
          <w:color w:val="000000"/>
          <w:sz w:val="20"/>
        </w:rPr>
        <w:t xml:space="preserve">. </w:t>
      </w:r>
    </w:p>
    <w:p w:rsidR="0020460C" w:rsidRDefault="00CA4DD8">
      <w:pPr>
        <w:jc w:val="both"/>
        <w:rPr>
          <w:rFonts w:ascii="Book Antiqua" w:hAnsi="Book Antiqua" w:cs="Tahoma"/>
          <w:i/>
          <w:iCs/>
          <w:sz w:val="20"/>
        </w:rPr>
      </w:pPr>
      <w:r>
        <w:rPr>
          <w:rFonts w:ascii="Book Antiqua" w:hAnsi="Book Antiqua" w:cs="Tahoma"/>
          <w:i/>
          <w:iCs/>
          <w:color w:val="000000"/>
          <w:sz w:val="20"/>
        </w:rPr>
        <w:t xml:space="preserve">“Por estas  consideraciones  y conforme  con lo que disponen los artículos  19 y 20 de la Constitución  Política de la República  y auto acordado  de la Excma. Corte Suprema  sobre tramitación </w:t>
      </w:r>
      <w:r>
        <w:rPr>
          <w:rFonts w:ascii="Book Antiqua" w:hAnsi="Book Antiqua" w:cs="Tahoma"/>
          <w:i/>
          <w:iCs/>
          <w:sz w:val="20"/>
        </w:rPr>
        <w:t xml:space="preserve">del recurso de protección de garantías constitucionales, </w:t>
      </w:r>
      <w:r>
        <w:rPr>
          <w:rFonts w:ascii="Book Antiqua" w:hAnsi="Book Antiqua" w:cs="Tahoma"/>
          <w:b/>
          <w:bCs/>
          <w:i/>
          <w:iCs/>
          <w:sz w:val="20"/>
        </w:rPr>
        <w:t xml:space="preserve">se declara que </w:t>
      </w:r>
      <w:r>
        <w:rPr>
          <w:rFonts w:ascii="Book Antiqua" w:hAnsi="Book Antiqua" w:cs="Tahoma"/>
          <w:b/>
          <w:bCs/>
          <w:sz w:val="20"/>
        </w:rPr>
        <w:t>se rechaza el recurso de protección</w:t>
      </w:r>
      <w:r>
        <w:rPr>
          <w:rFonts w:ascii="Book Antiqua" w:hAnsi="Book Antiqua" w:cs="Tahoma"/>
          <w:b/>
          <w:bCs/>
          <w:i/>
          <w:iCs/>
          <w:sz w:val="20"/>
        </w:rPr>
        <w:t xml:space="preserve">, </w:t>
      </w:r>
      <w:r>
        <w:rPr>
          <w:rFonts w:ascii="Book Antiqua" w:hAnsi="Book Antiqua" w:cs="Tahoma"/>
          <w:i/>
          <w:iCs/>
          <w:sz w:val="20"/>
        </w:rPr>
        <w:t xml:space="preserve">deducido a fs. 1 por </w:t>
      </w:r>
      <w:r>
        <w:rPr>
          <w:rFonts w:ascii="Book Antiqua" w:hAnsi="Book Antiqua"/>
          <w:i/>
          <w:iCs/>
          <w:sz w:val="20"/>
        </w:rPr>
        <w:t xml:space="preserve">Doña </w:t>
      </w:r>
      <w:proofErr w:type="spellStart"/>
      <w:r>
        <w:rPr>
          <w:rFonts w:ascii="Book Antiqua" w:hAnsi="Book Antiqua"/>
          <w:i/>
          <w:iCs/>
          <w:sz w:val="20"/>
        </w:rPr>
        <w:t>Maria</w:t>
      </w:r>
      <w:proofErr w:type="spellEnd"/>
      <w:r>
        <w:rPr>
          <w:rFonts w:ascii="Book Antiqua" w:hAnsi="Book Antiqua"/>
          <w:i/>
          <w:iCs/>
          <w:sz w:val="20"/>
        </w:rPr>
        <w:t xml:space="preserve"> de Los </w:t>
      </w:r>
      <w:proofErr w:type="spellStart"/>
      <w:r>
        <w:rPr>
          <w:rFonts w:ascii="Book Antiqua" w:hAnsi="Book Antiqua"/>
          <w:i/>
          <w:iCs/>
          <w:sz w:val="20"/>
        </w:rPr>
        <w:t>Angeles</w:t>
      </w:r>
      <w:proofErr w:type="spellEnd"/>
      <w:r>
        <w:rPr>
          <w:rFonts w:ascii="Book Antiqua" w:hAnsi="Book Antiqua"/>
          <w:i/>
          <w:iCs/>
          <w:sz w:val="20"/>
        </w:rPr>
        <w:t xml:space="preserve"> Núñez Contreras y  Rosa Molina San Martín en representación de su hijas Jean </w:t>
      </w:r>
      <w:proofErr w:type="spellStart"/>
      <w:r>
        <w:rPr>
          <w:rFonts w:ascii="Book Antiqua" w:hAnsi="Book Antiqua"/>
          <w:i/>
          <w:iCs/>
          <w:sz w:val="20"/>
        </w:rPr>
        <w:t>Angeles</w:t>
      </w:r>
      <w:proofErr w:type="spellEnd"/>
      <w:r>
        <w:rPr>
          <w:rFonts w:ascii="Book Antiqua" w:hAnsi="Book Antiqua"/>
          <w:i/>
          <w:iCs/>
          <w:sz w:val="20"/>
        </w:rPr>
        <w:t xml:space="preserve"> Phillips Núñez y Carla Pía Guevara Molina, respectivamente.</w:t>
      </w:r>
      <w:r>
        <w:rPr>
          <w:rFonts w:ascii="Book Antiqua" w:hAnsi="Book Antiqua" w:cs="Tahoma"/>
          <w:i/>
          <w:iCs/>
          <w:sz w:val="20"/>
        </w:rPr>
        <w:t xml:space="preserve">” </w:t>
      </w:r>
    </w:p>
    <w:p w:rsidR="0020460C" w:rsidRDefault="0020460C">
      <w:pPr>
        <w:pStyle w:val="WW-Textoindependiente2"/>
      </w:pPr>
    </w:p>
    <w:p w:rsidR="00CA4DD8" w:rsidRDefault="00CA4DD8">
      <w:pPr>
        <w:pStyle w:val="WW-Textoindependiente2"/>
      </w:pPr>
      <w:r>
        <w:t>Sentencia no fue apelada.</w:t>
      </w:r>
    </w:p>
    <w:sectPr w:rsidR="00CA4DD8" w:rsidSect="0020460C">
      <w:footnotePr>
        <w:pos w:val="beneathText"/>
      </w:footnotePr>
      <w:type w:val="continuous"/>
      <w:pgSz w:w="12240" w:h="20163"/>
      <w:pgMar w:top="1701" w:right="1701" w:bottom="2552" w:left="1701" w:header="720" w:footer="720" w:gutter="0"/>
      <w:cols w:space="720"/>
      <w:docGrid w:linePitch="2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0"/>
        </w:tabs>
        <w:ind w:left="0" w:firstLine="0"/>
      </w:pPr>
    </w:lvl>
    <w:lvl w:ilvl="1">
      <w:start w:val="1"/>
      <w:numFmt w:val="none"/>
      <w:pStyle w:val="Ttulo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
  <w:rsids>
    <w:rsidRoot w:val="00BF3CF5"/>
    <w:rsid w:val="0020460C"/>
    <w:rsid w:val="002777A5"/>
    <w:rsid w:val="00BF3CF5"/>
    <w:rsid w:val="00CA4DD8"/>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60C"/>
    <w:pPr>
      <w:suppressAutoHyphens/>
    </w:pPr>
    <w:rPr>
      <w:sz w:val="24"/>
      <w:szCs w:val="24"/>
      <w:lang w:eastAsia="ar-SA"/>
    </w:rPr>
  </w:style>
  <w:style w:type="paragraph" w:styleId="Ttulo1">
    <w:name w:val="heading 1"/>
    <w:basedOn w:val="Normal"/>
    <w:next w:val="Normal"/>
    <w:qFormat/>
    <w:rsid w:val="0020460C"/>
    <w:pPr>
      <w:keepNext/>
      <w:numPr>
        <w:numId w:val="1"/>
      </w:numPr>
      <w:outlineLvl w:val="0"/>
    </w:pPr>
    <w:rPr>
      <w:rFonts w:ascii="Book Antiqua" w:hAnsi="Book Antiqua"/>
      <w:b/>
      <w:bCs/>
      <w:sz w:val="20"/>
    </w:rPr>
  </w:style>
  <w:style w:type="paragraph" w:styleId="Ttulo2">
    <w:name w:val="heading 2"/>
    <w:basedOn w:val="Normal"/>
    <w:next w:val="Normal"/>
    <w:qFormat/>
    <w:rsid w:val="0020460C"/>
    <w:pPr>
      <w:keepNext/>
      <w:numPr>
        <w:ilvl w:val="1"/>
        <w:numId w:val="1"/>
      </w:numPr>
      <w:ind w:left="-561" w:right="-510"/>
      <w:outlineLvl w:val="1"/>
    </w:pPr>
    <w:rPr>
      <w:rFonts w:ascii="Book Antiqua" w:hAnsi="Book Antiqua"/>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Fuentedeprrafopredeter">
    <w:name w:val="WW-Fuente de párrafo predeter."/>
    <w:rsid w:val="0020460C"/>
  </w:style>
  <w:style w:type="paragraph" w:styleId="Textoindependiente">
    <w:name w:val="Body Text"/>
    <w:basedOn w:val="Normal"/>
    <w:semiHidden/>
    <w:rsid w:val="0020460C"/>
    <w:pPr>
      <w:spacing w:line="360" w:lineRule="auto"/>
    </w:pPr>
    <w:rPr>
      <w:rFonts w:ascii="Book Antiqua" w:hAnsi="Book Antiqua"/>
      <w:b/>
      <w:bCs/>
      <w:color w:val="0000FF"/>
      <w:sz w:val="20"/>
    </w:rPr>
  </w:style>
  <w:style w:type="paragraph" w:styleId="Lista">
    <w:name w:val="List"/>
    <w:basedOn w:val="Textoindependiente"/>
    <w:semiHidden/>
    <w:rsid w:val="0020460C"/>
    <w:rPr>
      <w:rFonts w:cs="Tahoma"/>
    </w:rPr>
  </w:style>
  <w:style w:type="paragraph" w:customStyle="1" w:styleId="Etiqueta">
    <w:name w:val="Etiqueta"/>
    <w:basedOn w:val="Normal"/>
    <w:rsid w:val="0020460C"/>
    <w:pPr>
      <w:suppressLineNumbers/>
      <w:spacing w:before="120" w:after="120"/>
    </w:pPr>
    <w:rPr>
      <w:rFonts w:cs="Tahoma"/>
      <w:i/>
      <w:iCs/>
      <w:sz w:val="20"/>
      <w:szCs w:val="20"/>
    </w:rPr>
  </w:style>
  <w:style w:type="paragraph" w:customStyle="1" w:styleId="ndice">
    <w:name w:val="Índice"/>
    <w:basedOn w:val="Normal"/>
    <w:rsid w:val="0020460C"/>
    <w:pPr>
      <w:suppressLineNumbers/>
    </w:pPr>
    <w:rPr>
      <w:rFonts w:cs="Tahoma"/>
    </w:rPr>
  </w:style>
  <w:style w:type="paragraph" w:customStyle="1" w:styleId="Encabezado1">
    <w:name w:val="Encabezado1"/>
    <w:basedOn w:val="Normal"/>
    <w:next w:val="Textoindependiente"/>
    <w:rsid w:val="0020460C"/>
    <w:pPr>
      <w:keepNext/>
      <w:spacing w:before="240" w:after="120"/>
    </w:pPr>
    <w:rPr>
      <w:rFonts w:ascii="Arial" w:eastAsia="Lucida Sans Unicode" w:hAnsi="Arial" w:cs="Tahoma"/>
      <w:sz w:val="28"/>
      <w:szCs w:val="28"/>
    </w:rPr>
  </w:style>
  <w:style w:type="paragraph" w:customStyle="1" w:styleId="WW-Textoindependiente2">
    <w:name w:val="WW-Texto independiente 2"/>
    <w:basedOn w:val="Normal"/>
    <w:rsid w:val="0020460C"/>
    <w:pPr>
      <w:jc w:val="both"/>
    </w:pPr>
    <w:rPr>
      <w:rFonts w:ascii="Book Antiqua" w:hAnsi="Book Antiqua"/>
      <w:b/>
      <w:bCs/>
      <w:color w:val="0000FF"/>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954</Words>
  <Characters>5253</Characters>
  <Application>Microsoft Office Word</Application>
  <DocSecurity>0</DocSecurity>
  <Lines>43</Lines>
  <Paragraphs>12</Paragraphs>
  <ScaleCrop>false</ScaleCrop>
  <Company/>
  <LinksUpToDate>false</LinksUpToDate>
  <CharactersWithSpaces>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c:title>
  <dc:creator>oscar.acevedo</dc:creator>
  <cp:lastModifiedBy>Natoncita</cp:lastModifiedBy>
  <cp:revision>2</cp:revision>
  <cp:lastPrinted>2011-05-05T13:44:00Z</cp:lastPrinted>
  <dcterms:created xsi:type="dcterms:W3CDTF">2011-05-18T20:07:00Z</dcterms:created>
  <dcterms:modified xsi:type="dcterms:W3CDTF">2011-05-18T20:07:00Z</dcterms:modified>
</cp:coreProperties>
</file>