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48D" w:rsidRPr="00C0119E" w:rsidRDefault="000B048D" w:rsidP="000B048D">
      <w:pPr>
        <w:spacing w:before="100" w:beforeAutospacing="1" w:after="100" w:afterAutospacing="1" w:line="270" w:lineRule="atLeast"/>
        <w:rPr>
          <w:rFonts w:ascii="Verdana" w:eastAsia="Times New Roman" w:hAnsi="Verdana"/>
          <w:color w:val="000000"/>
          <w:sz w:val="15"/>
          <w:szCs w:val="15"/>
          <w:lang w:eastAsia="es-ES"/>
        </w:rPr>
      </w:pPr>
      <w:r w:rsidRPr="00C0119E">
        <w:rPr>
          <w:rFonts w:ascii="Verdana" w:eastAsia="Times New Roman" w:hAnsi="Verdana"/>
          <w:b/>
          <w:bCs/>
          <w:color w:val="000000"/>
          <w:sz w:val="28"/>
          <w:lang w:eastAsia="es-ES"/>
        </w:rPr>
        <w:t xml:space="preserve">Caso </w:t>
      </w:r>
      <w:proofErr w:type="spellStart"/>
      <w:r w:rsidRPr="00C0119E">
        <w:rPr>
          <w:rFonts w:ascii="Verdana" w:eastAsia="Times New Roman" w:hAnsi="Verdana"/>
          <w:b/>
          <w:bCs/>
          <w:color w:val="000000"/>
          <w:sz w:val="28"/>
          <w:lang w:eastAsia="es-ES"/>
        </w:rPr>
        <w:t>Atala</w:t>
      </w:r>
      <w:proofErr w:type="spellEnd"/>
    </w:p>
    <w:p w:rsidR="000B048D" w:rsidRPr="00C0119E" w:rsidRDefault="000B048D" w:rsidP="000B048D">
      <w:pPr>
        <w:spacing w:after="0" w:line="270" w:lineRule="atLeast"/>
        <w:rPr>
          <w:rFonts w:ascii="Times New Roman" w:eastAsia="Times New Roman" w:hAnsi="Times New Roman"/>
          <w:color w:val="000000"/>
          <w:sz w:val="24"/>
          <w:szCs w:val="24"/>
          <w:lang w:eastAsia="es-ES"/>
        </w:rPr>
      </w:pPr>
      <w:r w:rsidRPr="00C0119E">
        <w:rPr>
          <w:rFonts w:ascii="Times New Roman" w:eastAsia="Times New Roman" w:hAnsi="Times New Roman"/>
          <w:color w:val="000000"/>
          <w:sz w:val="24"/>
          <w:szCs w:val="24"/>
          <w:lang w:eastAsia="es-ES"/>
        </w:rPr>
        <w:br/>
      </w:r>
      <w:r w:rsidRPr="00C0119E">
        <w:rPr>
          <w:rFonts w:ascii="Times New Roman" w:eastAsia="Times New Roman" w:hAnsi="Times New Roman"/>
          <w:color w:val="000000"/>
          <w:sz w:val="20"/>
          <w:szCs w:val="20"/>
          <w:lang w:eastAsia="es-ES"/>
        </w:rPr>
        <w:t>Señor Director de El Mercurio:</w:t>
      </w:r>
    </w:p>
    <w:p w:rsidR="000B048D" w:rsidRPr="00C0119E" w:rsidRDefault="000B048D" w:rsidP="000B048D">
      <w:pPr>
        <w:spacing w:after="0" w:line="270" w:lineRule="atLeast"/>
        <w:rPr>
          <w:rFonts w:ascii="Verdana" w:eastAsia="Times New Roman" w:hAnsi="Verdana"/>
          <w:sz w:val="15"/>
          <w:szCs w:val="15"/>
          <w:lang w:eastAsia="es-ES"/>
        </w:rPr>
      </w:pPr>
      <w:r w:rsidRPr="00C0119E">
        <w:rPr>
          <w:rFonts w:ascii="Verdana" w:eastAsia="Times New Roman" w:hAnsi="Verdana"/>
          <w:color w:val="000000"/>
          <w:sz w:val="20"/>
          <w:lang w:eastAsia="es-ES"/>
        </w:rPr>
        <w:t> </w:t>
      </w:r>
    </w:p>
    <w:p w:rsidR="000B048D" w:rsidRPr="00C0119E" w:rsidRDefault="000B048D" w:rsidP="000B048D">
      <w:pPr>
        <w:spacing w:after="0" w:line="270" w:lineRule="atLeast"/>
        <w:rPr>
          <w:rFonts w:ascii="Times New Roman" w:eastAsia="Times New Roman" w:hAnsi="Times New Roman"/>
          <w:sz w:val="24"/>
          <w:szCs w:val="24"/>
          <w:lang w:eastAsia="es-ES"/>
        </w:rPr>
      </w:pPr>
      <w:r w:rsidRPr="00C0119E">
        <w:rPr>
          <w:rFonts w:ascii="Times New Roman" w:eastAsia="Times New Roman" w:hAnsi="Times New Roman"/>
          <w:color w:val="000000"/>
          <w:sz w:val="20"/>
          <w:szCs w:val="20"/>
          <w:lang w:eastAsia="es-ES"/>
        </w:rPr>
        <w:t xml:space="preserve">Sorprende la premura con la que la Comisión Interamericana de Derechos Humanos ha decidido demandar al Estado de Chile ante la Corte en el llamado caso </w:t>
      </w:r>
      <w:proofErr w:type="spellStart"/>
      <w:r w:rsidRPr="00C0119E">
        <w:rPr>
          <w:rFonts w:ascii="Times New Roman" w:eastAsia="Times New Roman" w:hAnsi="Times New Roman"/>
          <w:color w:val="000000"/>
          <w:sz w:val="20"/>
          <w:szCs w:val="20"/>
          <w:lang w:eastAsia="es-ES"/>
        </w:rPr>
        <w:t>Atala</w:t>
      </w:r>
      <w:proofErr w:type="spellEnd"/>
      <w:r w:rsidRPr="00C0119E">
        <w:rPr>
          <w:rFonts w:ascii="Times New Roman" w:eastAsia="Times New Roman" w:hAnsi="Times New Roman"/>
          <w:color w:val="000000"/>
          <w:sz w:val="20"/>
          <w:szCs w:val="20"/>
          <w:lang w:eastAsia="es-ES"/>
        </w:rPr>
        <w:t>.</w:t>
      </w:r>
    </w:p>
    <w:p w:rsidR="000B048D" w:rsidRPr="00C0119E" w:rsidRDefault="000B048D" w:rsidP="000B048D">
      <w:pPr>
        <w:spacing w:after="0" w:line="270" w:lineRule="atLeast"/>
        <w:rPr>
          <w:rFonts w:ascii="Verdana" w:eastAsia="Times New Roman" w:hAnsi="Verdana"/>
          <w:sz w:val="15"/>
          <w:szCs w:val="15"/>
          <w:lang w:eastAsia="es-ES"/>
        </w:rPr>
      </w:pPr>
      <w:r w:rsidRPr="00C0119E">
        <w:rPr>
          <w:rFonts w:ascii="Verdana" w:eastAsia="Times New Roman" w:hAnsi="Verdana"/>
          <w:color w:val="000000"/>
          <w:sz w:val="20"/>
          <w:lang w:eastAsia="es-ES"/>
        </w:rPr>
        <w:t> </w:t>
      </w:r>
    </w:p>
    <w:p w:rsidR="000B048D" w:rsidRPr="00C0119E" w:rsidRDefault="000B048D" w:rsidP="000B048D">
      <w:pPr>
        <w:spacing w:after="0" w:line="270" w:lineRule="atLeast"/>
        <w:rPr>
          <w:rFonts w:ascii="Times New Roman" w:eastAsia="Times New Roman" w:hAnsi="Times New Roman"/>
          <w:sz w:val="24"/>
          <w:szCs w:val="24"/>
          <w:lang w:eastAsia="es-ES"/>
        </w:rPr>
      </w:pPr>
      <w:r w:rsidRPr="00C0119E">
        <w:rPr>
          <w:rFonts w:ascii="Times New Roman" w:eastAsia="Times New Roman" w:hAnsi="Times New Roman"/>
          <w:color w:val="000000"/>
          <w:sz w:val="20"/>
          <w:szCs w:val="20"/>
          <w:lang w:eastAsia="es-ES"/>
        </w:rPr>
        <w:t>Sin conocerse el texto de la demanda, no es posible juzgar el mérito de esta presentación, pero en lo que anuncia la página web de la Comisión, se observa que, más allá del caso en sí mismo considerado, se está buscando una oportunidad para obtener un pronunciamiento que consagre el concepto de "discriminación por orientación sexual". El comunicado de la Comisión señala textualmente que "este caso permitirá a la Corte pronunciarse por primera vez sobre la incompatibilidad de este tipo de discriminación con la Convención Americana".</w:t>
      </w:r>
    </w:p>
    <w:p w:rsidR="000B048D" w:rsidRPr="00C0119E" w:rsidRDefault="000B048D" w:rsidP="000B048D">
      <w:pPr>
        <w:spacing w:after="0" w:line="270" w:lineRule="atLeast"/>
        <w:rPr>
          <w:rFonts w:ascii="Verdana" w:eastAsia="Times New Roman" w:hAnsi="Verdana"/>
          <w:sz w:val="15"/>
          <w:szCs w:val="15"/>
          <w:lang w:eastAsia="es-ES"/>
        </w:rPr>
      </w:pPr>
      <w:r w:rsidRPr="00C0119E">
        <w:rPr>
          <w:rFonts w:ascii="Verdana" w:eastAsia="Times New Roman" w:hAnsi="Verdana"/>
          <w:color w:val="000000"/>
          <w:sz w:val="20"/>
          <w:lang w:eastAsia="es-ES"/>
        </w:rPr>
        <w:t> </w:t>
      </w:r>
    </w:p>
    <w:p w:rsidR="000B048D" w:rsidRPr="00C0119E" w:rsidRDefault="000B048D" w:rsidP="000B048D">
      <w:pPr>
        <w:spacing w:after="0" w:line="270" w:lineRule="atLeast"/>
        <w:rPr>
          <w:rFonts w:ascii="Times New Roman" w:eastAsia="Times New Roman" w:hAnsi="Times New Roman"/>
          <w:sz w:val="24"/>
          <w:szCs w:val="24"/>
          <w:lang w:eastAsia="es-ES"/>
        </w:rPr>
      </w:pPr>
      <w:r w:rsidRPr="00C0119E">
        <w:rPr>
          <w:rFonts w:ascii="Times New Roman" w:eastAsia="Times New Roman" w:hAnsi="Times New Roman"/>
          <w:color w:val="000000"/>
          <w:sz w:val="20"/>
          <w:szCs w:val="20"/>
          <w:lang w:eastAsia="es-ES"/>
        </w:rPr>
        <w:t>Esta óptica de análisis se revela de partida errónea. En los casos de tuición lo que debe primar no es la mayor o menor igualdad de trato entre los padres, sino el interés superior del menor involucrado. Y es lógico que para juzgar este interés sea justo y legítimo evaluar no la "orientación", sino que la conducta y comportamiento sexual que desarrollan los progenitores frente a sus hijos. Mal puede haber discriminación entonces por "orientación sexual".</w:t>
      </w:r>
    </w:p>
    <w:p w:rsidR="000B048D" w:rsidRPr="00C0119E" w:rsidRDefault="000B048D" w:rsidP="000B048D">
      <w:pPr>
        <w:spacing w:after="0" w:line="270" w:lineRule="atLeast"/>
        <w:rPr>
          <w:rFonts w:ascii="Verdana" w:eastAsia="Times New Roman" w:hAnsi="Verdana"/>
          <w:sz w:val="15"/>
          <w:szCs w:val="15"/>
          <w:lang w:eastAsia="es-ES"/>
        </w:rPr>
      </w:pPr>
      <w:r w:rsidRPr="00C0119E">
        <w:rPr>
          <w:rFonts w:ascii="Verdana" w:eastAsia="Times New Roman" w:hAnsi="Verdana"/>
          <w:color w:val="000000"/>
          <w:sz w:val="20"/>
          <w:lang w:eastAsia="es-ES"/>
        </w:rPr>
        <w:t> </w:t>
      </w:r>
    </w:p>
    <w:p w:rsidR="000B048D" w:rsidRPr="00C0119E" w:rsidRDefault="000B048D" w:rsidP="000B048D">
      <w:pPr>
        <w:spacing w:after="0" w:line="270" w:lineRule="atLeast"/>
        <w:rPr>
          <w:rFonts w:ascii="Times New Roman" w:eastAsia="Times New Roman" w:hAnsi="Times New Roman"/>
          <w:sz w:val="24"/>
          <w:szCs w:val="24"/>
          <w:lang w:eastAsia="es-ES"/>
        </w:rPr>
      </w:pPr>
      <w:r w:rsidRPr="00C0119E">
        <w:rPr>
          <w:rFonts w:ascii="Times New Roman" w:eastAsia="Times New Roman" w:hAnsi="Times New Roman"/>
          <w:color w:val="000000"/>
          <w:sz w:val="20"/>
          <w:szCs w:val="20"/>
          <w:lang w:eastAsia="es-ES"/>
        </w:rPr>
        <w:t>Es de esperar que la Corte Interamericana ponga las cosas en su lugar.</w:t>
      </w:r>
    </w:p>
    <w:p w:rsidR="000B048D" w:rsidRPr="00C0119E" w:rsidRDefault="000B048D" w:rsidP="000B048D">
      <w:pPr>
        <w:spacing w:after="0" w:line="270" w:lineRule="atLeast"/>
        <w:rPr>
          <w:rFonts w:ascii="Verdana" w:eastAsia="Times New Roman" w:hAnsi="Verdana"/>
          <w:sz w:val="15"/>
          <w:szCs w:val="15"/>
          <w:lang w:eastAsia="es-ES"/>
        </w:rPr>
      </w:pPr>
      <w:r w:rsidRPr="00C0119E">
        <w:rPr>
          <w:rFonts w:ascii="Verdana" w:eastAsia="Times New Roman" w:hAnsi="Verdana"/>
          <w:color w:val="000000"/>
          <w:sz w:val="20"/>
          <w:lang w:eastAsia="es-ES"/>
        </w:rPr>
        <w:t> </w:t>
      </w:r>
    </w:p>
    <w:p w:rsidR="000B048D" w:rsidRPr="00C0119E" w:rsidRDefault="000B048D" w:rsidP="000B048D">
      <w:pPr>
        <w:spacing w:after="0" w:line="270" w:lineRule="atLeast"/>
        <w:rPr>
          <w:rFonts w:ascii="Times New Roman" w:eastAsia="Times New Roman" w:hAnsi="Times New Roman"/>
          <w:sz w:val="24"/>
          <w:szCs w:val="24"/>
          <w:lang w:eastAsia="es-ES"/>
        </w:rPr>
      </w:pPr>
      <w:r w:rsidRPr="00C0119E">
        <w:rPr>
          <w:rFonts w:ascii="Times New Roman" w:eastAsia="Times New Roman" w:hAnsi="Times New Roman"/>
          <w:color w:val="000000"/>
          <w:sz w:val="20"/>
          <w:szCs w:val="20"/>
          <w:lang w:eastAsia="es-ES"/>
        </w:rPr>
        <w:t xml:space="preserve">Hernán Corral </w:t>
      </w:r>
      <w:proofErr w:type="spellStart"/>
      <w:r w:rsidRPr="00C0119E">
        <w:rPr>
          <w:rFonts w:ascii="Times New Roman" w:eastAsia="Times New Roman" w:hAnsi="Times New Roman"/>
          <w:color w:val="000000"/>
          <w:sz w:val="20"/>
          <w:szCs w:val="20"/>
          <w:lang w:eastAsia="es-ES"/>
        </w:rPr>
        <w:t>Talciani</w:t>
      </w:r>
      <w:proofErr w:type="spellEnd"/>
    </w:p>
    <w:p w:rsidR="000B048D" w:rsidRPr="00C0119E" w:rsidRDefault="000B048D" w:rsidP="000B048D">
      <w:pPr>
        <w:spacing w:after="0" w:line="270" w:lineRule="atLeast"/>
        <w:rPr>
          <w:rFonts w:ascii="Times New Roman" w:eastAsia="Times New Roman" w:hAnsi="Times New Roman"/>
          <w:color w:val="000000"/>
          <w:sz w:val="24"/>
          <w:szCs w:val="24"/>
          <w:lang w:eastAsia="es-ES"/>
        </w:rPr>
      </w:pPr>
      <w:r w:rsidRPr="00C0119E">
        <w:rPr>
          <w:rFonts w:ascii="Times New Roman" w:eastAsia="Times New Roman" w:hAnsi="Times New Roman"/>
          <w:color w:val="000000"/>
          <w:sz w:val="24"/>
          <w:szCs w:val="24"/>
          <w:lang w:eastAsia="es-ES"/>
        </w:rPr>
        <w:br/>
      </w:r>
      <w:r w:rsidRPr="00C0119E">
        <w:rPr>
          <w:rFonts w:ascii="Times New Roman" w:eastAsia="Times New Roman" w:hAnsi="Times New Roman"/>
          <w:color w:val="000000"/>
          <w:sz w:val="20"/>
          <w:szCs w:val="20"/>
          <w:lang w:eastAsia="es-ES"/>
        </w:rPr>
        <w:t>Profesor de Derecho Civil Universidad de los Andes</w:t>
      </w:r>
    </w:p>
    <w:p w:rsidR="00DD3653" w:rsidRDefault="000B048D" w:rsidP="000B048D">
      <w:r w:rsidRPr="00C0119E">
        <w:rPr>
          <w:rFonts w:ascii="Times New Roman" w:eastAsia="Times New Roman" w:hAnsi="Times New Roman"/>
          <w:color w:val="000000"/>
          <w:sz w:val="20"/>
          <w:szCs w:val="20"/>
          <w:lang w:eastAsia="es-ES"/>
        </w:rPr>
        <w:t>El Mercurio, 22 de septiembre de 2010</w:t>
      </w:r>
    </w:p>
    <w:sectPr w:rsidR="00DD3653" w:rsidSect="00DD365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048D"/>
    <w:rsid w:val="000B048D"/>
    <w:rsid w:val="00DD365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48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1179</Characters>
  <Application>Microsoft Office Word</Application>
  <DocSecurity>0</DocSecurity>
  <Lines>9</Lines>
  <Paragraphs>2</Paragraphs>
  <ScaleCrop>false</ScaleCrop>
  <Company>INACAP SSUR</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LEICA</dc:creator>
  <cp:keywords/>
  <dc:description/>
  <cp:lastModifiedBy>LEICA</cp:lastModifiedBy>
  <cp:revision>1</cp:revision>
  <dcterms:created xsi:type="dcterms:W3CDTF">2011-03-22T21:23:00Z</dcterms:created>
  <dcterms:modified xsi:type="dcterms:W3CDTF">2011-03-22T21:23:00Z</dcterms:modified>
</cp:coreProperties>
</file>