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269" w:rsidRPr="00242B75" w:rsidRDefault="00745269" w:rsidP="00745269">
      <w:pPr>
        <w:jc w:val="both"/>
        <w:rPr>
          <w:rFonts w:ascii="Garamond" w:hAnsi="Garamond"/>
          <w:b/>
        </w:rPr>
      </w:pPr>
      <w:r w:rsidRPr="00242B75">
        <w:rPr>
          <w:rFonts w:ascii="Garamond" w:hAnsi="Garamond"/>
          <w:b/>
        </w:rPr>
        <w:t>Universidad de Chile</w:t>
      </w:r>
    </w:p>
    <w:p w:rsidR="00745269" w:rsidRPr="007E79A0" w:rsidRDefault="00745269" w:rsidP="00745269">
      <w:pPr>
        <w:jc w:val="both"/>
        <w:rPr>
          <w:rFonts w:ascii="Garamond" w:hAnsi="Garamond"/>
        </w:rPr>
      </w:pPr>
      <w:r w:rsidRPr="007E79A0">
        <w:rPr>
          <w:rFonts w:ascii="Garamond" w:hAnsi="Garamond"/>
        </w:rPr>
        <w:t>Facultad de Derecho</w:t>
      </w:r>
    </w:p>
    <w:p w:rsidR="00745269" w:rsidRPr="007E79A0" w:rsidRDefault="00745269" w:rsidP="00745269">
      <w:pPr>
        <w:jc w:val="both"/>
        <w:rPr>
          <w:rFonts w:ascii="Garamond" w:hAnsi="Garamond"/>
        </w:rPr>
      </w:pPr>
      <w:r w:rsidRPr="007E79A0">
        <w:rPr>
          <w:rFonts w:ascii="Garamond" w:hAnsi="Garamond"/>
        </w:rPr>
        <w:t>Departamento de Ciencias del Derecho</w:t>
      </w:r>
    </w:p>
    <w:p w:rsidR="00745269" w:rsidRPr="007E79A0" w:rsidRDefault="00745269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Curso electivo </w:t>
      </w:r>
      <w:r w:rsidRPr="007E79A0">
        <w:rPr>
          <w:rFonts w:ascii="Garamond" w:hAnsi="Garamond"/>
        </w:rPr>
        <w:t>Introducción a la Filosofía de la Ciencia</w:t>
      </w:r>
    </w:p>
    <w:p w:rsidR="00745269" w:rsidRPr="004A5180" w:rsidRDefault="00745269" w:rsidP="00745269">
      <w:pPr>
        <w:jc w:val="both"/>
        <w:rPr>
          <w:rFonts w:ascii="Garamond" w:hAnsi="Garamond"/>
          <w:i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 xml:space="preserve">Dr. Miguel Orellana </w:t>
      </w:r>
      <w:proofErr w:type="spellStart"/>
      <w:r w:rsidRPr="004A5180">
        <w:rPr>
          <w:rFonts w:ascii="Garamond" w:hAnsi="Garamond"/>
          <w:sz w:val="20"/>
          <w:szCs w:val="20"/>
        </w:rPr>
        <w:t>Benado</w:t>
      </w:r>
      <w:proofErr w:type="spellEnd"/>
      <w:r w:rsidRPr="004A5180">
        <w:rPr>
          <w:rFonts w:ascii="Garamond" w:hAnsi="Garamond"/>
          <w:sz w:val="20"/>
          <w:szCs w:val="20"/>
        </w:rPr>
        <w:t xml:space="preserve"> </w:t>
      </w:r>
      <w:r w:rsidRPr="004A5180">
        <w:rPr>
          <w:rFonts w:ascii="Garamond" w:hAnsi="Garamond"/>
          <w:i/>
          <w:sz w:val="20"/>
          <w:szCs w:val="20"/>
        </w:rPr>
        <w:t>et al</w:t>
      </w:r>
    </w:p>
    <w:p w:rsidR="00745269" w:rsidRPr="004A5180" w:rsidRDefault="00745269" w:rsidP="00745269">
      <w:pPr>
        <w:jc w:val="both"/>
        <w:rPr>
          <w:rFonts w:ascii="Garamond" w:hAnsi="Garamond"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 xml:space="preserve">Ayudante académico: </w:t>
      </w:r>
      <w:proofErr w:type="spellStart"/>
      <w:r w:rsidRPr="004A5180">
        <w:rPr>
          <w:rFonts w:ascii="Garamond" w:hAnsi="Garamond"/>
          <w:sz w:val="20"/>
          <w:szCs w:val="20"/>
        </w:rPr>
        <w:t>Mag</w:t>
      </w:r>
      <w:proofErr w:type="spellEnd"/>
      <w:r w:rsidRPr="004A5180">
        <w:rPr>
          <w:rFonts w:ascii="Garamond" w:hAnsi="Garamond"/>
          <w:sz w:val="20"/>
          <w:szCs w:val="20"/>
        </w:rPr>
        <w:t xml:space="preserve">. Pablo Aguayo </w:t>
      </w:r>
      <w:proofErr w:type="spellStart"/>
      <w:r w:rsidRPr="004A5180">
        <w:rPr>
          <w:rFonts w:ascii="Garamond" w:hAnsi="Garamond"/>
          <w:sz w:val="20"/>
          <w:szCs w:val="20"/>
        </w:rPr>
        <w:t>Westwood</w:t>
      </w:r>
      <w:proofErr w:type="spellEnd"/>
    </w:p>
    <w:p w:rsidR="00745269" w:rsidRPr="004A5180" w:rsidRDefault="00745269" w:rsidP="00745269">
      <w:pPr>
        <w:jc w:val="both"/>
        <w:rPr>
          <w:rFonts w:ascii="Garamond" w:hAnsi="Garamond"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 xml:space="preserve">Alumnos ayudantes </w:t>
      </w:r>
      <w:r w:rsidRPr="004A5180">
        <w:rPr>
          <w:rFonts w:ascii="Garamond" w:hAnsi="Garamond"/>
          <w:i/>
          <w:sz w:val="20"/>
          <w:szCs w:val="20"/>
        </w:rPr>
        <w:t>ad honorem</w:t>
      </w:r>
      <w:r w:rsidRPr="004A5180">
        <w:rPr>
          <w:rFonts w:ascii="Garamond" w:hAnsi="Garamond"/>
          <w:sz w:val="20"/>
          <w:szCs w:val="20"/>
        </w:rPr>
        <w:t>: Luis Cortés,</w:t>
      </w:r>
      <w:r>
        <w:rPr>
          <w:rFonts w:ascii="Garamond" w:hAnsi="Garamond"/>
          <w:sz w:val="20"/>
          <w:szCs w:val="20"/>
        </w:rPr>
        <w:t xml:space="preserve"> Nicolás </w:t>
      </w:r>
      <w:proofErr w:type="spellStart"/>
      <w:r>
        <w:rPr>
          <w:rFonts w:ascii="Garamond" w:hAnsi="Garamond"/>
          <w:sz w:val="20"/>
          <w:szCs w:val="20"/>
        </w:rPr>
        <w:t>Rie</w:t>
      </w:r>
      <w:r w:rsidRPr="004A5180">
        <w:rPr>
          <w:rFonts w:ascii="Garamond" w:hAnsi="Garamond"/>
          <w:sz w:val="20"/>
          <w:szCs w:val="20"/>
        </w:rPr>
        <w:t>d</w:t>
      </w:r>
      <w:proofErr w:type="spellEnd"/>
    </w:p>
    <w:p w:rsidR="00745269" w:rsidRPr="004A5180" w:rsidRDefault="00745269" w:rsidP="00745269">
      <w:pPr>
        <w:jc w:val="both"/>
        <w:rPr>
          <w:rFonts w:ascii="Garamond" w:hAnsi="Garamond"/>
          <w:sz w:val="20"/>
          <w:szCs w:val="20"/>
        </w:rPr>
      </w:pPr>
      <w:r w:rsidRPr="004A5180">
        <w:rPr>
          <w:rFonts w:ascii="Garamond" w:hAnsi="Garamond"/>
          <w:sz w:val="20"/>
          <w:szCs w:val="20"/>
        </w:rPr>
        <w:t>Segundo semestre 2010</w:t>
      </w:r>
    </w:p>
    <w:p w:rsidR="00745269" w:rsidRPr="007E79A0" w:rsidRDefault="00745269" w:rsidP="00745269">
      <w:pPr>
        <w:jc w:val="both"/>
        <w:rPr>
          <w:rFonts w:ascii="Garamond" w:hAnsi="Garamond"/>
        </w:rPr>
      </w:pPr>
    </w:p>
    <w:p w:rsidR="00745269" w:rsidRPr="007E79A0" w:rsidRDefault="00745269" w:rsidP="00745269">
      <w:pPr>
        <w:jc w:val="both"/>
        <w:rPr>
          <w:rFonts w:ascii="Garamond" w:hAnsi="Garamond"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9A5300" w:rsidRDefault="009A5300" w:rsidP="00745269">
      <w:pPr>
        <w:jc w:val="center"/>
        <w:rPr>
          <w:rFonts w:ascii="Garamond" w:hAnsi="Garamond"/>
          <w:b/>
        </w:rPr>
      </w:pPr>
    </w:p>
    <w:p w:rsidR="00745269" w:rsidRDefault="00745269" w:rsidP="0074526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Concurso de resumen de clases</w:t>
      </w:r>
    </w:p>
    <w:p w:rsidR="00745269" w:rsidRPr="007E79A0" w:rsidRDefault="00745269" w:rsidP="00745269">
      <w:pPr>
        <w:jc w:val="center"/>
        <w:rPr>
          <w:rFonts w:ascii="Garamond" w:hAnsi="Garamond"/>
          <w:b/>
        </w:rPr>
      </w:pPr>
    </w:p>
    <w:p w:rsidR="003374BF" w:rsidRPr="00BD0555" w:rsidRDefault="00745269" w:rsidP="00745269">
      <w:pPr>
        <w:ind w:left="2124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   </w:t>
      </w:r>
      <w:r w:rsidRPr="00BD0555">
        <w:rPr>
          <w:rFonts w:ascii="Garamond" w:hAnsi="Garamond"/>
          <w:u w:val="single"/>
        </w:rPr>
        <w:t>Resumen de las clases del 17/08 y del 19/08</w:t>
      </w:r>
    </w:p>
    <w:p w:rsidR="00745269" w:rsidRDefault="00745269" w:rsidP="00745269">
      <w:pPr>
        <w:ind w:left="2124"/>
        <w:rPr>
          <w:rFonts w:ascii="Garamond" w:hAnsi="Garamond"/>
        </w:rPr>
      </w:pPr>
      <w:r>
        <w:rPr>
          <w:rFonts w:ascii="Garamond" w:hAnsi="Garamond"/>
        </w:rPr>
        <w:t xml:space="preserve">                       </w:t>
      </w:r>
      <w:r w:rsidRPr="00745269">
        <w:rPr>
          <w:rFonts w:ascii="Garamond" w:hAnsi="Garamond"/>
        </w:rPr>
        <w:t>17.407.497-6</w:t>
      </w:r>
    </w:p>
    <w:p w:rsidR="00920CC9" w:rsidRPr="00745269" w:rsidRDefault="00920CC9" w:rsidP="00745269">
      <w:pPr>
        <w:ind w:left="2124"/>
        <w:rPr>
          <w:rFonts w:ascii="Garamond" w:hAnsi="Garamond"/>
        </w:rPr>
      </w:pPr>
    </w:p>
    <w:p w:rsidR="00745269" w:rsidRPr="00D73F49" w:rsidRDefault="00920CC9" w:rsidP="00745269">
      <w:pPr>
        <w:ind w:left="2124"/>
        <w:rPr>
          <w:rFonts w:ascii="Garamond" w:hAnsi="Garamond"/>
          <w:i/>
        </w:rPr>
      </w:pPr>
      <w:r w:rsidRPr="00D73F49">
        <w:rPr>
          <w:rFonts w:ascii="Garamond" w:hAnsi="Garamond"/>
          <w:i/>
        </w:rPr>
        <w:t xml:space="preserve">  </w:t>
      </w:r>
      <w:r w:rsidR="00D73F49">
        <w:rPr>
          <w:rFonts w:ascii="Garamond" w:hAnsi="Garamond"/>
          <w:i/>
        </w:rPr>
        <w:t xml:space="preserve">   </w:t>
      </w:r>
      <w:r w:rsidR="00745269" w:rsidRPr="00D73F49">
        <w:rPr>
          <w:rFonts w:ascii="Garamond" w:hAnsi="Garamond"/>
          <w:i/>
        </w:rPr>
        <w:t>Palabras clave: Ciencia, Platón</w:t>
      </w:r>
      <w:r w:rsidR="00BD0555" w:rsidRPr="00D73F49">
        <w:rPr>
          <w:rFonts w:ascii="Garamond" w:hAnsi="Garamond"/>
          <w:i/>
        </w:rPr>
        <w:t>,</w:t>
      </w:r>
      <w:r w:rsidRPr="00D73F49">
        <w:rPr>
          <w:rFonts w:ascii="Garamond" w:hAnsi="Garamond"/>
          <w:i/>
        </w:rPr>
        <w:t xml:space="preserve"> Conocimiento</w:t>
      </w:r>
    </w:p>
    <w:p w:rsidR="00745269" w:rsidRDefault="00745269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rPr>
          <w:rFonts w:ascii="Garamond" w:hAnsi="Garamond"/>
        </w:rPr>
      </w:pPr>
    </w:p>
    <w:p w:rsidR="009A5300" w:rsidRDefault="009A5300" w:rsidP="00745269">
      <w:pPr>
        <w:jc w:val="both"/>
        <w:rPr>
          <w:rFonts w:ascii="Garamond" w:hAnsi="Garamond"/>
        </w:rPr>
      </w:pPr>
    </w:p>
    <w:p w:rsidR="009A5300" w:rsidRDefault="00745269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Existen, a grandes rasgos, dos </w:t>
      </w:r>
      <w:r w:rsidR="00BD0555">
        <w:rPr>
          <w:rFonts w:ascii="Garamond" w:hAnsi="Garamond"/>
        </w:rPr>
        <w:t>miradas</w:t>
      </w:r>
      <w:r>
        <w:rPr>
          <w:rFonts w:ascii="Garamond" w:hAnsi="Garamond"/>
        </w:rPr>
        <w:t xml:space="preserve"> o maneras de entender el ruido ‘’ciencia’’. La primera forma de comprenderlo se remite a miles de años de antigüedad hasta, aproximadamente, unos trescientos años</w:t>
      </w:r>
      <w:r w:rsidR="00920CC9">
        <w:rPr>
          <w:rFonts w:ascii="Garamond" w:hAnsi="Garamond"/>
        </w:rPr>
        <w:t xml:space="preserve">, donde comenzó a utilizarse la segunda </w:t>
      </w:r>
      <w:r w:rsidR="00D73F49">
        <w:rPr>
          <w:rFonts w:ascii="Garamond" w:hAnsi="Garamond"/>
        </w:rPr>
        <w:t>concepción sobre esta palabra</w:t>
      </w:r>
      <w:r w:rsidR="00920CC9">
        <w:rPr>
          <w:rFonts w:ascii="Garamond" w:hAnsi="Garamond"/>
        </w:rPr>
        <w:t>.</w:t>
      </w:r>
    </w:p>
    <w:p w:rsidR="009A5300" w:rsidRDefault="009A5300" w:rsidP="00745269">
      <w:pPr>
        <w:jc w:val="both"/>
        <w:rPr>
          <w:rFonts w:ascii="Garamond" w:hAnsi="Garamond"/>
        </w:rPr>
      </w:pPr>
    </w:p>
    <w:p w:rsidR="00745269" w:rsidRDefault="009A5300" w:rsidP="00D73F49">
      <w:pPr>
        <w:jc w:val="both"/>
        <w:rPr>
          <w:rFonts w:ascii="Garamond" w:hAnsi="Garamond"/>
        </w:rPr>
      </w:pPr>
      <w:r>
        <w:rPr>
          <w:rFonts w:ascii="Garamond" w:hAnsi="Garamond"/>
        </w:rPr>
        <w:t>La primera</w:t>
      </w:r>
      <w:r w:rsidR="00745269">
        <w:rPr>
          <w:rFonts w:ascii="Garamond" w:hAnsi="Garamond"/>
        </w:rPr>
        <w:t xml:space="preserve"> </w:t>
      </w:r>
      <w:r w:rsidR="00BD0555">
        <w:rPr>
          <w:rFonts w:ascii="Garamond" w:hAnsi="Garamond"/>
        </w:rPr>
        <w:t>concepción</w:t>
      </w:r>
      <w:r w:rsidR="00745269">
        <w:rPr>
          <w:rFonts w:ascii="Garamond" w:hAnsi="Garamond"/>
        </w:rPr>
        <w:t xml:space="preserve"> sobre la palabra ciencia se desprende de las cuatro formas del saber que Platón describía. Este pensador planteaba que </w:t>
      </w:r>
      <w:r w:rsidR="00682B06">
        <w:rPr>
          <w:rFonts w:ascii="Garamond" w:hAnsi="Garamond"/>
        </w:rPr>
        <w:t>existía el conocimiento, la sabiduría, la filosofía y la ciencia. Dentro de la categoría de la ciencia distingue tres tipos; aquellas de carácter teórico, otras prácticas (constituidas por la ética y la política) y las productivas (artes principalmente).</w:t>
      </w:r>
      <w:r w:rsidR="00920CC9">
        <w:rPr>
          <w:rFonts w:ascii="Garamond" w:hAnsi="Garamond"/>
        </w:rPr>
        <w:t xml:space="preserve"> Para Platón la tanto ‘’el campesino que hace su casa de adobe’’, como la arquitectura</w:t>
      </w:r>
      <w:r w:rsidR="00D73F49">
        <w:rPr>
          <w:rFonts w:ascii="Garamond" w:hAnsi="Garamond"/>
        </w:rPr>
        <w:t xml:space="preserve"> o</w:t>
      </w:r>
      <w:r w:rsidR="00920CC9">
        <w:rPr>
          <w:rFonts w:ascii="Garamond" w:hAnsi="Garamond"/>
        </w:rPr>
        <w:t xml:space="preserve"> la matemática eran ciencias (cuestión que en la actualidad no es aceptada</w:t>
      </w:r>
      <w:r w:rsidR="00D73F49">
        <w:rPr>
          <w:rFonts w:ascii="Garamond" w:hAnsi="Garamond"/>
        </w:rPr>
        <w:t xml:space="preserve"> por la visión predominante de lo que es la ciencia</w:t>
      </w:r>
      <w:r w:rsidR="00920CC9">
        <w:rPr>
          <w:rFonts w:ascii="Garamond" w:hAnsi="Garamond"/>
        </w:rPr>
        <w:t>).</w:t>
      </w:r>
    </w:p>
    <w:p w:rsidR="00920CC9" w:rsidRDefault="00920CC9" w:rsidP="00745269">
      <w:pPr>
        <w:jc w:val="both"/>
        <w:rPr>
          <w:rFonts w:ascii="Garamond" w:hAnsi="Garamond"/>
        </w:rPr>
      </w:pPr>
    </w:p>
    <w:p w:rsidR="00682B06" w:rsidRDefault="00682B06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segunda mirada sobre la palabra </w:t>
      </w:r>
      <w:r w:rsidR="009A5300">
        <w:rPr>
          <w:rFonts w:ascii="Garamond" w:hAnsi="Garamond"/>
        </w:rPr>
        <w:t xml:space="preserve">ciencia es la de su uso actual y tiene aproximadamente unos trescientos años de antigüedad. </w:t>
      </w:r>
      <w:r>
        <w:rPr>
          <w:rFonts w:ascii="Garamond" w:hAnsi="Garamond"/>
        </w:rPr>
        <w:t xml:space="preserve">Se consideran como ciencias solo aquellas que tienen un método, que son experimentales, cuantificables, predictivas, universales, críticas y dinámicas. Un elemento constitutivo de estas ‘’ciencias‘’ es quizá su afán de obtener poder sobre la naturaleza. </w:t>
      </w:r>
      <w:r w:rsidR="009A5300">
        <w:rPr>
          <w:rFonts w:ascii="Garamond" w:hAnsi="Garamond"/>
        </w:rPr>
        <w:t>Esta concepción, a diferencia de l</w:t>
      </w:r>
      <w:r w:rsidR="00920CC9">
        <w:rPr>
          <w:rFonts w:ascii="Garamond" w:hAnsi="Garamond"/>
        </w:rPr>
        <w:t>a enunciada anteriormente, deja</w:t>
      </w:r>
      <w:r w:rsidR="009A5300">
        <w:rPr>
          <w:rFonts w:ascii="Garamond" w:hAnsi="Garamond"/>
        </w:rPr>
        <w:t xml:space="preserve"> fuera de las ciencias a todas aquellas que no cumplan alguno de estos criterios, y </w:t>
      </w:r>
      <w:r w:rsidR="00920CC9">
        <w:rPr>
          <w:rFonts w:ascii="Garamond" w:hAnsi="Garamond"/>
        </w:rPr>
        <w:t>así</w:t>
      </w:r>
      <w:r w:rsidR="009A5300">
        <w:rPr>
          <w:rFonts w:ascii="Garamond" w:hAnsi="Garamond"/>
        </w:rPr>
        <w:t xml:space="preserve"> por ejemplo acá no es una ciencia </w:t>
      </w:r>
      <w:r w:rsidR="00920CC9">
        <w:rPr>
          <w:rFonts w:ascii="Garamond" w:hAnsi="Garamond"/>
        </w:rPr>
        <w:t xml:space="preserve">la filosofía. </w:t>
      </w:r>
      <w:r>
        <w:rPr>
          <w:rFonts w:ascii="Garamond" w:hAnsi="Garamond"/>
        </w:rPr>
        <w:t xml:space="preserve">La explicación del por qué esta concepción o mirada es la de uso actual la podemos encontrar en varios elementos </w:t>
      </w:r>
      <w:r w:rsidR="00920CC9">
        <w:rPr>
          <w:rFonts w:ascii="Garamond" w:hAnsi="Garamond"/>
        </w:rPr>
        <w:t xml:space="preserve">o </w:t>
      </w:r>
      <w:r>
        <w:rPr>
          <w:rFonts w:ascii="Garamond" w:hAnsi="Garamond"/>
        </w:rPr>
        <w:t xml:space="preserve">sucesos que han hecho ‘’predominar’’ a estas ciencias. Primero </w:t>
      </w:r>
      <w:r w:rsidR="00BD0555">
        <w:rPr>
          <w:rFonts w:ascii="Garamond" w:hAnsi="Garamond"/>
        </w:rPr>
        <w:t>está</w:t>
      </w:r>
      <w:r>
        <w:rPr>
          <w:rFonts w:ascii="Garamond" w:hAnsi="Garamond"/>
        </w:rPr>
        <w:t xml:space="preserve"> el increíble aumento demográfico que se ha experimentado en los últimos siglos producto de los increíbles avances en la medicina (</w:t>
      </w:r>
      <w:r w:rsidR="00BD0555">
        <w:rPr>
          <w:rFonts w:ascii="Garamond" w:hAnsi="Garamond"/>
        </w:rPr>
        <w:t>incluso se puede señalar que ‘’nunca en la historia del ser humano había habido tantos seres vivos en el mismo momento’’)</w:t>
      </w:r>
      <w:r>
        <w:rPr>
          <w:rFonts w:ascii="Garamond" w:hAnsi="Garamond"/>
        </w:rPr>
        <w:t>, luego se puede agregar la mayor productividad</w:t>
      </w:r>
      <w:r w:rsidR="00920CC9">
        <w:rPr>
          <w:rFonts w:ascii="Garamond" w:hAnsi="Garamond"/>
        </w:rPr>
        <w:t>,</w:t>
      </w:r>
      <w:r w:rsidR="00BD0555">
        <w:rPr>
          <w:rFonts w:ascii="Garamond" w:hAnsi="Garamond"/>
        </w:rPr>
        <w:t xml:space="preserve"> las mejorías en la calidad de vida</w:t>
      </w:r>
      <w:r w:rsidR="00920CC9">
        <w:rPr>
          <w:rFonts w:ascii="Garamond" w:hAnsi="Garamond"/>
        </w:rPr>
        <w:t xml:space="preserve"> y los avances tecnológicos en general (dándole énfasis a las telecomunicaciones)</w:t>
      </w:r>
      <w:r w:rsidR="00BD0555">
        <w:rPr>
          <w:rFonts w:ascii="Garamond" w:hAnsi="Garamond"/>
        </w:rPr>
        <w:t>.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La distinción que se hace entre las ciencias jurídicas de las ciencias experimentales se basa en que estas últimas buscan predecir, mientras que las ciencias jurídicas buscan normar.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Se puede definir el concepto de ‘’Predicción Científica’’ como </w:t>
      </w:r>
      <w:r w:rsidR="009A5300">
        <w:rPr>
          <w:rFonts w:ascii="Garamond" w:hAnsi="Garamond"/>
        </w:rPr>
        <w:t xml:space="preserve"> todas las ‘’hipótesis que permiten predecir el curso de la naturaleza mediante la observación cuantificada, todo esto para controlar y tener poder (sobre otros hombres y estados) ’’.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 w:rsidRPr="00BD0555">
        <w:rPr>
          <w:rFonts w:ascii="Garamond" w:hAnsi="Garamond"/>
          <w:u w:val="single"/>
        </w:rPr>
        <w:t xml:space="preserve">Concepciones </w:t>
      </w:r>
      <w:r w:rsidR="009A5300">
        <w:rPr>
          <w:rFonts w:ascii="Garamond" w:hAnsi="Garamond"/>
          <w:u w:val="single"/>
        </w:rPr>
        <w:t>sobre</w:t>
      </w:r>
      <w:r w:rsidRPr="00BD0555">
        <w:rPr>
          <w:rFonts w:ascii="Garamond" w:hAnsi="Garamond"/>
          <w:u w:val="single"/>
        </w:rPr>
        <w:t xml:space="preserve"> </w:t>
      </w:r>
      <w:r w:rsidR="009A5300">
        <w:rPr>
          <w:rFonts w:ascii="Garamond" w:hAnsi="Garamond"/>
          <w:u w:val="single"/>
        </w:rPr>
        <w:t>qué</w:t>
      </w:r>
      <w:r>
        <w:rPr>
          <w:rFonts w:ascii="Garamond" w:hAnsi="Garamond"/>
          <w:u w:val="single"/>
        </w:rPr>
        <w:t xml:space="preserve"> es el conocimiento</w:t>
      </w:r>
      <w:r>
        <w:rPr>
          <w:rFonts w:ascii="Garamond" w:hAnsi="Garamond"/>
        </w:rPr>
        <w:t>: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1.-Concepción Judaico-Hermenéutica y Profética: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Bajo esta concepción el conocer es ‘’tener hipótesis que permiten interpretar los textos sagrados y los sucesos naturales y sociales para poder predecir y normar la conducta’’.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Esta concepción se apoya en sus textos sagrados. 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2.-Concepción Platónica: 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9A5300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Conocer sería ‘’calcular y razonar para recordar cuales son las relaciones entre las ideas o formas que el alma conoció hasta caer el cuerpo y olvidarlas’’.</w:t>
      </w:r>
      <w:r w:rsidR="009A5300">
        <w:rPr>
          <w:rFonts w:ascii="Garamond" w:hAnsi="Garamond"/>
        </w:rPr>
        <w:t xml:space="preserve"> Esta concepción considera que el conocimiento es innato al ser humano, que la verdadera realidad no cambia y es imputable (y a modo de ejemplo se señala que siempre van a existir doce sólidos perfectos).</w:t>
      </w:r>
    </w:p>
    <w:p w:rsidR="00BD0555" w:rsidRDefault="00BD0555" w:rsidP="00745269">
      <w:pPr>
        <w:jc w:val="both"/>
        <w:rPr>
          <w:rFonts w:ascii="Garamond" w:hAnsi="Garamond"/>
        </w:rPr>
      </w:pPr>
    </w:p>
    <w:p w:rsidR="009A5300" w:rsidRDefault="009A5300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La fuente que apoya a esta concepción es la matemática y la geometría.</w:t>
      </w:r>
    </w:p>
    <w:p w:rsidR="009A5300" w:rsidRDefault="009A5300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3.-Concepción Aristotélica:</w:t>
      </w:r>
    </w:p>
    <w:p w:rsidR="009A5300" w:rsidRDefault="009A5300" w:rsidP="00745269">
      <w:pPr>
        <w:jc w:val="both"/>
        <w:rPr>
          <w:rFonts w:ascii="Garamond" w:hAnsi="Garamond"/>
        </w:rPr>
      </w:pPr>
    </w:p>
    <w:p w:rsidR="009A5300" w:rsidRDefault="009A5300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La concepción Aristotélica entiende que conocer es observar para describir y clasificar en géneros y especies. Las especies son una mineral, vegetal y la animal.</w:t>
      </w:r>
    </w:p>
    <w:p w:rsidR="009A5300" w:rsidRDefault="009A5300" w:rsidP="00745269">
      <w:pPr>
        <w:jc w:val="both"/>
        <w:rPr>
          <w:rFonts w:ascii="Garamond" w:hAnsi="Garamond"/>
        </w:rPr>
      </w:pPr>
    </w:p>
    <w:p w:rsidR="009A5300" w:rsidRDefault="009A5300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Aristóteles plantea que el hombre es un animal, pero uno político, un ‘’</w:t>
      </w:r>
      <w:proofErr w:type="spellStart"/>
      <w:r>
        <w:rPr>
          <w:rFonts w:ascii="Garamond" w:hAnsi="Garamond"/>
        </w:rPr>
        <w:t>zoon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polikon</w:t>
      </w:r>
      <w:proofErr w:type="spellEnd"/>
      <w:r>
        <w:rPr>
          <w:rFonts w:ascii="Garamond" w:hAnsi="Garamond"/>
        </w:rPr>
        <w:t xml:space="preserve"> que come significado (o conocimiento), poder y lo cómico’’.</w:t>
      </w:r>
    </w:p>
    <w:p w:rsidR="009A5300" w:rsidRDefault="009A5300" w:rsidP="00745269">
      <w:pPr>
        <w:jc w:val="both"/>
        <w:rPr>
          <w:rFonts w:ascii="Garamond" w:hAnsi="Garamond"/>
        </w:rPr>
      </w:pPr>
    </w:p>
    <w:p w:rsidR="00BD0555" w:rsidRDefault="00BD0555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4.-Concepción Tomista:</w:t>
      </w:r>
    </w:p>
    <w:p w:rsidR="009A5300" w:rsidRDefault="009A5300" w:rsidP="00745269">
      <w:pPr>
        <w:jc w:val="both"/>
        <w:rPr>
          <w:rFonts w:ascii="Garamond" w:hAnsi="Garamond"/>
        </w:rPr>
      </w:pPr>
    </w:p>
    <w:p w:rsidR="009A5300" w:rsidRDefault="009A5300" w:rsidP="00745269">
      <w:pPr>
        <w:jc w:val="both"/>
        <w:rPr>
          <w:rFonts w:ascii="Garamond" w:hAnsi="Garamond"/>
        </w:rPr>
      </w:pPr>
      <w:r>
        <w:rPr>
          <w:rFonts w:ascii="Garamond" w:hAnsi="Garamond"/>
        </w:rPr>
        <w:t>Esta concepción se funda en los planteamientos de Aristóteles junto con el texto sagrado (la Biblia).</w:t>
      </w:r>
    </w:p>
    <w:p w:rsidR="00745269" w:rsidRPr="00745269" w:rsidRDefault="00745269" w:rsidP="00745269">
      <w:pPr>
        <w:jc w:val="both"/>
        <w:rPr>
          <w:rFonts w:ascii="Garamond" w:hAnsi="Garamond"/>
        </w:rPr>
      </w:pPr>
    </w:p>
    <w:sectPr w:rsidR="00745269" w:rsidRPr="00745269" w:rsidSect="003374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269"/>
    <w:rsid w:val="003374BF"/>
    <w:rsid w:val="00682B06"/>
    <w:rsid w:val="00745269"/>
    <w:rsid w:val="00920CC9"/>
    <w:rsid w:val="009A5300"/>
    <w:rsid w:val="00BD0555"/>
    <w:rsid w:val="00D7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652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Felipe</cp:lastModifiedBy>
  <cp:revision>2</cp:revision>
  <dcterms:created xsi:type="dcterms:W3CDTF">2010-08-21T15:58:00Z</dcterms:created>
  <dcterms:modified xsi:type="dcterms:W3CDTF">2010-08-21T17:30:00Z</dcterms:modified>
</cp:coreProperties>
</file>