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FB1A5" w14:textId="77777777" w:rsidR="00AA54E8" w:rsidRDefault="0089781C">
      <w:pPr>
        <w:rPr>
          <w:rFonts w:ascii="Cambria" w:eastAsia="Cambria" w:hAnsi="Cambria" w:cs="Cambria"/>
          <w:b/>
        </w:rPr>
      </w:pPr>
      <w:r>
        <w:rPr>
          <w:rFonts w:ascii="Cambria" w:eastAsia="Cambria" w:hAnsi="Cambria" w:cs="Cambria"/>
          <w:b/>
          <w:noProof/>
          <w:lang w:val="es-CL"/>
        </w:rPr>
        <w:drawing>
          <wp:inline distT="0" distB="0" distL="0" distR="0" wp14:anchorId="17B5B65E" wp14:editId="31220094">
            <wp:extent cx="2125483" cy="447675"/>
            <wp:effectExtent l="0" t="0" r="0" b="0"/>
            <wp:docPr id="4" name="image1.jpg" descr="C:\Users\Francisca\Desktop\Felipe\Respaldo 24-09-2012\2014-1\UNIVERSIDAD DE CHILE\LOGO OFICIAL (2).jpg"/>
            <wp:cNvGraphicFramePr/>
            <a:graphic xmlns:a="http://schemas.openxmlformats.org/drawingml/2006/main">
              <a:graphicData uri="http://schemas.openxmlformats.org/drawingml/2006/picture">
                <pic:pic xmlns:pic="http://schemas.openxmlformats.org/drawingml/2006/picture">
                  <pic:nvPicPr>
                    <pic:cNvPr id="0" name="image1.jpg" descr="C:\Users\Francisca\Desktop\Felipe\Respaldo 24-09-2012\2014-1\UNIVERSIDAD DE CHILE\LOGO OFICIAL (2).jpg"/>
                    <pic:cNvPicPr preferRelativeResize="0"/>
                  </pic:nvPicPr>
                  <pic:blipFill>
                    <a:blip r:embed="rId6"/>
                    <a:srcRect/>
                    <a:stretch>
                      <a:fillRect/>
                    </a:stretch>
                  </pic:blipFill>
                  <pic:spPr>
                    <a:xfrm>
                      <a:off x="0" y="0"/>
                      <a:ext cx="2125483" cy="447675"/>
                    </a:xfrm>
                    <a:prstGeom prst="rect">
                      <a:avLst/>
                    </a:prstGeom>
                    <a:ln/>
                  </pic:spPr>
                </pic:pic>
              </a:graphicData>
            </a:graphic>
          </wp:inline>
        </w:drawing>
      </w:r>
    </w:p>
    <w:p w14:paraId="06BF081F" w14:textId="00B06264" w:rsidR="00AA54E8" w:rsidRDefault="0089781C" w:rsidP="0089781C">
      <w:pPr>
        <w:jc w:val="center"/>
        <w:rPr>
          <w:rFonts w:ascii="Cambria" w:eastAsia="Cambria" w:hAnsi="Cambria" w:cs="Cambria"/>
          <w:b/>
        </w:rPr>
      </w:pPr>
      <w:r>
        <w:rPr>
          <w:rFonts w:ascii="Cambria" w:eastAsia="Cambria" w:hAnsi="Cambria" w:cs="Cambria"/>
          <w:b/>
        </w:rPr>
        <w:t>PROGRAMA ACTIVIDAD CURRICULAR</w:t>
      </w:r>
      <w:bookmarkStart w:id="0" w:name="_heading=h.gjdgxs" w:colFirst="0" w:colLast="0"/>
      <w:bookmarkEnd w:id="0"/>
      <w:r>
        <w:rPr>
          <w:rFonts w:ascii="Cambria" w:eastAsia="Cambria" w:hAnsi="Cambria" w:cs="Cambria"/>
          <w:b/>
        </w:rPr>
        <w:t xml:space="preserve"> 20</w:t>
      </w:r>
      <w:r w:rsidR="006B0092">
        <w:rPr>
          <w:rFonts w:ascii="Cambria" w:eastAsia="Cambria" w:hAnsi="Cambria" w:cs="Cambria"/>
          <w:b/>
        </w:rPr>
        <w:t>20</w:t>
      </w:r>
    </w:p>
    <w:p w14:paraId="69A751F8" w14:textId="7EC0D3FA" w:rsidR="0089781C" w:rsidRDefault="0089781C" w:rsidP="0089781C">
      <w:pPr>
        <w:jc w:val="center"/>
        <w:rPr>
          <w:rFonts w:ascii="Cambria" w:eastAsia="Cambria" w:hAnsi="Cambria" w:cs="Cambria"/>
          <w:b/>
        </w:rPr>
      </w:pPr>
      <w:r>
        <w:rPr>
          <w:rFonts w:ascii="Cambria" w:eastAsia="Cambria" w:hAnsi="Cambria" w:cs="Cambria"/>
          <w:b/>
        </w:rPr>
        <w:t>Profesores: Claudio Acevedo –</w:t>
      </w:r>
      <w:r w:rsidR="006B0092">
        <w:rPr>
          <w:rFonts w:ascii="Cambria" w:eastAsia="Cambria" w:hAnsi="Cambria" w:cs="Cambria"/>
          <w:b/>
        </w:rPr>
        <w:t xml:space="preserve"> </w:t>
      </w:r>
      <w:r>
        <w:rPr>
          <w:rFonts w:ascii="Cambria" w:eastAsia="Cambria" w:hAnsi="Cambria" w:cs="Cambria"/>
          <w:b/>
        </w:rPr>
        <w:t xml:space="preserve">Leonardo </w:t>
      </w:r>
      <w:proofErr w:type="spellStart"/>
      <w:r>
        <w:rPr>
          <w:rFonts w:ascii="Cambria" w:eastAsia="Cambria" w:hAnsi="Cambria" w:cs="Cambria"/>
          <w:b/>
        </w:rPr>
        <w:t>Cendoyya</w:t>
      </w:r>
      <w:proofErr w:type="spellEnd"/>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559"/>
      </w:tblGrid>
      <w:tr w:rsidR="00AA54E8" w14:paraId="3F5C35EE" w14:textId="77777777">
        <w:tc>
          <w:tcPr>
            <w:tcW w:w="3085" w:type="dxa"/>
          </w:tcPr>
          <w:p w14:paraId="53008696" w14:textId="77777777" w:rsidR="00AA54E8" w:rsidRDefault="0089781C">
            <w:pPr>
              <w:spacing w:line="360" w:lineRule="auto"/>
              <w:rPr>
                <w:rFonts w:ascii="Cambria" w:eastAsia="Cambria" w:hAnsi="Cambria" w:cs="Cambria"/>
              </w:rPr>
            </w:pPr>
            <w:r>
              <w:rPr>
                <w:rFonts w:ascii="Cambria" w:eastAsia="Cambria" w:hAnsi="Cambria" w:cs="Cambria"/>
              </w:rPr>
              <w:t>1. Nombre de la actividad curricular</w:t>
            </w:r>
          </w:p>
        </w:tc>
        <w:tc>
          <w:tcPr>
            <w:tcW w:w="5559" w:type="dxa"/>
          </w:tcPr>
          <w:p w14:paraId="56380D1F" w14:textId="77777777" w:rsidR="00AA54E8" w:rsidRDefault="0089781C">
            <w:pPr>
              <w:spacing w:line="360" w:lineRule="auto"/>
              <w:rPr>
                <w:rFonts w:ascii="Cambria" w:eastAsia="Cambria" w:hAnsi="Cambria" w:cs="Cambria"/>
              </w:rPr>
            </w:pPr>
            <w:r>
              <w:rPr>
                <w:rFonts w:ascii="Cambria" w:eastAsia="Cambria" w:hAnsi="Cambria" w:cs="Cambria"/>
              </w:rPr>
              <w:t>Música y Medios Digitales</w:t>
            </w:r>
          </w:p>
        </w:tc>
      </w:tr>
      <w:tr w:rsidR="00AA54E8" w14:paraId="34978E3B" w14:textId="77777777">
        <w:tc>
          <w:tcPr>
            <w:tcW w:w="3085" w:type="dxa"/>
          </w:tcPr>
          <w:p w14:paraId="4F8DB2DE" w14:textId="77777777" w:rsidR="00AA54E8" w:rsidRDefault="0089781C">
            <w:pPr>
              <w:spacing w:line="360" w:lineRule="auto"/>
              <w:rPr>
                <w:rFonts w:ascii="Cambria" w:eastAsia="Cambria" w:hAnsi="Cambria" w:cs="Cambria"/>
              </w:rPr>
            </w:pPr>
            <w:r>
              <w:rPr>
                <w:rFonts w:ascii="Cambria" w:eastAsia="Cambria" w:hAnsi="Cambria" w:cs="Cambria"/>
              </w:rPr>
              <w:t>2.Nombre de la actividad curricular en inglés</w:t>
            </w:r>
          </w:p>
        </w:tc>
        <w:tc>
          <w:tcPr>
            <w:tcW w:w="5559" w:type="dxa"/>
          </w:tcPr>
          <w:p w14:paraId="0A13CC76" w14:textId="77777777" w:rsidR="00AA54E8" w:rsidRDefault="0089781C">
            <w:pPr>
              <w:spacing w:line="360" w:lineRule="auto"/>
              <w:rPr>
                <w:rFonts w:ascii="Cambria" w:eastAsia="Cambria" w:hAnsi="Cambria" w:cs="Cambria"/>
              </w:rPr>
            </w:pPr>
            <w:proofErr w:type="spellStart"/>
            <w:r>
              <w:rPr>
                <w:rFonts w:ascii="Cambria" w:eastAsia="Cambria" w:hAnsi="Cambria" w:cs="Cambria"/>
              </w:rPr>
              <w:t>Music</w:t>
            </w:r>
            <w:proofErr w:type="spellEnd"/>
            <w:r>
              <w:rPr>
                <w:rFonts w:ascii="Cambria" w:eastAsia="Cambria" w:hAnsi="Cambria" w:cs="Cambria"/>
              </w:rPr>
              <w:t xml:space="preserve"> and digital </w:t>
            </w:r>
            <w:proofErr w:type="spellStart"/>
            <w:r>
              <w:rPr>
                <w:rFonts w:ascii="Cambria" w:eastAsia="Cambria" w:hAnsi="Cambria" w:cs="Cambria"/>
              </w:rPr>
              <w:t>tools</w:t>
            </w:r>
            <w:proofErr w:type="spellEnd"/>
          </w:p>
        </w:tc>
      </w:tr>
      <w:tr w:rsidR="00AA54E8" w14:paraId="3591DE4E" w14:textId="77777777">
        <w:tc>
          <w:tcPr>
            <w:tcW w:w="3085" w:type="dxa"/>
          </w:tcPr>
          <w:p w14:paraId="35382C39" w14:textId="77777777" w:rsidR="00AA54E8" w:rsidRDefault="0089781C">
            <w:pPr>
              <w:spacing w:line="360" w:lineRule="auto"/>
              <w:rPr>
                <w:rFonts w:ascii="Cambria" w:eastAsia="Cambria" w:hAnsi="Cambria" w:cs="Cambria"/>
              </w:rPr>
            </w:pPr>
            <w:r>
              <w:rPr>
                <w:rFonts w:ascii="Cambria" w:eastAsia="Cambria" w:hAnsi="Cambria" w:cs="Cambria"/>
              </w:rPr>
              <w:t>3. Unidad académica/ organismo de la unidad académica que lo desarrolla</w:t>
            </w:r>
          </w:p>
        </w:tc>
        <w:tc>
          <w:tcPr>
            <w:tcW w:w="5559" w:type="dxa"/>
          </w:tcPr>
          <w:p w14:paraId="470568CA" w14:textId="77777777" w:rsidR="00AA54E8" w:rsidRDefault="0089781C">
            <w:pPr>
              <w:spacing w:line="360" w:lineRule="auto"/>
              <w:rPr>
                <w:rFonts w:ascii="Cambria" w:eastAsia="Cambria" w:hAnsi="Cambria" w:cs="Cambria"/>
              </w:rPr>
            </w:pPr>
            <w:r>
              <w:rPr>
                <w:rFonts w:ascii="Cambria" w:eastAsia="Cambria" w:hAnsi="Cambria" w:cs="Cambria"/>
              </w:rPr>
              <w:t>Depto. de Música, Facultad de Artes, Universidad de Chile.</w:t>
            </w:r>
          </w:p>
        </w:tc>
      </w:tr>
      <w:tr w:rsidR="00AA54E8" w14:paraId="162CFF96" w14:textId="77777777">
        <w:tc>
          <w:tcPr>
            <w:tcW w:w="3085" w:type="dxa"/>
          </w:tcPr>
          <w:p w14:paraId="380A36C5" w14:textId="77777777" w:rsidR="00AA54E8" w:rsidRDefault="0089781C">
            <w:pPr>
              <w:spacing w:line="360" w:lineRule="auto"/>
              <w:rPr>
                <w:rFonts w:ascii="Cambria" w:eastAsia="Cambria" w:hAnsi="Cambria" w:cs="Cambria"/>
              </w:rPr>
            </w:pPr>
            <w:r>
              <w:rPr>
                <w:rFonts w:ascii="Cambria" w:eastAsia="Cambria" w:hAnsi="Cambria" w:cs="Cambria"/>
              </w:rPr>
              <w:t>4. Horas de trabajo presencial y no presencial</w:t>
            </w:r>
          </w:p>
        </w:tc>
        <w:tc>
          <w:tcPr>
            <w:tcW w:w="5559" w:type="dxa"/>
          </w:tcPr>
          <w:p w14:paraId="7AE3F4A3" w14:textId="555E8D83" w:rsidR="00AA54E8" w:rsidRDefault="00055EC3">
            <w:pPr>
              <w:spacing w:line="360" w:lineRule="auto"/>
              <w:rPr>
                <w:rFonts w:ascii="Cambria" w:eastAsia="Cambria" w:hAnsi="Cambria" w:cs="Cambria"/>
              </w:rPr>
            </w:pPr>
            <w:proofErr w:type="gramStart"/>
            <w:r>
              <w:rPr>
                <w:rFonts w:ascii="Cambria" w:eastAsia="Cambria" w:hAnsi="Cambria" w:cs="Cambria"/>
              </w:rPr>
              <w:t xml:space="preserve">2 </w:t>
            </w:r>
            <w:r w:rsidR="0089781C">
              <w:rPr>
                <w:rFonts w:ascii="Cambria" w:eastAsia="Cambria" w:hAnsi="Cambria" w:cs="Cambria"/>
              </w:rPr>
              <w:t xml:space="preserve"> presencial</w:t>
            </w:r>
            <w:proofErr w:type="gramEnd"/>
            <w:r w:rsidR="0089781C">
              <w:rPr>
                <w:rFonts w:ascii="Cambria" w:eastAsia="Cambria" w:hAnsi="Cambria" w:cs="Cambria"/>
              </w:rPr>
              <w:t>/ 1,5 no presencial</w:t>
            </w:r>
          </w:p>
        </w:tc>
      </w:tr>
      <w:tr w:rsidR="00AA54E8" w14:paraId="372F0453" w14:textId="77777777">
        <w:tc>
          <w:tcPr>
            <w:tcW w:w="3085" w:type="dxa"/>
          </w:tcPr>
          <w:p w14:paraId="5755E665" w14:textId="77777777" w:rsidR="00AA54E8" w:rsidRDefault="0089781C">
            <w:pPr>
              <w:spacing w:line="360" w:lineRule="auto"/>
              <w:rPr>
                <w:rFonts w:ascii="Cambria" w:eastAsia="Cambria" w:hAnsi="Cambria" w:cs="Cambria"/>
              </w:rPr>
            </w:pPr>
            <w:r>
              <w:rPr>
                <w:rFonts w:ascii="Cambria" w:eastAsia="Cambria" w:hAnsi="Cambria" w:cs="Cambria"/>
              </w:rPr>
              <w:t>5. Número de créditos SCT - Chile</w:t>
            </w:r>
          </w:p>
        </w:tc>
        <w:tc>
          <w:tcPr>
            <w:tcW w:w="5559" w:type="dxa"/>
          </w:tcPr>
          <w:p w14:paraId="1574A6C8" w14:textId="77777777" w:rsidR="00AA54E8" w:rsidRDefault="0089781C">
            <w:pPr>
              <w:spacing w:line="360" w:lineRule="auto"/>
              <w:rPr>
                <w:rFonts w:ascii="Cambria" w:eastAsia="Cambria" w:hAnsi="Cambria" w:cs="Cambria"/>
              </w:rPr>
            </w:pPr>
            <w:r>
              <w:rPr>
                <w:rFonts w:ascii="Cambria" w:eastAsia="Cambria" w:hAnsi="Cambria" w:cs="Cambria"/>
              </w:rPr>
              <w:t>3</w:t>
            </w:r>
          </w:p>
        </w:tc>
      </w:tr>
      <w:tr w:rsidR="00AA54E8" w14:paraId="1F049CA4" w14:textId="77777777">
        <w:tc>
          <w:tcPr>
            <w:tcW w:w="3085" w:type="dxa"/>
          </w:tcPr>
          <w:p w14:paraId="21C5AA70" w14:textId="77777777" w:rsidR="00AA54E8" w:rsidRDefault="0089781C">
            <w:pPr>
              <w:spacing w:line="360" w:lineRule="auto"/>
              <w:rPr>
                <w:rFonts w:ascii="Cambria" w:eastAsia="Cambria" w:hAnsi="Cambria" w:cs="Cambria"/>
              </w:rPr>
            </w:pPr>
            <w:r>
              <w:rPr>
                <w:rFonts w:ascii="Cambria" w:eastAsia="Cambria" w:hAnsi="Cambria" w:cs="Cambria"/>
              </w:rPr>
              <w:t>6. Propósito general del curso</w:t>
            </w:r>
          </w:p>
        </w:tc>
        <w:tc>
          <w:tcPr>
            <w:tcW w:w="5559" w:type="dxa"/>
          </w:tcPr>
          <w:p w14:paraId="37284CB3" w14:textId="53A3AD8D" w:rsidR="00AA54E8" w:rsidRDefault="0089781C">
            <w:pPr>
              <w:jc w:val="both"/>
              <w:rPr>
                <w:rFonts w:ascii="Cambria" w:eastAsia="Cambria" w:hAnsi="Cambria" w:cs="Cambria"/>
              </w:rPr>
            </w:pPr>
            <w:r>
              <w:rPr>
                <w:rFonts w:ascii="Cambria" w:eastAsia="Cambria" w:hAnsi="Cambria" w:cs="Cambria"/>
              </w:rPr>
              <w:t xml:space="preserve">Curso teórico-práctico que persigue habilitar al estudiante en el manejo de herramientas mínimas indispensables para vincular su quehacer artístico con las tecnologías de uso más común en el ámbito musical. El enfoque de este curso consistirá en ir conociendo, creando y experimentando música a través del manejo de </w:t>
            </w:r>
            <w:proofErr w:type="gramStart"/>
            <w:r>
              <w:rPr>
                <w:rFonts w:ascii="Cambria" w:eastAsia="Cambria" w:hAnsi="Cambria" w:cs="Cambria"/>
              </w:rPr>
              <w:t>algunos</w:t>
            </w:r>
            <w:r w:rsidR="00055EC3">
              <w:rPr>
                <w:rFonts w:ascii="Cambria" w:eastAsia="Cambria" w:hAnsi="Cambria" w:cs="Cambria"/>
              </w:rPr>
              <w:t xml:space="preserve"> </w:t>
            </w:r>
            <w:r>
              <w:rPr>
                <w:rFonts w:ascii="Cambria" w:eastAsia="Cambria" w:hAnsi="Cambria" w:cs="Cambria"/>
              </w:rPr>
              <w:t>software</w:t>
            </w:r>
            <w:proofErr w:type="gramEnd"/>
            <w:r>
              <w:rPr>
                <w:rFonts w:ascii="Cambria" w:eastAsia="Cambria" w:hAnsi="Cambria" w:cs="Cambria"/>
              </w:rPr>
              <w:t>, los cuales se vinculen tanto con sistemas de grafía musical como con interfaces básicas de grabación, edición y ordenamiento de archivos sonoros.</w:t>
            </w:r>
          </w:p>
          <w:p w14:paraId="201349D8" w14:textId="77777777" w:rsidR="00AA54E8" w:rsidRDefault="00AA54E8">
            <w:pPr>
              <w:rPr>
                <w:rFonts w:ascii="Cambria" w:eastAsia="Cambria" w:hAnsi="Cambria" w:cs="Cambria"/>
              </w:rPr>
            </w:pPr>
          </w:p>
        </w:tc>
      </w:tr>
      <w:tr w:rsidR="00AA54E8" w14:paraId="7C4D47EE" w14:textId="77777777">
        <w:tc>
          <w:tcPr>
            <w:tcW w:w="3085" w:type="dxa"/>
          </w:tcPr>
          <w:p w14:paraId="0EFA09C3" w14:textId="77777777" w:rsidR="00AA54E8" w:rsidRDefault="0089781C">
            <w:pPr>
              <w:spacing w:line="360" w:lineRule="auto"/>
              <w:rPr>
                <w:rFonts w:ascii="Cambria" w:eastAsia="Cambria" w:hAnsi="Cambria" w:cs="Cambria"/>
              </w:rPr>
            </w:pPr>
            <w:r>
              <w:rPr>
                <w:rFonts w:ascii="Cambria" w:eastAsia="Cambria" w:hAnsi="Cambria" w:cs="Cambria"/>
              </w:rPr>
              <w:t xml:space="preserve">7. Competencias (y </w:t>
            </w:r>
            <w:proofErr w:type="spellStart"/>
            <w:r>
              <w:rPr>
                <w:rFonts w:ascii="Cambria" w:eastAsia="Cambria" w:hAnsi="Cambria" w:cs="Cambria"/>
              </w:rPr>
              <w:t>subcompetencias</w:t>
            </w:r>
            <w:proofErr w:type="spellEnd"/>
            <w:r>
              <w:rPr>
                <w:rFonts w:ascii="Cambria" w:eastAsia="Cambria" w:hAnsi="Cambria" w:cs="Cambria"/>
              </w:rPr>
              <w:t>) a las que contribuye el curso</w:t>
            </w:r>
          </w:p>
        </w:tc>
        <w:tc>
          <w:tcPr>
            <w:tcW w:w="5559" w:type="dxa"/>
          </w:tcPr>
          <w:p w14:paraId="29552A93" w14:textId="77777777" w:rsidR="00AA54E8" w:rsidRDefault="0089781C">
            <w:pPr>
              <w:spacing w:line="360" w:lineRule="auto"/>
              <w:rPr>
                <w:rFonts w:ascii="Cambria" w:eastAsia="Cambria" w:hAnsi="Cambria" w:cs="Cambria"/>
              </w:rPr>
            </w:pPr>
            <w:r>
              <w:rPr>
                <w:rFonts w:ascii="Cambria" w:eastAsia="Cambria" w:hAnsi="Cambria" w:cs="Cambria"/>
              </w:rPr>
              <w:t>Competencia genérica Universidad de Chile:</w:t>
            </w:r>
          </w:p>
          <w:p w14:paraId="434F0DBD" w14:textId="77777777" w:rsidR="00AA54E8" w:rsidRDefault="0089781C">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b/>
                <w:color w:val="000000"/>
              </w:rPr>
              <w:t>Habilidades en el uso de las tecnologías de la información y de la comunicación:</w:t>
            </w:r>
            <w:r>
              <w:rPr>
                <w:rFonts w:ascii="Cambria" w:eastAsia="Cambria" w:hAnsi="Cambria" w:cs="Cambria"/>
                <w:color w:val="000000"/>
              </w:rPr>
              <w:t xml:space="preserve"> utilizar tecnologías de la información y la comunicación en las diferentes instancias de la formación y del ejercicio profesional, haciendo de ellas herramientas valiosas para obtener conocimiento, comunicarse con otras personas y grupos, y compartir las experiencias y saberes obtenidos en la propia praxis.</w:t>
            </w:r>
          </w:p>
          <w:p w14:paraId="4ACED850" w14:textId="77777777" w:rsidR="00AA54E8" w:rsidRDefault="00AA54E8">
            <w:pPr>
              <w:spacing w:line="360" w:lineRule="auto"/>
              <w:rPr>
                <w:rFonts w:ascii="Cambria" w:eastAsia="Cambria" w:hAnsi="Cambria" w:cs="Cambria"/>
              </w:rPr>
            </w:pPr>
          </w:p>
        </w:tc>
      </w:tr>
      <w:tr w:rsidR="00AA54E8" w14:paraId="5DD56069" w14:textId="77777777">
        <w:tc>
          <w:tcPr>
            <w:tcW w:w="3085" w:type="dxa"/>
          </w:tcPr>
          <w:p w14:paraId="3BCD719E" w14:textId="77777777" w:rsidR="00AA54E8" w:rsidRDefault="0089781C">
            <w:pPr>
              <w:spacing w:line="360" w:lineRule="auto"/>
              <w:rPr>
                <w:rFonts w:ascii="Cambria" w:eastAsia="Cambria" w:hAnsi="Cambria" w:cs="Cambria"/>
              </w:rPr>
            </w:pPr>
            <w:r>
              <w:rPr>
                <w:rFonts w:ascii="Cambria" w:eastAsia="Cambria" w:hAnsi="Cambria" w:cs="Cambria"/>
              </w:rPr>
              <w:t>8. Resultados de aprendizaje</w:t>
            </w:r>
          </w:p>
        </w:tc>
        <w:tc>
          <w:tcPr>
            <w:tcW w:w="5559" w:type="dxa"/>
          </w:tcPr>
          <w:p w14:paraId="538C937D" w14:textId="77777777" w:rsidR="00AA54E8" w:rsidRDefault="0089781C">
            <w:pPr>
              <w:spacing w:line="360" w:lineRule="auto"/>
              <w:rPr>
                <w:rFonts w:ascii="Cambria" w:eastAsia="Cambria" w:hAnsi="Cambria" w:cs="Cambria"/>
              </w:rPr>
            </w:pPr>
            <w:r>
              <w:rPr>
                <w:rFonts w:ascii="Cambria" w:eastAsia="Cambria" w:hAnsi="Cambria" w:cs="Cambria"/>
              </w:rPr>
              <w:t>1. El estudiante ejecuta las herramientas mínimas para operar los principales software de escritura musical y audio.</w:t>
            </w:r>
          </w:p>
          <w:p w14:paraId="5302FB20" w14:textId="77777777" w:rsidR="00AA54E8" w:rsidRDefault="0089781C">
            <w:pPr>
              <w:spacing w:line="360" w:lineRule="auto"/>
              <w:rPr>
                <w:rFonts w:ascii="Cambria" w:eastAsia="Cambria" w:hAnsi="Cambria" w:cs="Cambria"/>
              </w:rPr>
            </w:pPr>
            <w:r>
              <w:rPr>
                <w:rFonts w:ascii="Cambria" w:eastAsia="Cambria" w:hAnsi="Cambria" w:cs="Cambria"/>
              </w:rPr>
              <w:t>2. El estudiante transcribe música a formato digital utilizando un programa editor de partituras.</w:t>
            </w:r>
          </w:p>
          <w:p w14:paraId="3468D6DD" w14:textId="77777777" w:rsidR="00AA54E8" w:rsidRDefault="0089781C">
            <w:pPr>
              <w:spacing w:line="360" w:lineRule="auto"/>
              <w:rPr>
                <w:rFonts w:ascii="Cambria" w:eastAsia="Cambria" w:hAnsi="Cambria" w:cs="Cambria"/>
              </w:rPr>
            </w:pPr>
            <w:r>
              <w:rPr>
                <w:rFonts w:ascii="Cambria" w:eastAsia="Cambria" w:hAnsi="Cambria" w:cs="Cambria"/>
              </w:rPr>
              <w:lastRenderedPageBreak/>
              <w:t>3. El estudiante registra señales de audio.</w:t>
            </w:r>
          </w:p>
          <w:p w14:paraId="3507A6C4" w14:textId="77777777" w:rsidR="00AA54E8" w:rsidRDefault="0089781C">
            <w:pPr>
              <w:spacing w:line="360" w:lineRule="auto"/>
              <w:rPr>
                <w:rFonts w:ascii="Cambria" w:eastAsia="Cambria" w:hAnsi="Cambria" w:cs="Cambria"/>
              </w:rPr>
            </w:pPr>
            <w:r>
              <w:rPr>
                <w:rFonts w:ascii="Cambria" w:eastAsia="Cambria" w:hAnsi="Cambria" w:cs="Cambria"/>
              </w:rPr>
              <w:t>4. El estudiante mezcla señales de audio registradas en diversas pistas.</w:t>
            </w:r>
          </w:p>
          <w:p w14:paraId="019575D0" w14:textId="77777777" w:rsidR="00AA54E8" w:rsidRDefault="0089781C">
            <w:pPr>
              <w:spacing w:line="360" w:lineRule="auto"/>
              <w:rPr>
                <w:rFonts w:ascii="Cambria" w:eastAsia="Cambria" w:hAnsi="Cambria" w:cs="Cambria"/>
              </w:rPr>
            </w:pPr>
            <w:r>
              <w:rPr>
                <w:rFonts w:ascii="Cambria" w:eastAsia="Cambria" w:hAnsi="Cambria" w:cs="Cambria"/>
              </w:rPr>
              <w:t xml:space="preserve">5. El estudiante </w:t>
            </w:r>
            <w:proofErr w:type="spellStart"/>
            <w:r>
              <w:rPr>
                <w:rFonts w:ascii="Cambria" w:eastAsia="Cambria" w:hAnsi="Cambria" w:cs="Cambria"/>
              </w:rPr>
              <w:t>masteriza</w:t>
            </w:r>
            <w:proofErr w:type="spellEnd"/>
            <w:r>
              <w:rPr>
                <w:rFonts w:ascii="Cambria" w:eastAsia="Cambria" w:hAnsi="Cambria" w:cs="Cambria"/>
              </w:rPr>
              <w:t xml:space="preserve"> archivos de audio.</w:t>
            </w:r>
          </w:p>
        </w:tc>
      </w:tr>
      <w:tr w:rsidR="00AA54E8" w14:paraId="07827E3B" w14:textId="77777777">
        <w:tc>
          <w:tcPr>
            <w:tcW w:w="3085" w:type="dxa"/>
          </w:tcPr>
          <w:p w14:paraId="5DE090A8" w14:textId="77777777" w:rsidR="00AA54E8" w:rsidRDefault="0089781C">
            <w:pPr>
              <w:spacing w:line="360" w:lineRule="auto"/>
              <w:rPr>
                <w:rFonts w:ascii="Cambria" w:eastAsia="Cambria" w:hAnsi="Cambria" w:cs="Cambria"/>
              </w:rPr>
            </w:pPr>
            <w:r>
              <w:rPr>
                <w:rFonts w:ascii="Cambria" w:eastAsia="Cambria" w:hAnsi="Cambria" w:cs="Cambria"/>
              </w:rPr>
              <w:lastRenderedPageBreak/>
              <w:t>9. Saberes/contenidos</w:t>
            </w:r>
          </w:p>
        </w:tc>
        <w:tc>
          <w:tcPr>
            <w:tcW w:w="5559" w:type="dxa"/>
          </w:tcPr>
          <w:p w14:paraId="0B1A73A5" w14:textId="77777777" w:rsidR="00AA54E8" w:rsidRDefault="0089781C">
            <w:pPr>
              <w:spacing w:line="360" w:lineRule="auto"/>
              <w:rPr>
                <w:rFonts w:ascii="Cambria" w:eastAsia="Cambria" w:hAnsi="Cambria" w:cs="Cambria"/>
                <w:b/>
              </w:rPr>
            </w:pPr>
            <w:r>
              <w:rPr>
                <w:rFonts w:ascii="Cambria" w:eastAsia="Cambria" w:hAnsi="Cambria" w:cs="Cambria"/>
                <w:b/>
              </w:rPr>
              <w:t>Unidad 1 – Software de escritura musical.</w:t>
            </w:r>
          </w:p>
          <w:p w14:paraId="10D34907"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Nociones básicas de manejo de software de escritura musical</w:t>
            </w:r>
          </w:p>
          <w:p w14:paraId="14A53AFB"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Escritura musical: signos y otros elementos de la grafía convencional/universal</w:t>
            </w:r>
          </w:p>
          <w:p w14:paraId="21D473D2"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Transcripción de partituras</w:t>
            </w:r>
          </w:p>
          <w:p w14:paraId="6E6C0173"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color w:val="000000"/>
              </w:rPr>
            </w:pPr>
            <w:r>
              <w:rPr>
                <w:rFonts w:ascii="Cambria" w:eastAsia="Cambria" w:hAnsi="Cambria" w:cs="Cambria"/>
                <w:color w:val="000000"/>
              </w:rPr>
              <w:t>Edición de partituras</w:t>
            </w:r>
          </w:p>
          <w:p w14:paraId="40808187" w14:textId="77777777" w:rsidR="00AA54E8" w:rsidRDefault="0089781C">
            <w:pPr>
              <w:spacing w:line="360" w:lineRule="auto"/>
              <w:rPr>
                <w:rFonts w:ascii="Cambria" w:eastAsia="Cambria" w:hAnsi="Cambria" w:cs="Cambria"/>
                <w:b/>
              </w:rPr>
            </w:pPr>
            <w:r>
              <w:rPr>
                <w:rFonts w:ascii="Cambria" w:eastAsia="Cambria" w:hAnsi="Cambria" w:cs="Cambria"/>
                <w:b/>
              </w:rPr>
              <w:t xml:space="preserve">Unidad 2 – Softwares de edición y control </w:t>
            </w:r>
            <w:proofErr w:type="gramStart"/>
            <w:r>
              <w:rPr>
                <w:rFonts w:ascii="Cambria" w:eastAsia="Cambria" w:hAnsi="Cambria" w:cs="Cambria"/>
                <w:b/>
              </w:rPr>
              <w:t>de  audio</w:t>
            </w:r>
            <w:proofErr w:type="gramEnd"/>
            <w:r>
              <w:rPr>
                <w:rFonts w:ascii="Cambria" w:eastAsia="Cambria" w:hAnsi="Cambria" w:cs="Cambria"/>
                <w:b/>
              </w:rPr>
              <w:t>.</w:t>
            </w:r>
          </w:p>
          <w:p w14:paraId="1CF5EF7D"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rPr>
              <w:t xml:space="preserve">Familias de </w:t>
            </w:r>
            <w:r>
              <w:rPr>
                <w:rFonts w:ascii="Cambria" w:eastAsia="Cambria" w:hAnsi="Cambria" w:cs="Cambria"/>
                <w:color w:val="000000"/>
              </w:rPr>
              <w:t>softwar</w:t>
            </w:r>
            <w:r>
              <w:rPr>
                <w:rFonts w:ascii="Cambria" w:eastAsia="Cambria" w:hAnsi="Cambria" w:cs="Cambria"/>
              </w:rPr>
              <w:t>es</w:t>
            </w:r>
            <w:r>
              <w:rPr>
                <w:rFonts w:ascii="Cambria" w:eastAsia="Cambria" w:hAnsi="Cambria" w:cs="Cambria"/>
                <w:color w:val="000000"/>
              </w:rPr>
              <w:t xml:space="preserve"> de audio</w:t>
            </w:r>
          </w:p>
          <w:p w14:paraId="21F140EA"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rPr>
              <w:t xml:space="preserve">Cadena electroacústica básica (hardware y software) </w:t>
            </w:r>
          </w:p>
          <w:p w14:paraId="3F5414D1"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rPr>
            </w:pPr>
            <w:r>
              <w:rPr>
                <w:rFonts w:ascii="Cambria" w:eastAsia="Cambria" w:hAnsi="Cambria" w:cs="Cambria"/>
              </w:rPr>
              <w:t>Interconexión entre programas</w:t>
            </w:r>
          </w:p>
          <w:p w14:paraId="17AF7E87"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rPr>
              <w:t xml:space="preserve">Conceptos esenciales sobre </w:t>
            </w:r>
            <w:r>
              <w:rPr>
                <w:rFonts w:ascii="Cambria" w:eastAsia="Cambria" w:hAnsi="Cambria" w:cs="Cambria"/>
                <w:color w:val="000000"/>
              </w:rPr>
              <w:t>Mezcla de Audio</w:t>
            </w:r>
          </w:p>
          <w:p w14:paraId="4295CA66"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color w:val="000000"/>
              </w:rPr>
            </w:pPr>
            <w:proofErr w:type="spellStart"/>
            <w:r>
              <w:rPr>
                <w:rFonts w:ascii="Cambria" w:eastAsia="Cambria" w:hAnsi="Cambria" w:cs="Cambria"/>
                <w:color w:val="000000"/>
              </w:rPr>
              <w:t>Masterización</w:t>
            </w:r>
            <w:proofErr w:type="spellEnd"/>
            <w:r>
              <w:rPr>
                <w:rFonts w:ascii="Cambria" w:eastAsia="Cambria" w:hAnsi="Cambria" w:cs="Cambria"/>
                <w:color w:val="000000"/>
              </w:rPr>
              <w:t xml:space="preserve"> de archivos de Audio</w:t>
            </w:r>
          </w:p>
        </w:tc>
      </w:tr>
      <w:tr w:rsidR="00AA54E8" w14:paraId="304E44F0" w14:textId="77777777">
        <w:tc>
          <w:tcPr>
            <w:tcW w:w="3085" w:type="dxa"/>
          </w:tcPr>
          <w:p w14:paraId="34314260" w14:textId="77777777" w:rsidR="00AA54E8" w:rsidRDefault="0089781C">
            <w:pPr>
              <w:spacing w:line="360" w:lineRule="auto"/>
              <w:rPr>
                <w:rFonts w:ascii="Cambria" w:eastAsia="Cambria" w:hAnsi="Cambria" w:cs="Cambria"/>
              </w:rPr>
            </w:pPr>
            <w:r>
              <w:rPr>
                <w:rFonts w:ascii="Cambria" w:eastAsia="Cambria" w:hAnsi="Cambria" w:cs="Cambria"/>
              </w:rPr>
              <w:t>10. Metodologías</w:t>
            </w:r>
          </w:p>
          <w:p w14:paraId="60CC2567" w14:textId="77777777" w:rsidR="00AA54E8" w:rsidRDefault="00AA54E8">
            <w:pPr>
              <w:spacing w:line="360" w:lineRule="auto"/>
              <w:rPr>
                <w:rFonts w:ascii="Cambria" w:eastAsia="Cambria" w:hAnsi="Cambria" w:cs="Cambria"/>
              </w:rPr>
            </w:pPr>
          </w:p>
        </w:tc>
        <w:tc>
          <w:tcPr>
            <w:tcW w:w="5559" w:type="dxa"/>
          </w:tcPr>
          <w:p w14:paraId="12C3DA08"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Clases expositivas</w:t>
            </w:r>
          </w:p>
          <w:p w14:paraId="7E9010D0"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Trabajo experimental</w:t>
            </w:r>
            <w:r>
              <w:rPr>
                <w:rFonts w:ascii="Cambria" w:eastAsia="Cambria" w:hAnsi="Cambria" w:cs="Cambria"/>
              </w:rPr>
              <w:t xml:space="preserve"> práctico</w:t>
            </w:r>
          </w:p>
          <w:p w14:paraId="77E1E655"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color w:val="000000"/>
              </w:rPr>
            </w:pPr>
            <w:r>
              <w:rPr>
                <w:rFonts w:ascii="Cambria" w:eastAsia="Cambria" w:hAnsi="Cambria" w:cs="Cambria"/>
                <w:color w:val="000000"/>
              </w:rPr>
              <w:t xml:space="preserve">Portafolio personal </w:t>
            </w:r>
          </w:p>
        </w:tc>
      </w:tr>
      <w:tr w:rsidR="00AA54E8" w14:paraId="3ED32003" w14:textId="77777777">
        <w:tc>
          <w:tcPr>
            <w:tcW w:w="3085" w:type="dxa"/>
          </w:tcPr>
          <w:p w14:paraId="45B780FB" w14:textId="77777777" w:rsidR="00AA54E8" w:rsidRDefault="0089781C">
            <w:pPr>
              <w:spacing w:line="360" w:lineRule="auto"/>
              <w:rPr>
                <w:rFonts w:ascii="Cambria" w:eastAsia="Cambria" w:hAnsi="Cambria" w:cs="Cambria"/>
              </w:rPr>
            </w:pPr>
            <w:r>
              <w:rPr>
                <w:rFonts w:ascii="Cambria" w:eastAsia="Cambria" w:hAnsi="Cambria" w:cs="Cambria"/>
              </w:rPr>
              <w:t>11. Evaluación</w:t>
            </w:r>
          </w:p>
          <w:p w14:paraId="2BDBF633" w14:textId="77777777" w:rsidR="00AA54E8" w:rsidRDefault="00AA54E8">
            <w:pPr>
              <w:spacing w:line="360" w:lineRule="auto"/>
              <w:rPr>
                <w:rFonts w:ascii="Cambria" w:eastAsia="Cambria" w:hAnsi="Cambria" w:cs="Cambria"/>
              </w:rPr>
            </w:pPr>
          </w:p>
        </w:tc>
        <w:tc>
          <w:tcPr>
            <w:tcW w:w="5559" w:type="dxa"/>
          </w:tcPr>
          <w:p w14:paraId="3080D446"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Evaluación de portafolio, </w:t>
            </w:r>
            <w:proofErr w:type="spellStart"/>
            <w:r>
              <w:rPr>
                <w:rFonts w:ascii="Cambria" w:eastAsia="Cambria" w:hAnsi="Cambria" w:cs="Cambria"/>
                <w:color w:val="000000"/>
              </w:rPr>
              <w:t>sumativas</w:t>
            </w:r>
            <w:proofErr w:type="spellEnd"/>
            <w:r>
              <w:rPr>
                <w:rFonts w:ascii="Cambria" w:eastAsia="Cambria" w:hAnsi="Cambria" w:cs="Cambria"/>
                <w:color w:val="000000"/>
              </w:rPr>
              <w:t xml:space="preserve"> de acuerdo a grados de avances como de resultado final.</w:t>
            </w:r>
          </w:p>
          <w:p w14:paraId="595C61C9" w14:textId="77777777" w:rsidR="00AA54E8" w:rsidRDefault="00AA54E8">
            <w:pPr>
              <w:pBdr>
                <w:top w:val="nil"/>
                <w:left w:val="nil"/>
                <w:bottom w:val="nil"/>
                <w:right w:val="nil"/>
                <w:between w:val="nil"/>
              </w:pBdr>
              <w:spacing w:line="360" w:lineRule="auto"/>
              <w:ind w:left="720" w:hanging="720"/>
              <w:rPr>
                <w:rFonts w:ascii="Cambria" w:eastAsia="Cambria" w:hAnsi="Cambria" w:cs="Cambria"/>
                <w:color w:val="000000"/>
              </w:rPr>
            </w:pPr>
          </w:p>
          <w:p w14:paraId="48204C7D"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Criterios de evaluación:</w:t>
            </w:r>
          </w:p>
          <w:p w14:paraId="1A23238A" w14:textId="77777777" w:rsidR="00AA54E8" w:rsidRDefault="0089781C">
            <w:pPr>
              <w:numPr>
                <w:ilvl w:val="0"/>
                <w:numId w:val="3"/>
              </w:numPr>
              <w:pBdr>
                <w:top w:val="nil"/>
                <w:left w:val="nil"/>
                <w:bottom w:val="nil"/>
                <w:right w:val="nil"/>
                <w:between w:val="nil"/>
              </w:pBdr>
              <w:spacing w:line="360" w:lineRule="auto"/>
              <w:rPr>
                <w:rFonts w:ascii="Cambria" w:eastAsia="Cambria" w:hAnsi="Cambria" w:cs="Cambria"/>
                <w:b/>
                <w:color w:val="000000"/>
              </w:rPr>
            </w:pPr>
            <w:r>
              <w:rPr>
                <w:rFonts w:ascii="Cambria" w:eastAsia="Cambria" w:hAnsi="Cambria" w:cs="Cambria"/>
                <w:b/>
                <w:color w:val="000000"/>
              </w:rPr>
              <w:t>Elementos de edición de partituras:</w:t>
            </w:r>
          </w:p>
          <w:p w14:paraId="51172D96" w14:textId="77777777" w:rsidR="00AA54E8" w:rsidRDefault="0089781C">
            <w:pPr>
              <w:numPr>
                <w:ilvl w:val="1"/>
                <w:numId w:val="3"/>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Formato: El estudiante deberá cumplir con estructurar elementos mínimos de formato, los cuales son requisito para iniciar cualquier transcripción (título de la obra, compositor, autor, armadura, número de compases, número de sistemas, métrica, clave, etc.)</w:t>
            </w:r>
          </w:p>
          <w:p w14:paraId="013CC623" w14:textId="77777777" w:rsidR="00AA54E8" w:rsidRDefault="0089781C">
            <w:pPr>
              <w:numPr>
                <w:ilvl w:val="1"/>
                <w:numId w:val="3"/>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Transcripción exacta de elementos la música y sus parámetros: Considerando que la </w:t>
            </w:r>
            <w:r>
              <w:rPr>
                <w:rFonts w:ascii="Cambria" w:eastAsia="Cambria" w:hAnsi="Cambria" w:cs="Cambria"/>
                <w:color w:val="000000"/>
              </w:rPr>
              <w:lastRenderedPageBreak/>
              <w:t xml:space="preserve">transcripción debe ser exacta pues en el curso se trabajará con obras de dominio público, escogidas de acuerdo a cada grado de avance, las cuales contendrán elementos como: Alturas, ritmos, dinámica, timbres, agógica, </w:t>
            </w:r>
            <w:proofErr w:type="spellStart"/>
            <w:proofErr w:type="gramStart"/>
            <w:r>
              <w:rPr>
                <w:rFonts w:ascii="Cambria" w:eastAsia="Cambria" w:hAnsi="Cambria" w:cs="Cambria"/>
                <w:color w:val="000000"/>
              </w:rPr>
              <w:t>texto,etc</w:t>
            </w:r>
            <w:proofErr w:type="spellEnd"/>
            <w:r>
              <w:rPr>
                <w:rFonts w:ascii="Cambria" w:eastAsia="Cambria" w:hAnsi="Cambria" w:cs="Cambria"/>
                <w:color w:val="000000"/>
              </w:rPr>
              <w:t>.</w:t>
            </w:r>
            <w:proofErr w:type="gramEnd"/>
            <w:r>
              <w:rPr>
                <w:rFonts w:ascii="Cambria" w:eastAsia="Cambria" w:hAnsi="Cambria" w:cs="Cambria"/>
                <w:color w:val="000000"/>
              </w:rPr>
              <w:t>)</w:t>
            </w:r>
          </w:p>
          <w:p w14:paraId="1389DCBF" w14:textId="77777777" w:rsidR="00AA54E8" w:rsidRDefault="0089781C">
            <w:pPr>
              <w:numPr>
                <w:ilvl w:val="0"/>
                <w:numId w:val="3"/>
              </w:numPr>
              <w:pBdr>
                <w:top w:val="nil"/>
                <w:left w:val="nil"/>
                <w:bottom w:val="nil"/>
                <w:right w:val="nil"/>
                <w:between w:val="nil"/>
              </w:pBdr>
              <w:spacing w:line="360" w:lineRule="auto"/>
              <w:rPr>
                <w:rFonts w:ascii="Cambria" w:eastAsia="Cambria" w:hAnsi="Cambria" w:cs="Cambria"/>
                <w:b/>
                <w:color w:val="000000"/>
              </w:rPr>
            </w:pPr>
            <w:r>
              <w:rPr>
                <w:rFonts w:ascii="Cambria" w:eastAsia="Cambria" w:hAnsi="Cambria" w:cs="Cambria"/>
                <w:b/>
                <w:color w:val="000000"/>
              </w:rPr>
              <w:t>Elementos de audio:</w:t>
            </w:r>
          </w:p>
          <w:p w14:paraId="2AE64F6D" w14:textId="77777777" w:rsidR="00AA54E8" w:rsidRDefault="0089781C">
            <w:pPr>
              <w:numPr>
                <w:ilvl w:val="1"/>
                <w:numId w:val="3"/>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Manej</w:t>
            </w:r>
            <w:r>
              <w:rPr>
                <w:rFonts w:ascii="Cambria" w:eastAsia="Cambria" w:hAnsi="Cambria" w:cs="Cambria"/>
              </w:rPr>
              <w:t>a</w:t>
            </w:r>
            <w:r>
              <w:rPr>
                <w:rFonts w:ascii="Cambria" w:eastAsia="Cambria" w:hAnsi="Cambria" w:cs="Cambria"/>
                <w:color w:val="000000"/>
              </w:rPr>
              <w:t xml:space="preserve"> y configura software, con el fin de </w:t>
            </w:r>
            <w:r>
              <w:rPr>
                <w:rFonts w:ascii="Cambria" w:eastAsia="Cambria" w:hAnsi="Cambria" w:cs="Cambria"/>
              </w:rPr>
              <w:t xml:space="preserve">programar acciones de interacción en sonido. </w:t>
            </w:r>
          </w:p>
          <w:p w14:paraId="6081C4E0" w14:textId="77777777" w:rsidR="00AA54E8" w:rsidRDefault="0089781C">
            <w:pPr>
              <w:numPr>
                <w:ilvl w:val="1"/>
                <w:numId w:val="3"/>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rPr>
              <w:t xml:space="preserve">Realiza cableados virtuales de softwares de audio y datos de control con objetivos </w:t>
            </w:r>
            <w:proofErr w:type="gramStart"/>
            <w:r>
              <w:rPr>
                <w:rFonts w:ascii="Cambria" w:eastAsia="Cambria" w:hAnsi="Cambria" w:cs="Cambria"/>
              </w:rPr>
              <w:t>musicales..</w:t>
            </w:r>
            <w:proofErr w:type="gramEnd"/>
          </w:p>
          <w:p w14:paraId="6D6AB760" w14:textId="77777777" w:rsidR="00AA54E8" w:rsidRDefault="0089781C">
            <w:pPr>
              <w:numPr>
                <w:ilvl w:val="1"/>
                <w:numId w:val="3"/>
              </w:numPr>
              <w:pBdr>
                <w:top w:val="nil"/>
                <w:left w:val="nil"/>
                <w:bottom w:val="nil"/>
                <w:right w:val="nil"/>
                <w:between w:val="nil"/>
              </w:pBdr>
              <w:spacing w:line="360" w:lineRule="auto"/>
              <w:rPr>
                <w:rFonts w:ascii="Cambria" w:eastAsia="Cambria" w:hAnsi="Cambria" w:cs="Cambria"/>
                <w:color w:val="000000"/>
              </w:rPr>
            </w:pPr>
            <w:proofErr w:type="gramStart"/>
            <w:r>
              <w:rPr>
                <w:rFonts w:ascii="Cambria" w:eastAsia="Cambria" w:hAnsi="Cambria" w:cs="Cambria"/>
              </w:rPr>
              <w:t>Edita  y</w:t>
            </w:r>
            <w:proofErr w:type="gramEnd"/>
            <w:r>
              <w:rPr>
                <w:rFonts w:ascii="Cambria" w:eastAsia="Cambria" w:hAnsi="Cambria" w:cs="Cambria"/>
              </w:rPr>
              <w:t xml:space="preserve"> procesa archivos de audio </w:t>
            </w:r>
            <w:proofErr w:type="spellStart"/>
            <w:r>
              <w:rPr>
                <w:rFonts w:ascii="Cambria" w:eastAsia="Cambria" w:hAnsi="Cambria" w:cs="Cambria"/>
              </w:rPr>
              <w:t>multipista</w:t>
            </w:r>
            <w:proofErr w:type="spellEnd"/>
            <w:r>
              <w:rPr>
                <w:rFonts w:ascii="Cambria" w:eastAsia="Cambria" w:hAnsi="Cambria" w:cs="Cambria"/>
              </w:rPr>
              <w:t xml:space="preserve">: Ecualiza, nivela, Ubica en el espacio </w:t>
            </w:r>
            <w:proofErr w:type="spellStart"/>
            <w:r>
              <w:rPr>
                <w:rFonts w:ascii="Cambria" w:eastAsia="Cambria" w:hAnsi="Cambria" w:cs="Cambria"/>
              </w:rPr>
              <w:t>stereo</w:t>
            </w:r>
            <w:proofErr w:type="spellEnd"/>
            <w:r>
              <w:rPr>
                <w:rFonts w:ascii="Cambria" w:eastAsia="Cambria" w:hAnsi="Cambria" w:cs="Cambria"/>
              </w:rPr>
              <w:t xml:space="preserve"> (PAN), comprime,  agrega </w:t>
            </w:r>
            <w:proofErr w:type="spellStart"/>
            <w:r>
              <w:rPr>
                <w:rFonts w:ascii="Cambria" w:eastAsia="Cambria" w:hAnsi="Cambria" w:cs="Cambria"/>
              </w:rPr>
              <w:t>reverb</w:t>
            </w:r>
            <w:proofErr w:type="spellEnd"/>
            <w:r>
              <w:rPr>
                <w:rFonts w:ascii="Cambria" w:eastAsia="Cambria" w:hAnsi="Cambria" w:cs="Cambria"/>
              </w:rPr>
              <w:t xml:space="preserve">/ </w:t>
            </w:r>
            <w:proofErr w:type="spellStart"/>
            <w:r>
              <w:rPr>
                <w:rFonts w:ascii="Cambria" w:eastAsia="Cambria" w:hAnsi="Cambria" w:cs="Cambria"/>
              </w:rPr>
              <w:t>delay</w:t>
            </w:r>
            <w:proofErr w:type="spellEnd"/>
            <w:r>
              <w:rPr>
                <w:rFonts w:ascii="Cambria" w:eastAsia="Cambria" w:hAnsi="Cambria" w:cs="Cambria"/>
              </w:rPr>
              <w:t xml:space="preserve"> y comprime. </w:t>
            </w:r>
          </w:p>
          <w:p w14:paraId="3209D8E9" w14:textId="77777777" w:rsidR="00AA54E8" w:rsidRDefault="0089781C">
            <w:pPr>
              <w:numPr>
                <w:ilvl w:val="1"/>
                <w:numId w:val="3"/>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rPr>
              <w:t xml:space="preserve">Mezcla y </w:t>
            </w:r>
            <w:proofErr w:type="spellStart"/>
            <w:r>
              <w:rPr>
                <w:rFonts w:ascii="Cambria" w:eastAsia="Cambria" w:hAnsi="Cambria" w:cs="Cambria"/>
              </w:rPr>
              <w:t>masteriza</w:t>
            </w:r>
            <w:proofErr w:type="spellEnd"/>
            <w:r>
              <w:rPr>
                <w:rFonts w:ascii="Cambria" w:eastAsia="Cambria" w:hAnsi="Cambria" w:cs="Cambria"/>
              </w:rPr>
              <w:t xml:space="preserve"> audio en formato </w:t>
            </w:r>
            <w:proofErr w:type="spellStart"/>
            <w:r>
              <w:rPr>
                <w:rFonts w:ascii="Cambria" w:eastAsia="Cambria" w:hAnsi="Cambria" w:cs="Cambria"/>
              </w:rPr>
              <w:t>estereo</w:t>
            </w:r>
            <w:proofErr w:type="spellEnd"/>
            <w:r>
              <w:rPr>
                <w:rFonts w:ascii="Cambria" w:eastAsia="Cambria" w:hAnsi="Cambria" w:cs="Cambria"/>
              </w:rPr>
              <w:t>.</w:t>
            </w:r>
          </w:p>
        </w:tc>
      </w:tr>
      <w:tr w:rsidR="00AA54E8" w14:paraId="47D2B35B" w14:textId="77777777">
        <w:tc>
          <w:tcPr>
            <w:tcW w:w="3085" w:type="dxa"/>
          </w:tcPr>
          <w:p w14:paraId="447FE3DD" w14:textId="77777777" w:rsidR="00AA54E8" w:rsidRDefault="0089781C">
            <w:pPr>
              <w:spacing w:line="360" w:lineRule="auto"/>
              <w:rPr>
                <w:rFonts w:ascii="Cambria" w:eastAsia="Cambria" w:hAnsi="Cambria" w:cs="Cambria"/>
              </w:rPr>
            </w:pPr>
            <w:r>
              <w:rPr>
                <w:rFonts w:ascii="Cambria" w:eastAsia="Cambria" w:hAnsi="Cambria" w:cs="Cambria"/>
              </w:rPr>
              <w:lastRenderedPageBreak/>
              <w:t>12. Requisitos de aprobación</w:t>
            </w:r>
          </w:p>
          <w:p w14:paraId="795567C7" w14:textId="77777777" w:rsidR="00AA54E8" w:rsidRDefault="00AA54E8">
            <w:pPr>
              <w:spacing w:line="360" w:lineRule="auto"/>
              <w:rPr>
                <w:rFonts w:ascii="Cambria" w:eastAsia="Cambria" w:hAnsi="Cambria" w:cs="Cambria"/>
              </w:rPr>
            </w:pPr>
          </w:p>
        </w:tc>
        <w:tc>
          <w:tcPr>
            <w:tcW w:w="5559" w:type="dxa"/>
          </w:tcPr>
          <w:p w14:paraId="5C7B3CF8"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60% mínimo de asistencia.</w:t>
            </w:r>
          </w:p>
          <w:p w14:paraId="7EDEE3B6"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color w:val="000000"/>
              </w:rPr>
            </w:pPr>
            <w:r>
              <w:rPr>
                <w:rFonts w:ascii="Cambria" w:eastAsia="Cambria" w:hAnsi="Cambria" w:cs="Cambria"/>
                <w:color w:val="000000"/>
              </w:rPr>
              <w:t>Nota mínima no inferior a 4.0</w:t>
            </w:r>
          </w:p>
        </w:tc>
      </w:tr>
      <w:tr w:rsidR="00AA54E8" w14:paraId="25DB58B7" w14:textId="77777777">
        <w:tc>
          <w:tcPr>
            <w:tcW w:w="3085" w:type="dxa"/>
          </w:tcPr>
          <w:p w14:paraId="793775CF" w14:textId="77777777" w:rsidR="00AA54E8" w:rsidRDefault="0089781C">
            <w:pPr>
              <w:spacing w:line="360" w:lineRule="auto"/>
              <w:rPr>
                <w:rFonts w:ascii="Cambria" w:eastAsia="Cambria" w:hAnsi="Cambria" w:cs="Cambria"/>
              </w:rPr>
            </w:pPr>
            <w:r>
              <w:rPr>
                <w:rFonts w:ascii="Cambria" w:eastAsia="Cambria" w:hAnsi="Cambria" w:cs="Cambria"/>
              </w:rPr>
              <w:t>13. Palabras clave</w:t>
            </w:r>
          </w:p>
          <w:p w14:paraId="5FAF788A" w14:textId="77777777" w:rsidR="00AA54E8" w:rsidRDefault="00AA54E8">
            <w:pPr>
              <w:spacing w:line="360" w:lineRule="auto"/>
              <w:rPr>
                <w:rFonts w:ascii="Cambria" w:eastAsia="Cambria" w:hAnsi="Cambria" w:cs="Cambria"/>
              </w:rPr>
            </w:pPr>
          </w:p>
        </w:tc>
        <w:tc>
          <w:tcPr>
            <w:tcW w:w="5559" w:type="dxa"/>
          </w:tcPr>
          <w:p w14:paraId="69B0272A"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color w:val="000000"/>
              </w:rPr>
            </w:pPr>
            <w:r>
              <w:rPr>
                <w:rFonts w:ascii="Cambria" w:eastAsia="Cambria" w:hAnsi="Cambria" w:cs="Cambria"/>
                <w:color w:val="000000"/>
              </w:rPr>
              <w:t>Software, hardware, edición de partituras, grabación, audio</w:t>
            </w:r>
            <w:r>
              <w:rPr>
                <w:rFonts w:ascii="Cambria" w:eastAsia="Cambria" w:hAnsi="Cambria" w:cs="Cambria"/>
              </w:rPr>
              <w:t xml:space="preserve">, MIDI, OSC, mezcla. </w:t>
            </w:r>
          </w:p>
        </w:tc>
      </w:tr>
      <w:tr w:rsidR="00AA54E8" w14:paraId="19F976E6" w14:textId="77777777">
        <w:tc>
          <w:tcPr>
            <w:tcW w:w="3085" w:type="dxa"/>
          </w:tcPr>
          <w:p w14:paraId="6AE731E1" w14:textId="77777777" w:rsidR="00AA54E8" w:rsidRDefault="0089781C">
            <w:pPr>
              <w:spacing w:line="360" w:lineRule="auto"/>
              <w:rPr>
                <w:rFonts w:ascii="Cambria" w:eastAsia="Cambria" w:hAnsi="Cambria" w:cs="Cambria"/>
              </w:rPr>
            </w:pPr>
            <w:r>
              <w:rPr>
                <w:rFonts w:ascii="Cambria" w:eastAsia="Cambria" w:hAnsi="Cambria" w:cs="Cambria"/>
              </w:rPr>
              <w:t>14. Bibliografía obligatoria</w:t>
            </w:r>
          </w:p>
          <w:p w14:paraId="427176EE" w14:textId="77777777" w:rsidR="00AA54E8" w:rsidRDefault="00AA54E8">
            <w:pPr>
              <w:spacing w:line="360" w:lineRule="auto"/>
              <w:rPr>
                <w:rFonts w:ascii="Cambria" w:eastAsia="Cambria" w:hAnsi="Cambria" w:cs="Cambria"/>
              </w:rPr>
            </w:pPr>
          </w:p>
        </w:tc>
        <w:tc>
          <w:tcPr>
            <w:tcW w:w="5559" w:type="dxa"/>
          </w:tcPr>
          <w:p w14:paraId="15EC5B69" w14:textId="77777777" w:rsidR="00AA54E8" w:rsidRDefault="0089781C">
            <w:pPr>
              <w:numPr>
                <w:ilvl w:val="0"/>
                <w:numId w:val="2"/>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Manual de usuario programa </w:t>
            </w:r>
            <w:proofErr w:type="spellStart"/>
            <w:r>
              <w:rPr>
                <w:rFonts w:ascii="Cambria" w:eastAsia="Cambria" w:hAnsi="Cambria" w:cs="Cambria"/>
                <w:color w:val="000000"/>
              </w:rPr>
              <w:t>Finale</w:t>
            </w:r>
            <w:proofErr w:type="spellEnd"/>
            <w:r>
              <w:rPr>
                <w:rFonts w:ascii="Cambria" w:eastAsia="Cambria" w:hAnsi="Cambria" w:cs="Cambria"/>
                <w:color w:val="000000"/>
              </w:rPr>
              <w:t xml:space="preserve"> (Editor de partituras)</w:t>
            </w:r>
          </w:p>
          <w:p w14:paraId="277B818B"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color w:val="000000"/>
              </w:rPr>
            </w:pPr>
            <w:proofErr w:type="spellStart"/>
            <w:r>
              <w:rPr>
                <w:rFonts w:ascii="Cambria" w:eastAsia="Cambria" w:hAnsi="Cambria" w:cs="Cambria"/>
              </w:rPr>
              <w:t>Floosmanual</w:t>
            </w:r>
            <w:proofErr w:type="spellEnd"/>
            <w:r>
              <w:rPr>
                <w:rFonts w:ascii="Cambria" w:eastAsia="Cambria" w:hAnsi="Cambria" w:cs="Cambria"/>
              </w:rPr>
              <w:t xml:space="preserve"> </w:t>
            </w:r>
            <w:proofErr w:type="spellStart"/>
            <w:r>
              <w:rPr>
                <w:rFonts w:ascii="Cambria" w:eastAsia="Cambria" w:hAnsi="Cambria" w:cs="Cambria"/>
              </w:rPr>
              <w:t>pure</w:t>
            </w:r>
            <w:proofErr w:type="spellEnd"/>
            <w:r>
              <w:rPr>
                <w:rFonts w:ascii="Cambria" w:eastAsia="Cambria" w:hAnsi="Cambria" w:cs="Cambria"/>
              </w:rPr>
              <w:t xml:space="preserve"> data: </w:t>
            </w:r>
            <w:hyperlink r:id="rId7">
              <w:r>
                <w:rPr>
                  <w:rFonts w:ascii="Cambria" w:eastAsia="Cambria" w:hAnsi="Cambria" w:cs="Cambria"/>
                  <w:color w:val="1155CC"/>
                  <w:u w:val="single"/>
                </w:rPr>
                <w:t>http://write.flossmanuals.net/pure-data/introduction2/</w:t>
              </w:r>
            </w:hyperlink>
          </w:p>
          <w:p w14:paraId="48258664"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rPr>
            </w:pPr>
            <w:r>
              <w:rPr>
                <w:rFonts w:ascii="Cambria" w:eastAsia="Cambria" w:hAnsi="Cambria" w:cs="Cambria"/>
              </w:rPr>
              <w:t xml:space="preserve">Huber, David Miles. </w:t>
            </w:r>
            <w:proofErr w:type="spellStart"/>
            <w:r>
              <w:rPr>
                <w:rFonts w:ascii="Cambria" w:eastAsia="Cambria" w:hAnsi="Cambria" w:cs="Cambria"/>
              </w:rPr>
              <w:t>The</w:t>
            </w:r>
            <w:proofErr w:type="spellEnd"/>
            <w:r>
              <w:rPr>
                <w:rFonts w:ascii="Cambria" w:eastAsia="Cambria" w:hAnsi="Cambria" w:cs="Cambria"/>
              </w:rPr>
              <w:t xml:space="preserve"> MIDI Manual [recurso </w:t>
            </w:r>
            <w:proofErr w:type="spellStart"/>
            <w:r>
              <w:rPr>
                <w:rFonts w:ascii="Cambria" w:eastAsia="Cambria" w:hAnsi="Cambria" w:cs="Cambria"/>
              </w:rPr>
              <w:t>Electrónico</w:t>
            </w:r>
            <w:proofErr w:type="spellEnd"/>
            <w:proofErr w:type="gramStart"/>
            <w:r>
              <w:rPr>
                <w:rFonts w:ascii="Cambria" w:eastAsia="Cambria" w:hAnsi="Cambria" w:cs="Cambria"/>
              </w:rPr>
              <w:t>] :</w:t>
            </w:r>
            <w:proofErr w:type="gramEnd"/>
            <w:r>
              <w:rPr>
                <w:rFonts w:ascii="Cambria" w:eastAsia="Cambria" w:hAnsi="Cambria" w:cs="Cambria"/>
              </w:rPr>
              <w:t xml:space="preserve"> A </w:t>
            </w:r>
            <w:proofErr w:type="spellStart"/>
            <w:r>
              <w:rPr>
                <w:rFonts w:ascii="Cambria" w:eastAsia="Cambria" w:hAnsi="Cambria" w:cs="Cambria"/>
              </w:rPr>
              <w:t>Practical</w:t>
            </w:r>
            <w:proofErr w:type="spellEnd"/>
            <w:r>
              <w:rPr>
                <w:rFonts w:ascii="Cambria" w:eastAsia="Cambria" w:hAnsi="Cambria" w:cs="Cambria"/>
              </w:rPr>
              <w:t xml:space="preserve"> </w:t>
            </w:r>
            <w:proofErr w:type="spellStart"/>
            <w:r>
              <w:rPr>
                <w:rFonts w:ascii="Cambria" w:eastAsia="Cambria" w:hAnsi="Cambria" w:cs="Cambria"/>
              </w:rPr>
              <w:t>Guide</w:t>
            </w:r>
            <w:proofErr w:type="spellEnd"/>
            <w:r>
              <w:rPr>
                <w:rFonts w:ascii="Cambria" w:eastAsia="Cambria" w:hAnsi="Cambria" w:cs="Cambria"/>
              </w:rPr>
              <w:t xml:space="preserve"> to MIDI in </w:t>
            </w:r>
            <w:proofErr w:type="spellStart"/>
            <w:r>
              <w:rPr>
                <w:rFonts w:ascii="Cambria" w:eastAsia="Cambria" w:hAnsi="Cambria" w:cs="Cambria"/>
              </w:rPr>
              <w:t>the</w:t>
            </w:r>
            <w:proofErr w:type="spellEnd"/>
            <w:r>
              <w:rPr>
                <w:rFonts w:ascii="Cambria" w:eastAsia="Cambria" w:hAnsi="Cambria" w:cs="Cambria"/>
              </w:rPr>
              <w:t xml:space="preserve"> Project Studio. 3rd ed. Boston: Focal, 2007. </w:t>
            </w:r>
            <w:proofErr w:type="spellStart"/>
            <w:r>
              <w:rPr>
                <w:rFonts w:ascii="Cambria" w:eastAsia="Cambria" w:hAnsi="Cambria" w:cs="Cambria"/>
              </w:rPr>
              <w:t>Print</w:t>
            </w:r>
            <w:proofErr w:type="spellEnd"/>
            <w:r>
              <w:rPr>
                <w:rFonts w:ascii="Cambria" w:eastAsia="Cambria" w:hAnsi="Cambria" w:cs="Cambria"/>
              </w:rPr>
              <w:t xml:space="preserve">. (en biblioteca </w:t>
            </w:r>
            <w:proofErr w:type="spellStart"/>
            <w:r>
              <w:rPr>
                <w:rFonts w:ascii="Cambria" w:eastAsia="Cambria" w:hAnsi="Cambria" w:cs="Cambria"/>
              </w:rPr>
              <w:t>uchile</w:t>
            </w:r>
            <w:proofErr w:type="spellEnd"/>
            <w:r>
              <w:rPr>
                <w:rFonts w:ascii="Cambria" w:eastAsia="Cambria" w:hAnsi="Cambria" w:cs="Cambria"/>
              </w:rPr>
              <w:t xml:space="preserve">) </w:t>
            </w:r>
          </w:p>
          <w:p w14:paraId="62A17C73"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rPr>
            </w:pPr>
            <w:proofErr w:type="spellStart"/>
            <w:r>
              <w:rPr>
                <w:rFonts w:ascii="Cambria" w:eastAsia="Cambria" w:hAnsi="Cambria" w:cs="Cambria"/>
              </w:rPr>
              <w:t>Rumsey</w:t>
            </w:r>
            <w:proofErr w:type="spellEnd"/>
            <w:r>
              <w:rPr>
                <w:rFonts w:ascii="Cambria" w:eastAsia="Cambria" w:hAnsi="Cambria" w:cs="Cambria"/>
              </w:rPr>
              <w:t xml:space="preserve">, Francis., and Tim. </w:t>
            </w:r>
            <w:proofErr w:type="spellStart"/>
            <w:r>
              <w:rPr>
                <w:rFonts w:ascii="Cambria" w:eastAsia="Cambria" w:hAnsi="Cambria" w:cs="Cambria"/>
              </w:rPr>
              <w:t>McCormick</w:t>
            </w:r>
            <w:proofErr w:type="spellEnd"/>
            <w:r>
              <w:rPr>
                <w:rFonts w:ascii="Cambria" w:eastAsia="Cambria" w:hAnsi="Cambria" w:cs="Cambria"/>
              </w:rPr>
              <w:t xml:space="preserve">. </w:t>
            </w:r>
            <w:proofErr w:type="spellStart"/>
            <w:r>
              <w:rPr>
                <w:rFonts w:ascii="Cambria" w:eastAsia="Cambria" w:hAnsi="Cambria" w:cs="Cambria"/>
              </w:rPr>
              <w:t>Introducción</w:t>
            </w:r>
            <w:proofErr w:type="spellEnd"/>
            <w:r>
              <w:rPr>
                <w:rFonts w:ascii="Cambria" w:eastAsia="Cambria" w:hAnsi="Cambria" w:cs="Cambria"/>
              </w:rPr>
              <w:t xml:space="preserve"> Al Sonido Y La </w:t>
            </w:r>
            <w:proofErr w:type="spellStart"/>
            <w:r>
              <w:rPr>
                <w:rFonts w:ascii="Cambria" w:eastAsia="Cambria" w:hAnsi="Cambria" w:cs="Cambria"/>
              </w:rPr>
              <w:t>Grabación</w:t>
            </w:r>
            <w:proofErr w:type="spellEnd"/>
            <w:r>
              <w:rPr>
                <w:rFonts w:ascii="Cambria" w:eastAsia="Cambria" w:hAnsi="Cambria" w:cs="Cambria"/>
              </w:rPr>
              <w:t xml:space="preserve">. Madrid: Instituto Oficial De </w:t>
            </w:r>
            <w:proofErr w:type="spellStart"/>
            <w:r>
              <w:rPr>
                <w:rFonts w:ascii="Cambria" w:eastAsia="Cambria" w:hAnsi="Cambria" w:cs="Cambria"/>
              </w:rPr>
              <w:t>Radiotelevisión</w:t>
            </w:r>
            <w:proofErr w:type="spellEnd"/>
            <w:r>
              <w:rPr>
                <w:rFonts w:ascii="Cambria" w:eastAsia="Cambria" w:hAnsi="Cambria" w:cs="Cambria"/>
              </w:rPr>
              <w:t xml:space="preserve"> </w:t>
            </w:r>
            <w:proofErr w:type="spellStart"/>
            <w:r>
              <w:rPr>
                <w:rFonts w:ascii="Cambria" w:eastAsia="Cambria" w:hAnsi="Cambria" w:cs="Cambria"/>
              </w:rPr>
              <w:t>Española</w:t>
            </w:r>
            <w:proofErr w:type="spellEnd"/>
            <w:r>
              <w:rPr>
                <w:rFonts w:ascii="Cambria" w:eastAsia="Cambria" w:hAnsi="Cambria" w:cs="Cambria"/>
              </w:rPr>
              <w:t xml:space="preserve">. </w:t>
            </w:r>
            <w:r>
              <w:rPr>
                <w:rFonts w:ascii="Cambria" w:eastAsia="Cambria" w:hAnsi="Cambria" w:cs="Cambria"/>
              </w:rPr>
              <w:lastRenderedPageBreak/>
              <w:t xml:space="preserve">RTVE, 1994. </w:t>
            </w:r>
            <w:proofErr w:type="spellStart"/>
            <w:r>
              <w:rPr>
                <w:rFonts w:ascii="Cambria" w:eastAsia="Cambria" w:hAnsi="Cambria" w:cs="Cambria"/>
              </w:rPr>
              <w:t>Print</w:t>
            </w:r>
            <w:proofErr w:type="spellEnd"/>
            <w:r>
              <w:rPr>
                <w:rFonts w:ascii="Cambria" w:eastAsia="Cambria" w:hAnsi="Cambria" w:cs="Cambria"/>
              </w:rPr>
              <w:t xml:space="preserve">. Manuales Profesionales. (en biblioteca </w:t>
            </w:r>
            <w:proofErr w:type="spellStart"/>
            <w:r>
              <w:rPr>
                <w:rFonts w:ascii="Cambria" w:eastAsia="Cambria" w:hAnsi="Cambria" w:cs="Cambria"/>
              </w:rPr>
              <w:t>uchile</w:t>
            </w:r>
            <w:proofErr w:type="spellEnd"/>
            <w:r>
              <w:rPr>
                <w:rFonts w:ascii="Cambria" w:eastAsia="Cambria" w:hAnsi="Cambria" w:cs="Cambria"/>
              </w:rPr>
              <w:t xml:space="preserve">) </w:t>
            </w:r>
          </w:p>
          <w:p w14:paraId="6830249D" w14:textId="77777777" w:rsidR="00AA54E8" w:rsidRDefault="0089781C">
            <w:pPr>
              <w:numPr>
                <w:ilvl w:val="0"/>
                <w:numId w:val="2"/>
              </w:numPr>
              <w:pBdr>
                <w:top w:val="nil"/>
                <w:left w:val="nil"/>
                <w:bottom w:val="nil"/>
                <w:right w:val="nil"/>
                <w:between w:val="nil"/>
              </w:pBdr>
              <w:spacing w:after="200" w:line="360" w:lineRule="auto"/>
              <w:rPr>
                <w:rFonts w:ascii="Cambria" w:eastAsia="Cambria" w:hAnsi="Cambria" w:cs="Cambria"/>
              </w:rPr>
            </w:pPr>
            <w:r>
              <w:rPr>
                <w:rFonts w:ascii="Cambria" w:eastAsia="Cambria" w:hAnsi="Cambria" w:cs="Cambria"/>
              </w:rPr>
              <w:t xml:space="preserve">Softwares </w:t>
            </w:r>
            <w:proofErr w:type="gramStart"/>
            <w:r>
              <w:rPr>
                <w:rFonts w:ascii="Cambria" w:eastAsia="Cambria" w:hAnsi="Cambria" w:cs="Cambria"/>
              </w:rPr>
              <w:t>revisados :</w:t>
            </w:r>
            <w:proofErr w:type="gramEnd"/>
            <w:r>
              <w:rPr>
                <w:rFonts w:ascii="Cambria" w:eastAsia="Cambria" w:hAnsi="Cambria" w:cs="Cambria"/>
              </w:rPr>
              <w:t xml:space="preserve"> </w:t>
            </w:r>
            <w:proofErr w:type="spellStart"/>
            <w:r>
              <w:rPr>
                <w:rFonts w:ascii="Cambria" w:eastAsia="Cambria" w:hAnsi="Cambria" w:cs="Cambria"/>
              </w:rPr>
              <w:t>Finale</w:t>
            </w:r>
            <w:proofErr w:type="spellEnd"/>
            <w:r>
              <w:rPr>
                <w:rFonts w:ascii="Cambria" w:eastAsia="Cambria" w:hAnsi="Cambria" w:cs="Cambria"/>
              </w:rPr>
              <w:t xml:space="preserve">, </w:t>
            </w:r>
            <w:proofErr w:type="spellStart"/>
            <w:r>
              <w:rPr>
                <w:rFonts w:ascii="Cambria" w:eastAsia="Cambria" w:hAnsi="Cambria" w:cs="Cambria"/>
              </w:rPr>
              <w:t>Propellerhead</w:t>
            </w:r>
            <w:proofErr w:type="spellEnd"/>
            <w:r>
              <w:rPr>
                <w:rFonts w:ascii="Cambria" w:eastAsia="Cambria" w:hAnsi="Cambria" w:cs="Cambria"/>
              </w:rPr>
              <w:t xml:space="preserve"> </w:t>
            </w:r>
            <w:proofErr w:type="spellStart"/>
            <w:r>
              <w:rPr>
                <w:rFonts w:ascii="Cambria" w:eastAsia="Cambria" w:hAnsi="Cambria" w:cs="Cambria"/>
              </w:rPr>
              <w:t>Reason</w:t>
            </w:r>
            <w:proofErr w:type="spellEnd"/>
            <w:r>
              <w:rPr>
                <w:rFonts w:ascii="Cambria" w:eastAsia="Cambria" w:hAnsi="Cambria" w:cs="Cambria"/>
              </w:rPr>
              <w:t xml:space="preserve">, </w:t>
            </w:r>
            <w:proofErr w:type="spellStart"/>
            <w:r>
              <w:rPr>
                <w:rFonts w:ascii="Cambria" w:eastAsia="Cambria" w:hAnsi="Cambria" w:cs="Cambria"/>
              </w:rPr>
              <w:t>Pure</w:t>
            </w:r>
            <w:proofErr w:type="spellEnd"/>
            <w:r>
              <w:rPr>
                <w:rFonts w:ascii="Cambria" w:eastAsia="Cambria" w:hAnsi="Cambria" w:cs="Cambria"/>
              </w:rPr>
              <w:t xml:space="preserve"> Data y </w:t>
            </w:r>
            <w:proofErr w:type="spellStart"/>
            <w:r>
              <w:rPr>
                <w:rFonts w:ascii="Cambria" w:eastAsia="Cambria" w:hAnsi="Cambria" w:cs="Cambria"/>
              </w:rPr>
              <w:t>Reaper</w:t>
            </w:r>
            <w:proofErr w:type="spellEnd"/>
            <w:r>
              <w:rPr>
                <w:rFonts w:ascii="Cambria" w:eastAsia="Cambria" w:hAnsi="Cambria" w:cs="Cambria"/>
              </w:rPr>
              <w:t xml:space="preserve">. </w:t>
            </w:r>
          </w:p>
        </w:tc>
      </w:tr>
      <w:tr w:rsidR="00AA54E8" w14:paraId="6907F973" w14:textId="77777777">
        <w:tc>
          <w:tcPr>
            <w:tcW w:w="3085" w:type="dxa"/>
          </w:tcPr>
          <w:p w14:paraId="1253238F" w14:textId="77777777" w:rsidR="00AA54E8" w:rsidRDefault="0089781C">
            <w:pPr>
              <w:spacing w:line="360" w:lineRule="auto"/>
              <w:rPr>
                <w:rFonts w:ascii="Cambria" w:eastAsia="Cambria" w:hAnsi="Cambria" w:cs="Cambria"/>
              </w:rPr>
            </w:pPr>
            <w:r>
              <w:rPr>
                <w:rFonts w:ascii="Cambria" w:eastAsia="Cambria" w:hAnsi="Cambria" w:cs="Cambria"/>
              </w:rPr>
              <w:lastRenderedPageBreak/>
              <w:t>15. Bibliografía complementaria</w:t>
            </w:r>
          </w:p>
        </w:tc>
        <w:tc>
          <w:tcPr>
            <w:tcW w:w="5559" w:type="dxa"/>
          </w:tcPr>
          <w:p w14:paraId="1A87DBCD" w14:textId="77777777" w:rsidR="00AA54E8" w:rsidRDefault="0089781C">
            <w:pPr>
              <w:numPr>
                <w:ilvl w:val="0"/>
                <w:numId w:val="1"/>
              </w:numPr>
              <w:spacing w:line="360" w:lineRule="auto"/>
              <w:rPr>
                <w:rFonts w:ascii="Cambria" w:eastAsia="Cambria" w:hAnsi="Cambria" w:cs="Cambria"/>
              </w:rPr>
            </w:pPr>
            <w:proofErr w:type="spellStart"/>
            <w:r>
              <w:rPr>
                <w:rFonts w:ascii="Cambria" w:eastAsia="Cambria" w:hAnsi="Cambria" w:cs="Cambria"/>
              </w:rPr>
              <w:t>Kadis</w:t>
            </w:r>
            <w:proofErr w:type="spellEnd"/>
            <w:r>
              <w:rPr>
                <w:rFonts w:ascii="Cambria" w:eastAsia="Cambria" w:hAnsi="Cambria" w:cs="Cambria"/>
              </w:rPr>
              <w:t xml:space="preserve">, </w:t>
            </w:r>
            <w:proofErr w:type="spellStart"/>
            <w:r>
              <w:rPr>
                <w:rFonts w:ascii="Cambria" w:eastAsia="Cambria" w:hAnsi="Cambria" w:cs="Cambria"/>
              </w:rPr>
              <w:t>Jay</w:t>
            </w:r>
            <w:proofErr w:type="spellEnd"/>
            <w:r>
              <w:rPr>
                <w:rFonts w:ascii="Cambria" w:eastAsia="Cambria" w:hAnsi="Cambria" w:cs="Cambria"/>
              </w:rPr>
              <w:t xml:space="preserve">. </w:t>
            </w:r>
            <w:proofErr w:type="spellStart"/>
            <w:r>
              <w:rPr>
                <w:rFonts w:ascii="Cambria" w:eastAsia="Cambria" w:hAnsi="Cambria" w:cs="Cambria"/>
              </w:rPr>
              <w:t>The</w:t>
            </w:r>
            <w:proofErr w:type="spellEnd"/>
            <w:r>
              <w:rPr>
                <w:rFonts w:ascii="Cambria" w:eastAsia="Cambria" w:hAnsi="Cambria" w:cs="Cambria"/>
              </w:rPr>
              <w:t xml:space="preserve"> </w:t>
            </w:r>
            <w:proofErr w:type="spellStart"/>
            <w:r>
              <w:rPr>
                <w:rFonts w:ascii="Cambria" w:eastAsia="Cambria" w:hAnsi="Cambria" w:cs="Cambria"/>
              </w:rPr>
              <w:t>Science</w:t>
            </w:r>
            <w:proofErr w:type="spellEnd"/>
            <w:r>
              <w:rPr>
                <w:rFonts w:ascii="Cambria" w:eastAsia="Cambria" w:hAnsi="Cambria" w:cs="Cambria"/>
              </w:rPr>
              <w:t xml:space="preserve"> of </w:t>
            </w:r>
            <w:proofErr w:type="spellStart"/>
            <w:r>
              <w:rPr>
                <w:rFonts w:ascii="Cambria" w:eastAsia="Cambria" w:hAnsi="Cambria" w:cs="Cambria"/>
              </w:rPr>
              <w:t>Sound</w:t>
            </w:r>
            <w:proofErr w:type="spellEnd"/>
            <w:r>
              <w:rPr>
                <w:rFonts w:ascii="Cambria" w:eastAsia="Cambria" w:hAnsi="Cambria" w:cs="Cambria"/>
              </w:rPr>
              <w:t xml:space="preserve"> </w:t>
            </w:r>
            <w:proofErr w:type="spellStart"/>
            <w:r>
              <w:rPr>
                <w:rFonts w:ascii="Cambria" w:eastAsia="Cambria" w:hAnsi="Cambria" w:cs="Cambria"/>
              </w:rPr>
              <w:t>Recording</w:t>
            </w:r>
            <w:proofErr w:type="spellEnd"/>
            <w:r>
              <w:rPr>
                <w:rFonts w:ascii="Cambria" w:eastAsia="Cambria" w:hAnsi="Cambria" w:cs="Cambria"/>
              </w:rPr>
              <w:t xml:space="preserve">. </w:t>
            </w:r>
            <w:proofErr w:type="spellStart"/>
            <w:r>
              <w:rPr>
                <w:rFonts w:ascii="Cambria" w:eastAsia="Cambria" w:hAnsi="Cambria" w:cs="Cambria"/>
              </w:rPr>
              <w:t>Amsterdam</w:t>
            </w:r>
            <w:proofErr w:type="spellEnd"/>
            <w:r>
              <w:rPr>
                <w:rFonts w:ascii="Cambria" w:eastAsia="Cambria" w:hAnsi="Cambria" w:cs="Cambria"/>
              </w:rPr>
              <w:t xml:space="preserve">: </w:t>
            </w:r>
            <w:proofErr w:type="spellStart"/>
            <w:r>
              <w:rPr>
                <w:rFonts w:ascii="Cambria" w:eastAsia="Cambria" w:hAnsi="Cambria" w:cs="Cambria"/>
              </w:rPr>
              <w:t>Elsevier</w:t>
            </w:r>
            <w:proofErr w:type="spellEnd"/>
            <w:r>
              <w:rPr>
                <w:rFonts w:ascii="Cambria" w:eastAsia="Cambria" w:hAnsi="Cambria" w:cs="Cambria"/>
              </w:rPr>
              <w:t xml:space="preserve">, 2012. </w:t>
            </w:r>
            <w:proofErr w:type="spellStart"/>
            <w:r>
              <w:rPr>
                <w:rFonts w:ascii="Cambria" w:eastAsia="Cambria" w:hAnsi="Cambria" w:cs="Cambria"/>
              </w:rPr>
              <w:t>Print</w:t>
            </w:r>
            <w:proofErr w:type="spellEnd"/>
            <w:r>
              <w:rPr>
                <w:rFonts w:ascii="Cambria" w:eastAsia="Cambria" w:hAnsi="Cambria" w:cs="Cambria"/>
              </w:rPr>
              <w:t>.</w:t>
            </w:r>
          </w:p>
        </w:tc>
      </w:tr>
    </w:tbl>
    <w:p w14:paraId="71F99088" w14:textId="77777777" w:rsidR="00AA54E8" w:rsidRDefault="00AA54E8"/>
    <w:p w14:paraId="0E2AB6DB" w14:textId="77777777" w:rsidR="00AA54E8" w:rsidRDefault="00AA54E8"/>
    <w:sectPr w:rsidR="00AA54E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4339F"/>
    <w:multiLevelType w:val="multilevel"/>
    <w:tmpl w:val="1AE2A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394F63"/>
    <w:multiLevelType w:val="multilevel"/>
    <w:tmpl w:val="C0065B7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75B914D8"/>
    <w:multiLevelType w:val="multilevel"/>
    <w:tmpl w:val="C130FA2A"/>
    <w:lvl w:ilvl="0">
      <w:start w:val="5"/>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E8"/>
    <w:rsid w:val="00055EC3"/>
    <w:rsid w:val="006B0092"/>
    <w:rsid w:val="0089781C"/>
    <w:rsid w:val="00AA54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4717"/>
  <w15:docId w15:val="{AFAC2521-B8ED-491A-B7F2-39909E91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0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59"/>
    <w:rsid w:val="00832044"/>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320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044"/>
    <w:rPr>
      <w:rFonts w:ascii="Tahoma" w:hAnsi="Tahoma" w:cs="Tahoma"/>
      <w:sz w:val="16"/>
      <w:szCs w:val="16"/>
      <w:lang w:val="es-CL"/>
    </w:rPr>
  </w:style>
  <w:style w:type="paragraph" w:styleId="Prrafodelista">
    <w:name w:val="List Paragraph"/>
    <w:basedOn w:val="Normal"/>
    <w:uiPriority w:val="34"/>
    <w:qFormat/>
    <w:rsid w:val="00832044"/>
    <w:pPr>
      <w:ind w:left="720"/>
      <w:contextualSpacing/>
    </w:pPr>
  </w:style>
  <w:style w:type="paragraph" w:styleId="Sinespaciado">
    <w:name w:val="No Spacing"/>
    <w:uiPriority w:val="1"/>
    <w:qFormat/>
    <w:rsid w:val="00253A67"/>
    <w:pPr>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C4CF9"/>
    <w:rPr>
      <w:sz w:val="16"/>
      <w:szCs w:val="16"/>
    </w:rPr>
  </w:style>
  <w:style w:type="paragraph" w:styleId="Textocomentario">
    <w:name w:val="annotation text"/>
    <w:basedOn w:val="Normal"/>
    <w:link w:val="TextocomentarioCar"/>
    <w:uiPriority w:val="99"/>
    <w:semiHidden/>
    <w:unhideWhenUsed/>
    <w:rsid w:val="004C4C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4CF9"/>
    <w:rPr>
      <w:sz w:val="20"/>
      <w:szCs w:val="20"/>
    </w:rPr>
  </w:style>
  <w:style w:type="paragraph" w:styleId="Asuntodelcomentario">
    <w:name w:val="annotation subject"/>
    <w:basedOn w:val="Textocomentario"/>
    <w:next w:val="Textocomentario"/>
    <w:link w:val="AsuntodelcomentarioCar"/>
    <w:uiPriority w:val="99"/>
    <w:semiHidden/>
    <w:unhideWhenUsed/>
    <w:rsid w:val="004C4CF9"/>
    <w:rPr>
      <w:b/>
      <w:bCs/>
    </w:rPr>
  </w:style>
  <w:style w:type="character" w:customStyle="1" w:styleId="AsuntodelcomentarioCar">
    <w:name w:val="Asunto del comentario Car"/>
    <w:basedOn w:val="TextocomentarioCar"/>
    <w:link w:val="Asuntodelcomentario"/>
    <w:uiPriority w:val="99"/>
    <w:semiHidden/>
    <w:rsid w:val="004C4CF9"/>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rite.flossmanuals.net/pure-data/introduction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Ilqcdxaexls/es6df1aEpRKwhg==">AMUW2mVy3TbZpGMqKxqf+3Zm1PmdMU7qnineGiWH/7zBld/UJ/JT5Do06rKO4aMe2FDM/Hqzt0CqHYTjEB2IE53SxMOA34F1XaH4TTUqG3Ep89+PRuVQwHg4Nx52ZxHtz9rR+9Ey6qdQ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Claudio Alberto Acevedo Elgueta (cacevedo)</cp:lastModifiedBy>
  <cp:revision>4</cp:revision>
  <dcterms:created xsi:type="dcterms:W3CDTF">2014-09-16T16:07:00Z</dcterms:created>
  <dcterms:modified xsi:type="dcterms:W3CDTF">2020-09-24T15:44:00Z</dcterms:modified>
</cp:coreProperties>
</file>